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rId33.png" ContentType="image/png"/>
  <Override PartName="/word/media/rId36.png" ContentType="image/png"/>
  <Override PartName="/word/media/rId3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variability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are often composed of assemblages of individuals specializing in different foraging strategies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expertise). While the development of hunting expertise may be essential to maintain foraging success, we have have limited evidence for its role in predator foraging specialization, and the ecological/fitness consequences of such among individual behavioral differences for predator-prey interactions</w:t>
      </w:r>
      <w:r>
        <w:t xml:space="preserve"> </w:t>
      </w:r>
      <w:r>
        <w:t xml:space="preserve">(Dukas 2019)</w:t>
      </w:r>
      <w:r>
        <w:t xml:space="preserve">.</w:t>
      </w:r>
    </w:p>
    <w:p>
      <w:pPr>
        <w:pStyle w:val="BodyText"/>
      </w:pPr>
      <w:r>
        <w:t xml:space="preserve">The integration of individual behavioral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behavioral interactions, at the individual level, is the need of collecting data simultaneously on both the predator and prey. We have recently demonstrated with behavioral data from an online predator-prey videogame that virtual systems can help in overcoming this challenge, and uncover subtle details on the mechanisms shaping these interactions</w:t>
      </w:r>
      <w:r>
        <w:t xml:space="preserve"> </w:t>
      </w:r>
      <w:r>
        <w:t xml:space="preserve">(Fraser Franco</w:t>
      </w:r>
      <w:r>
        <w:t xml:space="preserve"> </w:t>
      </w:r>
      <w:r>
        <w:rPr>
          <w:iCs/>
          <w:i/>
        </w:rPr>
        <w:t xml:space="preserve">et al.</w:t>
      </w:r>
      <w:r>
        <w:t xml:space="preserve"> </w:t>
      </w:r>
      <w:r>
        <w:t xml:space="preserve">2022)</w:t>
      </w:r>
      <w:r>
        <w:t xml:space="preserve">. For instance, we tested the classical locomotor crossover hypothesis championed by</w:t>
      </w:r>
      <w:r>
        <w:t xml:space="preserve"> </w:t>
      </w:r>
      <w:r>
        <w:t xml:space="preserve">Huey &amp; Pianka (1981)</w:t>
      </w:r>
      <w:r>
        <w:t xml:space="preserve">, and found support of its predictions only for active hunters, which concords with a recent experiment involving assassin bugs</w:t>
      </w:r>
      <w:r>
        <w:t xml:space="preserve"> </w:t>
      </w:r>
      <w:r>
        <w:t xml:space="preserve">(Matsumura &amp; Miyatake 2022)</w:t>
      </w:r>
      <w:r>
        <w:t xml:space="preserve">. Thus, virtual systems may be useful in identifying general ecological patterns, which may in turn help in advancing the current gaps in predator-prey research. Other examples of virtual ecological studies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systems generate large volumes of data on prey and predators simultaneously throughout their lifetime in the game, they offer the opportunity to tackle fundamental questions about the role of expertise and prey behavior on individual predator foraging specialization, and its potential fitness consequences.</w:t>
      </w:r>
    </w:p>
    <w:p>
      <w:pPr>
        <w:pStyle w:val="BodyText"/>
      </w:pPr>
      <w:r>
        <w:t xml:space="preserve">The development of foraging strategies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expertise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when prey are scarce or highly unpredictable</w:t>
      </w:r>
      <w:r>
        <w:t xml:space="preserve"> </w:t>
      </w:r>
      <w:r>
        <w:t xml:space="preserve">(Estes</w:t>
      </w:r>
      <w:r>
        <w:t xml:space="preserve"> </w:t>
      </w:r>
      <w:r>
        <w:rPr>
          <w:iCs/>
          <w:i/>
        </w:rPr>
        <w:t xml:space="preserve">et al.</w:t>
      </w:r>
      <w:r>
        <w:t xml:space="preserve"> </w:t>
      </w:r>
      <w:r>
        <w:t xml:space="preserve">2003; Mery &amp; Burns 2010)</w:t>
      </w:r>
      <w:r>
        <w:t xml:space="preserve">. An alternative mechanism is that expertise may offset the costs/risks of switching foraging tactics as individuals gain experience and information on their prey or their environment, leading to increased individual foraging flexibility</w:t>
      </w:r>
      <w:r>
        <w:t xml:space="preserve"> </w:t>
      </w:r>
      <w:r>
        <w:t xml:space="preserve">(Ishii &amp; Shimada 2010; Mery &amp; Burns 2010; Snell-Rood 2013)</w:t>
      </w:r>
      <w:r>
        <w:t xml:space="preserve">. In this case, switching between foraging tactics would be advantageous when resources are variable, as behavioral flexibility is often key for survival in novel environments</w:t>
      </w:r>
      <w:r>
        <w:t xml:space="preserve"> </w:t>
      </w:r>
      <w:r>
        <w:t xml:space="preserve">(reviewed in Snell-Rood 2013)</w:t>
      </w:r>
      <w:r>
        <w:t xml:space="preserve">.</w:t>
      </w:r>
      <w:r>
        <w:t xml:space="preserve"> </w:t>
      </w:r>
      <w:r>
        <w:rPr>
          <w:iCs/>
          <w:i/>
        </w:rPr>
        <w:t xml:space="preserve">revoir cette phrase ça ressemble trop à l’autre. plutôt parler des processus cognitifs qui modulent cela</w:t>
      </w:r>
    </w:p>
    <w:p>
      <w:pPr>
        <w:pStyle w:val="BodyText"/>
      </w:pPr>
      <w:r>
        <w:t xml:space="preserve">There is currently a lack of consensus on the fitness advantages of specialized vs flexible foraging. Importantly, we have little information on the ecological contexts - except for competition - that favors one strategy over the other. This is reflected in the literature showing contrasting results in the links between specialization and fitness. For instance, some studies report increasing benefits of specializing</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identifying the relevant contexts mediating these fitness benefits is a daunting task, in predator-prey systems, some clues indicate that fluctuations in the predictability of prey (e.g. abundance, availability, behavior) encounters throughout a predator’s lifetime may be a key factor mediating the benefits of specializing</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advances that when resources are predictable, individual specialists should have higher delivery rates by reducing the energy and time required to search for and handle prey. In contrast, individual generalists should be advantaged when resources fluctuate, as fine adjustments to prey are key for a predator’s success and survival.</w:t>
      </w:r>
    </w:p>
    <w:p>
      <w:pPr>
        <w:pStyle w:val="BodyText"/>
      </w:pPr>
      <w:r>
        <w:t xml:space="preserve">In this study, we analyze individual behavioral data from players in</w:t>
      </w:r>
      <w:r>
        <w:t xml:space="preserve"> </w:t>
      </w:r>
      <w:r>
        <w:rPr>
          <w:iCs/>
          <w:i/>
        </w:rPr>
        <w:t xml:space="preserve">Dead by Daylight</w:t>
      </w:r>
      <w:r>
        <w:t xml:space="preserve"> </w:t>
      </w:r>
      <w:r>
        <w:t xml:space="preserve">to test how hunting expertise and prey behavior shape predator foraging specialization.</w:t>
      </w:r>
      <w:r>
        <w:t xml:space="preserve"> </w:t>
      </w:r>
      <w:r>
        <w:rPr>
          <w:iCs/>
          <w:i/>
        </w:rPr>
        <w:t xml:space="preserve">Dead by Daylight</w:t>
      </w:r>
      <w:r>
        <w:t xml:space="preserve"> </w:t>
      </w:r>
      <w:r>
        <w:t xml:space="preserve">is an online videogame simulating a predator-prey interaction, where one predator player hunts four prey players in different virtual environments. The data grants a high degree of precision on the behavioral interaction as both the predator and the four prey were measured simultaneously in each trial. First, we investigate how predators developed their individual hunting expertise. We hypothesize that predators should differ in the development of their expertise because they encounter varying levels of difficulty with the prey that they hunt. Second, we test the hypothesis that individual variation in foraging behavior will change with expertise. If expertise reduces the costs of switching between hunting tactics, we predict that individual predators should become more flexible with time. Alternatively, if expertise enables the refinement of the hunting tactics, then individuals may instead specialize. Third, we evaluate how predator foraging specialization interacts with variation in prey behavior. Whether predators specialize or not with expertise may depend on the behavior of their prey, for instance, as it may be harder to specialize when encounters are less predictable. Lastly, if individuals differ in their degree of foraging specialization, then we expect that the success of specialists and generalists will be equal. Specialist hunters should fare better when prey variability is lower, while flexible hunters should fare better when prey variability is higher.</w:t>
      </w:r>
    </w:p>
    <w:p>
      <w:r>
        <w:br w:type="page"/>
      </w:r>
    </w:p>
    <w:bookmarkEnd w:id="21"/>
    <w:bookmarkStart w:id="29" w:name="materials-and-methods"/>
    <w:p>
      <w:pPr>
        <w:pStyle w:val="Heading1"/>
      </w:pPr>
      <w:r>
        <w:t xml:space="preserve">MATERIALS AND METHODS</w:t>
      </w:r>
    </w:p>
    <w:bookmarkStart w:id="22" w:name="study-system"/>
    <w:p>
      <w:pPr>
        <w:pStyle w:val="Heading2"/>
      </w:pPr>
      <w:r>
        <w:t xml:space="preserve">Study system</w:t>
      </w:r>
    </w:p>
    <w:bookmarkEnd w:id="22"/>
    <w:bookmarkStart w:id="23" w:name="data-collection"/>
    <w:p>
      <w:pPr>
        <w:pStyle w:val="Heading2"/>
      </w:pPr>
      <w:r>
        <w:t xml:space="preserve">Data collection</w:t>
      </w:r>
    </w:p>
    <w:bookmarkEnd w:id="23"/>
    <w:bookmarkStart w:id="24" w:name="behaviors"/>
    <w:p>
      <w:pPr>
        <w:pStyle w:val="Heading2"/>
      </w:pPr>
      <w:r>
        <w:t xml:space="preserve">Behaviors</w:t>
      </w:r>
    </w:p>
    <w:bookmarkEnd w:id="24"/>
    <w:bookmarkStart w:id="28" w:name="statistical-analyses"/>
    <w:p>
      <w:pPr>
        <w:pStyle w:val="Heading2"/>
      </w:pPr>
      <w:r>
        <w:t xml:space="preserve">Statistical analyses</w:t>
      </w:r>
    </w:p>
    <w:bookmarkStart w:id="25" w:name="software-and-computer-components"/>
    <w:p>
      <w:pPr>
        <w:pStyle w:val="Heading3"/>
      </w:pPr>
      <w:r>
        <w:t xml:space="preserve">Software and computer components</w:t>
      </w:r>
    </w:p>
    <w:bookmarkEnd w:id="25"/>
    <w:bookmarkStart w:id="26" w:name="effect-of-experience-on-hunting-success"/>
    <w:p>
      <w:pPr>
        <w:pStyle w:val="Heading3"/>
      </w:pPr>
      <w:r>
        <w:t xml:space="preserve">Effect of experience on hunting success</w:t>
      </w:r>
    </w:p>
    <w:bookmarkEnd w:id="26"/>
    <w:bookmarkStart w:id="27" w:name="Xaeb68c8bb3e3089afbeedd52726a83a2e694de2"/>
    <w:p>
      <w:pPr>
        <w:pStyle w:val="Heading3"/>
      </w:pPr>
      <w:r>
        <w:t xml:space="preserve">Foraging tactics at each level of experience</w:t>
      </w:r>
    </w:p>
    <w:p>
      <w:r>
        <w:br w:type="page"/>
      </w:r>
    </w:p>
    <w:bookmarkEnd w:id="27"/>
    <w:bookmarkEnd w:id="28"/>
    <w:bookmarkEnd w:id="29"/>
    <w:bookmarkStart w:id="43" w:name="results"/>
    <w:p>
      <w:pPr>
        <w:pStyle w:val="Heading1"/>
      </w:pPr>
      <w:r>
        <w:t xml:space="preserve">RESULTS</w:t>
      </w:r>
    </w:p>
    <w:bookmarkStart w:id="42" w:name="X49e34d012182956988a00f0ff153f675c48b853"/>
    <w:p>
      <w:pPr>
        <w:pStyle w:val="Heading2"/>
      </w:pPr>
      <w:r>
        <w:t xml:space="preserve">Effect of experience on hunting success</w:t>
      </w:r>
    </w:p>
    <w:p>
      <w:pPr>
        <w:pStyle w:val="FirstParagraph"/>
      </w:pPr>
      <w:r>
        <w:t xml:space="preserve">Contrary to our predictions, individual predators did not differ in the development of their expertise, as the best model was the one with a general population trend with varying intercepts only (Table x.). Moreover, we did not detect a relationship between experience (i.e. the cumulative amount of matches played) and hunting success, such that players did not optimize their success with increasing experience as we expected (Figure 1 A). However, predators did differ in their average hunting success across the study period (Figure 1 B).</w:t>
      </w:r>
    </w:p>
    <w:p>
      <w:pPr>
        <w:pStyle w:val="CaptionedFigure"/>
      </w:pPr>
      <w:r>
        <w:drawing>
          <wp:inline>
            <wp:extent cx="5969000" cy="3069771"/>
            <wp:effectExtent b="0" l="0" r="0" t="0"/>
            <wp:docPr descr="Figure 1. Results from the Bayesian generalized linear mixed model. (A) Fitted (solid) line displaying the posterior predicted values relating the predators’ hunting success to their cumulative experience. Here, we transformed the hunting success and cumulative experience back to their original scale (i.e. the amount of prey captured and the number of matches played respectively). The band around the solid line represents the 95% credible intervals. (B) The estimated posterior predicted mean hunting success of each predator player. We display the hunting success back-transformed to its original scale." title="" id="31" name="Picture"/>
            <a:graphic>
              <a:graphicData uri="http://schemas.openxmlformats.org/drawingml/2006/picture">
                <pic:pic>
                  <pic:nvPicPr>
                    <pic:cNvPr descr="C:/Users/maxim/OneDrive/Documents/GitHub/Chapter3/outputs/05_outputs_figures/05_figure1.png" id="32" name="Picture"/>
                    <pic:cNvPicPr>
                      <a:picLocks noChangeArrowheads="1" noChangeAspect="1"/>
                    </pic:cNvPicPr>
                  </pic:nvPicPr>
                  <pic:blipFill>
                    <a:blip r:embed="rId30"/>
                    <a:stretch>
                      <a:fillRect/>
                    </a:stretch>
                  </pic:blipFill>
                  <pic:spPr bwMode="auto">
                    <a:xfrm>
                      <a:off x="0" y="0"/>
                      <a:ext cx="5969000" cy="3069771"/>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Results from the Bayesian generalized linear mixed model. (A) Fitted (solid) line displaying the posterior predicted values relating the predators’ hunting success to their cumulative experience. Here, we transformed the hunting success and cumulative experience back to their original scale (i.e. the amount of prey captured and the number of matches played respectively). The band around the solid line represents the 95% credible intervals. (B) The estimated posterior predicted mean hunting success of each predator player. We display the hunting success back-transformed to its original scale.</w:t>
      </w:r>
    </w:p>
    <w:p>
      <w:pPr>
        <w:pStyle w:val="BodyText"/>
      </w:pPr>
      <w:r>
        <w:t xml:space="preserve">blablabla figure 2</w:t>
      </w:r>
    </w:p>
    <w:p>
      <w:pPr>
        <w:pStyle w:val="CaptionedFigure"/>
      </w:pPr>
      <w:r>
        <w:drawing>
          <wp:inline>
            <wp:extent cx="5969000" cy="2728685"/>
            <wp:effectExtent b="0" l="0" r="0" t="0"/>
            <wp:docPr descr="Figure 2. Coefficient of variation for the predator’s speed and for the speed of the prey encountered at each level of experience. (A) Coefficient of variation for the among individual differences in average behavior. (B) Coefficient fo variation for the among individual differences in within individual variance (i.e. specialization)." title="" id="34" name="Picture"/>
            <a:graphic>
              <a:graphicData uri="http://schemas.openxmlformats.org/drawingml/2006/picture">
                <pic:pic>
                  <pic:nvPicPr>
                    <pic:cNvPr descr="C:/Users/maxim/OneDrive/Documents/GitHub/Chapter3/outputs/05_outputs_figures/05_figure2.png" id="35" name="Picture"/>
                    <pic:cNvPicPr>
                      <a:picLocks noChangeArrowheads="1" noChangeAspect="1"/>
                    </pic:cNvPicPr>
                  </pic:nvPicPr>
                  <pic:blipFill>
                    <a:blip r:embed="rId33"/>
                    <a:stretch>
                      <a:fillRect/>
                    </a:stretch>
                  </pic:blipFill>
                  <pic:spPr bwMode="auto">
                    <a:xfrm>
                      <a:off x="0" y="0"/>
                      <a:ext cx="5969000" cy="2728685"/>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Coefficient of variation for the predator’s speed and for the speed of the prey encountered at each level of experience. (A) Coefficient of variation for the among individual differences in average behavior. (B) Coefficient fo variation for the among individual differences in within individual variance (i.e. specialization).</w:t>
      </w:r>
    </w:p>
    <w:p>
      <w:pPr>
        <w:pStyle w:val="BodyText"/>
      </w:pPr>
      <w:r>
        <w:t xml:space="preserve">blablabla figure 3</w:t>
      </w:r>
    </w:p>
    <w:p>
      <w:pPr>
        <w:pStyle w:val="CaptionedFigure"/>
      </w:pPr>
      <w:r>
        <w:drawing>
          <wp:inline>
            <wp:extent cx="5969000" cy="3069771"/>
            <wp:effectExtent b="0" l="0" r="0" t="0"/>
            <wp:docPr descr="Figure 3. Title (A) Novice. (B) Advanced." title="" id="37" name="Picture"/>
            <a:graphic>
              <a:graphicData uri="http://schemas.openxmlformats.org/drawingml/2006/picture">
                <pic:pic>
                  <pic:nvPicPr>
                    <pic:cNvPr descr="C:/Users/maxim/OneDrive/Documents/GitHub/Chapter3/outputs/05_outputs_figures/05_figure3.png" id="38" name="Picture"/>
                    <pic:cNvPicPr>
                      <a:picLocks noChangeArrowheads="1" noChangeAspect="1"/>
                    </pic:cNvPicPr>
                  </pic:nvPicPr>
                  <pic:blipFill>
                    <a:blip r:embed="rId36"/>
                    <a:stretch>
                      <a:fillRect/>
                    </a:stretch>
                  </pic:blipFill>
                  <pic:spPr bwMode="auto">
                    <a:xfrm>
                      <a:off x="0" y="0"/>
                      <a:ext cx="5969000" cy="3069771"/>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Title (A) Novice. (B) Advanced.</w:t>
      </w:r>
    </w:p>
    <w:p>
      <w:pPr>
        <w:pStyle w:val="BodyText"/>
      </w:pPr>
      <w:r>
        <w:t xml:space="preserve">blablabla figure 4</w:t>
      </w:r>
    </w:p>
    <w:p>
      <w:pPr>
        <w:pStyle w:val="CaptionedFigure"/>
      </w:pPr>
      <w:r>
        <w:drawing>
          <wp:inline>
            <wp:extent cx="5969000" cy="5969000"/>
            <wp:effectExtent b="0" l="0" r="0" t="0"/>
            <wp:docPr descr="Figure 4. Title (A) and (B) Novice. (C) and (D) Advanced." title="" id="40" name="Picture"/>
            <a:graphic>
              <a:graphicData uri="http://schemas.openxmlformats.org/drawingml/2006/picture">
                <pic:pic>
                  <pic:nvPicPr>
                    <pic:cNvPr descr="C:/Users/maxim/OneDrive/Documents/GitHub/Chapter3/outputs/05_outputs_figures/05_figure4.png" id="41" name="Picture"/>
                    <pic:cNvPicPr>
                      <a:picLocks noChangeArrowheads="1" noChangeAspect="1"/>
                    </pic:cNvPicPr>
                  </pic:nvPicPr>
                  <pic:blipFill>
                    <a:blip r:embed="rId39"/>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Title (A) and (B) Novice. (C) and (D) Advanced.</w:t>
      </w:r>
    </w:p>
    <w:p>
      <w:r>
        <w:br w:type="page"/>
      </w:r>
    </w:p>
    <w:bookmarkEnd w:id="42"/>
    <w:bookmarkEnd w:id="43"/>
    <w:bookmarkStart w:id="122" w:name="litterature-cited"/>
    <w:p>
      <w:pPr>
        <w:pStyle w:val="Heading1"/>
      </w:pPr>
      <w:r>
        <w:t xml:space="preserve">LITTERATURE CITED</w:t>
      </w:r>
    </w:p>
    <w:bookmarkStart w:id="121" w:name="refs"/>
    <w:bookmarkStart w:id="45" w:name="ref-Araujo.etal2011"/>
    <w:p>
      <w:pPr>
        <w:pStyle w:val="Bibliography"/>
      </w:pPr>
      <w:r>
        <w:t xml:space="preserve">Araújo, M.S., Bolnick, D.I. &amp; Layman, C.A. (2011).</w:t>
      </w:r>
      <w:r>
        <w:t xml:space="preserve"> </w:t>
      </w:r>
      <w:hyperlink r:id="rId44">
        <w:r>
          <w:rPr>
            <w:rStyle w:val="Hyperlink"/>
          </w:rPr>
          <w:t xml:space="preserve">The ecological causes of individual specialisation</w:t>
        </w:r>
      </w:hyperlink>
      <w:r>
        <w:t xml:space="preserve">.</w:t>
      </w:r>
      <w:r>
        <w:t xml:space="preserve"> </w:t>
      </w:r>
      <w:r>
        <w:rPr>
          <w:iCs/>
          <w:i/>
        </w:rPr>
        <w:t xml:space="preserve">Ecol. Lett.</w:t>
      </w:r>
      <w:r>
        <w:t xml:space="preserve">, 14, 948–958.</w:t>
      </w:r>
    </w:p>
    <w:bookmarkEnd w:id="45"/>
    <w:bookmarkStart w:id="47" w:name="ref-Beauchamp2020"/>
    <w:p>
      <w:pPr>
        <w:pStyle w:val="Bibliography"/>
      </w:pPr>
      <w:r>
        <w:t xml:space="preserve">Beauchamp, G. (2020).</w:t>
      </w:r>
      <w:r>
        <w:t xml:space="preserve"> </w:t>
      </w:r>
      <w:hyperlink r:id="rId46">
        <w:r>
          <w:rPr>
            <w:rStyle w:val="Hyperlink"/>
          </w:rPr>
          <w:t xml:space="preserve">Predator attack patterns influence vigilance in a virtual experiment</w:t>
        </w:r>
      </w:hyperlink>
      <w:r>
        <w:t xml:space="preserve">.</w:t>
      </w:r>
      <w:r>
        <w:t xml:space="preserve"> </w:t>
      </w:r>
      <w:r>
        <w:rPr>
          <w:iCs/>
          <w:i/>
        </w:rPr>
        <w:t xml:space="preserve">Behav Ecol Sociobiol</w:t>
      </w:r>
      <w:r>
        <w:t xml:space="preserve">, 74, 49.</w:t>
      </w:r>
    </w:p>
    <w:bookmarkEnd w:id="47"/>
    <w:bookmarkStart w:id="49" w:name="ref-Cere.etal2021"/>
    <w:p>
      <w:pPr>
        <w:pStyle w:val="Bibliography"/>
      </w:pPr>
      <w:r>
        <w:t xml:space="preserve">Céré, J., Montiglio, P.-O. &amp; Kelly, C.D. (2021).</w:t>
      </w:r>
      <w:r>
        <w:t xml:space="preserve"> </w:t>
      </w:r>
      <w:hyperlink r:id="rId48">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49"/>
    <w:bookmarkStart w:id="51" w:name="ref-Chang.etal2017"/>
    <w:p>
      <w:pPr>
        <w:pStyle w:val="Bibliography"/>
      </w:pPr>
      <w:r>
        <w:t xml:space="preserve">Chang, C., Teo, H.Y., Norma-Rashid, Y. &amp; Li, D. (2017).</w:t>
      </w:r>
      <w:r>
        <w:t xml:space="preserve"> </w:t>
      </w:r>
      <w:hyperlink r:id="rId50">
        <w:r>
          <w:rPr>
            <w:rStyle w:val="Hyperlink"/>
          </w:rPr>
          <w:t xml:space="preserve">Predator personality and prey behavioural predictability jointly determine foraging performance</w:t>
        </w:r>
      </w:hyperlink>
      <w:r>
        <w:t xml:space="preserve">.</w:t>
      </w:r>
      <w:r>
        <w:t xml:space="preserve"> </w:t>
      </w:r>
      <w:r>
        <w:rPr>
          <w:iCs/>
          <w:i/>
        </w:rPr>
        <w:t xml:space="preserve">Sci. Rep.</w:t>
      </w:r>
      <w:r>
        <w:t xml:space="preserve">, 7, 40734.</w:t>
      </w:r>
    </w:p>
    <w:bookmarkEnd w:id="51"/>
    <w:bookmarkStart w:id="53"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52">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 Lett.</w:t>
      </w:r>
      <w:r>
        <w:t xml:space="preserve">, 21, 1043–1054.</w:t>
      </w:r>
    </w:p>
    <w:bookmarkEnd w:id="53"/>
    <w:bookmarkStart w:id="55" w:name="ref-Davoren.etal2003"/>
    <w:p>
      <w:pPr>
        <w:pStyle w:val="Bibliography"/>
      </w:pPr>
      <w:r>
        <w:t xml:space="preserve">Davoren, G.K., Montevecchi, W.A. &amp; Anderson, J.T. (2003).</w:t>
      </w:r>
      <w:r>
        <w:t xml:space="preserve"> </w:t>
      </w:r>
      <w:hyperlink r:id="rId54">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 Monogr.</w:t>
      </w:r>
      <w:r>
        <w:t xml:space="preserve">, 73, 463–481.</w:t>
      </w:r>
    </w:p>
    <w:bookmarkEnd w:id="55"/>
    <w:bookmarkStart w:id="57" w:name="ref-Dukas2019"/>
    <w:p>
      <w:pPr>
        <w:pStyle w:val="Bibliography"/>
      </w:pPr>
      <w:r>
        <w:t xml:space="preserve">Dukas, R. (2019).</w:t>
      </w:r>
      <w:r>
        <w:t xml:space="preserve"> </w:t>
      </w:r>
      <w:hyperlink r:id="rId56">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57"/>
    <w:bookmarkStart w:id="59" w:name="ref-Edwards.Jackson1994"/>
    <w:p>
      <w:pPr>
        <w:pStyle w:val="Bibliography"/>
      </w:pPr>
      <w:r>
        <w:t xml:space="preserve">Edwards, G.B. &amp; Jackson, R.R. (1994).</w:t>
      </w:r>
      <w:r>
        <w:t xml:space="preserve"> </w:t>
      </w:r>
      <w:hyperlink r:id="rId58">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 Z. J. Zool.</w:t>
      </w:r>
      <w:r>
        <w:t xml:space="preserve">, 21, 269–277.</w:t>
      </w:r>
    </w:p>
    <w:bookmarkEnd w:id="59"/>
    <w:bookmarkStart w:id="61" w:name="ref-Estes.etal2003"/>
    <w:p>
      <w:pPr>
        <w:pStyle w:val="Bibliography"/>
      </w:pPr>
      <w:r>
        <w:t xml:space="preserve">Estes, J.A., Riedman, M.L., Staedler, M.M., Tinker, M.T. &amp; Lyon, B.E. (2003).</w:t>
      </w:r>
      <w:r>
        <w:t xml:space="preserve"> </w:t>
      </w:r>
      <w:hyperlink r:id="rId60">
        <w:r>
          <w:rPr>
            <w:rStyle w:val="Hyperlink"/>
          </w:rPr>
          <w:t xml:space="preserve">Individual variation in prey selection by sea otters: Patterns, causes and implications</w:t>
        </w:r>
      </w:hyperlink>
      <w:r>
        <w:t xml:space="preserve">.</w:t>
      </w:r>
      <w:r>
        <w:t xml:space="preserve"> </w:t>
      </w:r>
      <w:r>
        <w:rPr>
          <w:iCs/>
          <w:i/>
        </w:rPr>
        <w:t xml:space="preserve">J. Anim. Ecol.</w:t>
      </w:r>
      <w:r>
        <w:t xml:space="preserve">, 72, 144–155.</w:t>
      </w:r>
    </w:p>
    <w:bookmarkEnd w:id="61"/>
    <w:bookmarkStart w:id="63" w:name="ref-FraserFranco.etal2022"/>
    <w:p>
      <w:pPr>
        <w:pStyle w:val="Bibliography"/>
      </w:pPr>
      <w:r>
        <w:t xml:space="preserve">Fraser Franco, M., Santostefano, F., Kelly, C.D. &amp; Montiglio, P.-O. (2022).</w:t>
      </w:r>
      <w:r>
        <w:t xml:space="preserve"> </w:t>
      </w:r>
      <w:hyperlink r:id="rId62">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arac063.</w:t>
      </w:r>
    </w:p>
    <w:bookmarkEnd w:id="63"/>
    <w:bookmarkStart w:id="65" w:name="ref-Griffen.etal2012"/>
    <w:p>
      <w:pPr>
        <w:pStyle w:val="Bibliography"/>
      </w:pPr>
      <w:r>
        <w:t xml:space="preserve">Griffen, B.D., Toscano, B.J. &amp; Gatto, J. (2012).</w:t>
      </w:r>
      <w:r>
        <w:t xml:space="preserve"> </w:t>
      </w:r>
      <w:hyperlink r:id="rId64">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65"/>
    <w:bookmarkStart w:id="67" w:name="ref-Heithaus.etal2018"/>
    <w:p>
      <w:pPr>
        <w:pStyle w:val="Bibliography"/>
      </w:pPr>
      <w:r>
        <w:t xml:space="preserve">Heithaus, M.R., Dill, L.M. &amp; Kiszka, J.J. (2018).</w:t>
      </w:r>
      <w:r>
        <w:t xml:space="preserve"> </w:t>
      </w:r>
      <w:hyperlink r:id="rId66">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67"/>
    <w:bookmarkStart w:id="69" w:name="ref-Huey.Pianka1981"/>
    <w:p>
      <w:pPr>
        <w:pStyle w:val="Bibliography"/>
      </w:pPr>
      <w:r>
        <w:t xml:space="preserve">Huey, R.B. &amp; Pianka, E.R. (1981).</w:t>
      </w:r>
      <w:r>
        <w:t xml:space="preserve"> </w:t>
      </w:r>
      <w:hyperlink r:id="rId68">
        <w:r>
          <w:rPr>
            <w:rStyle w:val="Hyperlink"/>
          </w:rPr>
          <w:t xml:space="preserve">Ecological consequences of foraging mode</w:t>
        </w:r>
      </w:hyperlink>
      <w:r>
        <w:t xml:space="preserve">.</w:t>
      </w:r>
      <w:r>
        <w:t xml:space="preserve"> </w:t>
      </w:r>
      <w:r>
        <w:rPr>
          <w:iCs/>
          <w:i/>
        </w:rPr>
        <w:t xml:space="preserve">Ecology</w:t>
      </w:r>
      <w:r>
        <w:t xml:space="preserve">, 62, 991–999.</w:t>
      </w:r>
    </w:p>
    <w:bookmarkEnd w:id="69"/>
    <w:bookmarkStart w:id="71" w:name="ref-Ishii.Shimada2010"/>
    <w:p>
      <w:pPr>
        <w:pStyle w:val="Bibliography"/>
      </w:pPr>
      <w:r>
        <w:t xml:space="preserve">Ishii, Y. &amp; Shimada, M. (2010).</w:t>
      </w:r>
      <w:r>
        <w:t xml:space="preserve"> </w:t>
      </w:r>
      <w:hyperlink r:id="rId70">
        <w:r>
          <w:rPr>
            <w:rStyle w:val="Hyperlink"/>
          </w:rPr>
          <w:t xml:space="preserve">The effect of learning and search images on predator</w:t>
        </w:r>
        <w:r>
          <w:rPr>
            <w:rStyle w:val="Hyperlink"/>
          </w:rPr>
          <w:t xml:space="preserve">prey interactions</w:t>
        </w:r>
      </w:hyperlink>
      <w:r>
        <w:t xml:space="preserve">.</w:t>
      </w:r>
      <w:r>
        <w:t xml:space="preserve"> </w:t>
      </w:r>
      <w:r>
        <w:rPr>
          <w:iCs/>
          <w:i/>
        </w:rPr>
        <w:t xml:space="preserve">Popul. Ecol.</w:t>
      </w:r>
      <w:r>
        <w:t xml:space="preserve">, 52, 27.</w:t>
      </w:r>
    </w:p>
    <w:bookmarkEnd w:id="71"/>
    <w:bookmarkStart w:id="73" w:name="X861472cb300cb4fe47c34b2285e8585ed9d2165"/>
    <w:p>
      <w:pPr>
        <w:pStyle w:val="Bibliography"/>
      </w:pPr>
      <w:r>
        <w:t xml:space="preserve">Kernaléguen, L., Arnould, J.P.Y., Guinet, C. &amp; Cherel, Y. (2015).</w:t>
      </w:r>
      <w:r>
        <w:t xml:space="preserve"> </w:t>
      </w:r>
      <w:hyperlink r:id="rId72">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 Anim. Ecol.</w:t>
      </w:r>
      <w:r>
        <w:t xml:space="preserve">, 84, 1081–1091.</w:t>
      </w:r>
    </w:p>
    <w:bookmarkEnd w:id="73"/>
    <w:bookmarkStart w:id="75" w:name="ref-Kobler.etal2009"/>
    <w:p>
      <w:pPr>
        <w:pStyle w:val="Bibliography"/>
      </w:pPr>
      <w:r>
        <w:t xml:space="preserve">Kobler, A., Klefoth, T., Mehner, T. &amp; Arlinghaus, R. (2009).</w:t>
      </w:r>
      <w:r>
        <w:t xml:space="preserve"> </w:t>
      </w:r>
      <w:hyperlink r:id="rId74">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75"/>
    <w:bookmarkStart w:id="77" w:name="X6c7e3aeb277c8347e9da059dcf5014bc78fbbe9"/>
    <w:p>
      <w:pPr>
        <w:pStyle w:val="Bibliography"/>
      </w:pPr>
      <w:r>
        <w:t xml:space="preserve">MacDonald, K. (2007).</w:t>
      </w:r>
      <w:r>
        <w:t xml:space="preserve"> </w:t>
      </w:r>
      <w:hyperlink r:id="rId76">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 Nat</w:t>
      </w:r>
      <w:r>
        <w:t xml:space="preserve">, 18, 386–402.</w:t>
      </w:r>
    </w:p>
    <w:bookmarkEnd w:id="77"/>
    <w:bookmarkStart w:id="79" w:name="ref-Manlick.etal2021"/>
    <w:p>
      <w:pPr>
        <w:pStyle w:val="Bibliography"/>
      </w:pPr>
      <w:r>
        <w:t xml:space="preserve">Manlick, P.J., Maldonado, K. &amp; Newsome, S.D. (2021).</w:t>
      </w:r>
      <w:r>
        <w:t xml:space="preserve"> </w:t>
      </w:r>
      <w:hyperlink r:id="rId78">
        <w:r>
          <w:rPr>
            <w:rStyle w:val="Hyperlink"/>
          </w:rPr>
          <w:t xml:space="preserve">Competition shapes individual foraging and survival in a desert rodent ensemble</w:t>
        </w:r>
      </w:hyperlink>
      <w:r>
        <w:t xml:space="preserve">.</w:t>
      </w:r>
      <w:r>
        <w:t xml:space="preserve"> </w:t>
      </w:r>
      <w:r>
        <w:rPr>
          <w:iCs/>
          <w:i/>
        </w:rPr>
        <w:t xml:space="preserve">J. Anim. Ecol.</w:t>
      </w:r>
      <w:r>
        <w:t xml:space="preserve">, 90, 2806–2818.</w:t>
      </w:r>
    </w:p>
    <w:bookmarkEnd w:id="79"/>
    <w:bookmarkStart w:id="81" w:name="ref-Matsumura.Miyatake2022a"/>
    <w:p>
      <w:pPr>
        <w:pStyle w:val="Bibliography"/>
      </w:pPr>
      <w:r>
        <w:t xml:space="preserve">Matsumura, K. &amp; Miyatake, T. (2022).</w:t>
      </w:r>
      <w:r>
        <w:t xml:space="preserve"> </w:t>
      </w:r>
      <w:hyperlink r:id="rId80">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81"/>
    <w:bookmarkStart w:id="83" w:name="ref-Mery.Burns2010"/>
    <w:p>
      <w:pPr>
        <w:pStyle w:val="Bibliography"/>
      </w:pPr>
      <w:r>
        <w:t xml:space="preserve">Mery, F. &amp; Burns, J.G. (2010).</w:t>
      </w:r>
      <w:r>
        <w:t xml:space="preserve"> </w:t>
      </w:r>
      <w:hyperlink r:id="rId82">
        <w:r>
          <w:rPr>
            <w:rStyle w:val="Hyperlink"/>
          </w:rPr>
          <w:t xml:space="preserve">Behavioural plasticity: An interaction between evolution and experience</w:t>
        </w:r>
      </w:hyperlink>
      <w:r>
        <w:t xml:space="preserve">.</w:t>
      </w:r>
      <w:r>
        <w:t xml:space="preserve"> </w:t>
      </w:r>
      <w:r>
        <w:rPr>
          <w:iCs/>
          <w:i/>
        </w:rPr>
        <w:t xml:space="preserve">Evol. Ecol.</w:t>
      </w:r>
      <w:r>
        <w:t xml:space="preserve">, 24, 571–583.</w:t>
      </w:r>
    </w:p>
    <w:bookmarkEnd w:id="83"/>
    <w:bookmarkStart w:id="85" w:name="ref-Michalko.etal2021"/>
    <w:p>
      <w:pPr>
        <w:pStyle w:val="Bibliography"/>
      </w:pPr>
      <w:r>
        <w:t xml:space="preserve">Michalko, R., Gibbons, A.T., Goodacre, S.L. &amp; Pekár, S. (2021).</w:t>
      </w:r>
      <w:r>
        <w:t xml:space="preserve"> </w:t>
      </w:r>
      <w:hyperlink r:id="rId84">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85"/>
    <w:bookmarkStart w:id="87" w:name="ref-Michalko.Pekar2016"/>
    <w:p>
      <w:pPr>
        <w:pStyle w:val="Bibliography"/>
      </w:pPr>
      <w:r>
        <w:t xml:space="preserve">Michalko, R. &amp; Pekár, S. (2016).</w:t>
      </w:r>
      <w:r>
        <w:t xml:space="preserve"> </w:t>
      </w:r>
      <w:hyperlink r:id="rId86">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87"/>
    <w:bookmarkStart w:id="89" w:name="ref-Moran.etal2017"/>
    <w:p>
      <w:pPr>
        <w:pStyle w:val="Bibliography"/>
      </w:pPr>
      <w:r>
        <w:t xml:space="preserve">Moran, N.P., Wong, B.B.M. &amp; Thompson, R.M. (2017).</w:t>
      </w:r>
      <w:r>
        <w:t xml:space="preserve"> </w:t>
      </w:r>
      <w:hyperlink r:id="rId88">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89"/>
    <w:bookmarkStart w:id="91" w:name="ref-Morse2000"/>
    <w:p>
      <w:pPr>
        <w:pStyle w:val="Bibliography"/>
      </w:pPr>
      <w:r>
        <w:t xml:space="preserve">Morse, D.H. (2000).</w:t>
      </w:r>
      <w:r>
        <w:t xml:space="preserve"> </w:t>
      </w:r>
      <w:hyperlink r:id="rId90">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91"/>
    <w:bookmarkStart w:id="93" w:name="ref-Patrick.Weimerskirch2014a"/>
    <w:p>
      <w:pPr>
        <w:pStyle w:val="Bibliography"/>
      </w:pPr>
      <w:r>
        <w:t xml:space="preserve">Patrick, S.C. &amp; Weimerskirch, H. (2014a).</w:t>
      </w:r>
      <w:r>
        <w:t xml:space="preserve"> </w:t>
      </w:r>
      <w:hyperlink r:id="rId92">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 Lett.</w:t>
      </w:r>
      <w:r>
        <w:t xml:space="preserve">, 10, 20140630.</w:t>
      </w:r>
    </w:p>
    <w:bookmarkEnd w:id="93"/>
    <w:bookmarkStart w:id="95" w:name="ref-Patrick.Weimerskirch2014"/>
    <w:p>
      <w:pPr>
        <w:pStyle w:val="Bibliography"/>
      </w:pPr>
      <w:r>
        <w:t xml:space="preserve">Patrick, S.C. &amp; Weimerskirch, H. (2014b).</w:t>
      </w:r>
      <w:r>
        <w:t xml:space="preserve"> </w:t>
      </w:r>
      <w:hyperlink r:id="rId94">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95"/>
    <w:bookmarkStart w:id="97" w:name="ref-Paull.etal2012"/>
    <w:p>
      <w:pPr>
        <w:pStyle w:val="Bibliography"/>
      </w:pPr>
      <w:r>
        <w:t xml:space="preserve">Paull, J.S., Martin, R.A. &amp; Pfennig, D.W. (2012).</w:t>
      </w:r>
      <w:r>
        <w:t xml:space="preserve"> </w:t>
      </w:r>
      <w:hyperlink r:id="rId96">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97"/>
    <w:bookmarkStart w:id="99" w:name="ref-Phillips.etal2017"/>
    <w:p>
      <w:pPr>
        <w:pStyle w:val="Bibliography"/>
      </w:pPr>
      <w:r>
        <w:t xml:space="preserve">Phillips, R.A., Lewis, S., González-Solís, J. &amp; Daunt, F. (2017).</w:t>
      </w:r>
      <w:r>
        <w:t xml:space="preserve"> </w:t>
      </w:r>
      <w:hyperlink r:id="rId98">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 Ecol. Prog. Ser.</w:t>
      </w:r>
      <w:r>
        <w:t xml:space="preserve">, 578, 117–150.</w:t>
      </w:r>
    </w:p>
    <w:bookmarkEnd w:id="99"/>
    <w:bookmarkStart w:id="101" w:name="ref-Potier.etal2015"/>
    <w:p>
      <w:pPr>
        <w:pStyle w:val="Bibliography"/>
      </w:pPr>
      <w:r>
        <w:t xml:space="preserve">Potier, S., Carpentier, A., Grémillet, D., Leroy, B. &amp; Lescroël, A. (2015).</w:t>
      </w:r>
      <w:r>
        <w:t xml:space="preserve"> </w:t>
      </w:r>
      <w:hyperlink r:id="rId100">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101"/>
    <w:bookmarkStart w:id="103" w:name="ref-Reid.etal2010"/>
    <w:p>
      <w:pPr>
        <w:pStyle w:val="Bibliography"/>
      </w:pPr>
      <w:r>
        <w:t xml:space="preserve">Reid, A., Seebacher, F. &amp; Ward, A. (2010).</w:t>
      </w:r>
      <w:r>
        <w:t xml:space="preserve"> </w:t>
      </w:r>
      <w:hyperlink r:id="rId102">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103"/>
    <w:bookmarkStart w:id="105" w:name="ref-Snell-Rood2013"/>
    <w:p>
      <w:pPr>
        <w:pStyle w:val="Bibliography"/>
      </w:pPr>
      <w:r>
        <w:t xml:space="preserve">Snell-Rood, E.C. (2013).</w:t>
      </w:r>
      <w:r>
        <w:t xml:space="preserve"> </w:t>
      </w:r>
      <w:hyperlink r:id="rId104">
        <w:r>
          <w:rPr>
            <w:rStyle w:val="Hyperlink"/>
          </w:rPr>
          <w:t xml:space="preserve">An overview of the evolutionary causes and consequences of behavioural plasticity</w:t>
        </w:r>
      </w:hyperlink>
      <w:r>
        <w:t xml:space="preserve">.</w:t>
      </w:r>
      <w:r>
        <w:t xml:space="preserve"> </w:t>
      </w:r>
      <w:r>
        <w:rPr>
          <w:iCs/>
          <w:i/>
        </w:rPr>
        <w:t xml:space="preserve">Anim. Behav.</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105"/>
    <w:bookmarkStart w:id="107" w:name="ref-Tinker.etal2008"/>
    <w:p>
      <w:pPr>
        <w:pStyle w:val="Bibliography"/>
      </w:pPr>
      <w:r>
        <w:t xml:space="preserve">Tinker, M.T., Bentall, G. &amp; Estes, J.A. (2008).</w:t>
      </w:r>
      <w:r>
        <w:t xml:space="preserve"> </w:t>
      </w:r>
      <w:hyperlink r:id="rId106">
        <w:r>
          <w:rPr>
            <w:rStyle w:val="Hyperlink"/>
          </w:rPr>
          <w:t xml:space="preserve">Food limitation leads to behavioral diversification and dietary specialization in sea otters</w:t>
        </w:r>
      </w:hyperlink>
      <w:r>
        <w:t xml:space="preserve">.</w:t>
      </w:r>
      <w:r>
        <w:t xml:space="preserve"> </w:t>
      </w:r>
      <w:r>
        <w:rPr>
          <w:iCs/>
          <w:i/>
        </w:rPr>
        <w:t xml:space="preserve">PNAS</w:t>
      </w:r>
      <w:r>
        <w:t xml:space="preserve">, 105, 560–565.</w:t>
      </w:r>
    </w:p>
    <w:bookmarkEnd w:id="107"/>
    <w:bookmarkStart w:id="108"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 Ecol. Res.</w:t>
      </w:r>
      <w:r>
        <w:t xml:space="preserve">, 11, 841–869.</w:t>
      </w:r>
    </w:p>
    <w:bookmarkEnd w:id="108"/>
    <w:bookmarkStart w:id="110" w:name="Xa9f710354cc886f3275f2724e3e26c0203e8293"/>
    <w:p>
      <w:pPr>
        <w:pStyle w:val="Bibliography"/>
      </w:pPr>
      <w:r>
        <w:t xml:space="preserve">Toscano, B.J., Gownaris, N.J., Heerhartz, S.M. &amp; Monaco, C.J. (2016).</w:t>
      </w:r>
      <w:r>
        <w:t xml:space="preserve"> </w:t>
      </w:r>
      <w:hyperlink r:id="rId109">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10"/>
    <w:bookmarkStart w:id="112" w:name="X2d34a8037745a9f1e9ed0eb47d31f23e92657a6"/>
    <w:p>
      <w:pPr>
        <w:pStyle w:val="Bibliography"/>
      </w:pPr>
      <w:r>
        <w:t xml:space="preserve">Toscano, B.J. &amp; Griffen, B.D. (2014).</w:t>
      </w:r>
      <w:r>
        <w:t xml:space="preserve"> </w:t>
      </w:r>
      <w:hyperlink r:id="rId111">
        <w:r>
          <w:rPr>
            <w:rStyle w:val="Hyperlink"/>
          </w:rPr>
          <w:t xml:space="preserve">Trait-mediated functional responses: Predator behavioural type mediates prey consumption</w:t>
        </w:r>
      </w:hyperlink>
      <w:r>
        <w:t xml:space="preserve">.</w:t>
      </w:r>
      <w:r>
        <w:t xml:space="preserve"> </w:t>
      </w:r>
      <w:r>
        <w:rPr>
          <w:iCs/>
          <w:i/>
        </w:rPr>
        <w:t xml:space="preserve">J. Anim. Ecol.</w:t>
      </w:r>
      <w:r>
        <w:t xml:space="preserve">, 83, 1469–1477.</w:t>
      </w:r>
    </w:p>
    <w:bookmarkEnd w:id="112"/>
    <w:bookmarkStart w:id="114" w:name="ref-vandenBosch.etal2019"/>
    <w:p>
      <w:pPr>
        <w:pStyle w:val="Bibliography"/>
      </w:pPr>
      <w:r>
        <w:t xml:space="preserve">van den Bosch, M., Baert, J.M., Müller, W., Lens, L. &amp; Stienen, E.W.M. (2019).</w:t>
      </w:r>
      <w:r>
        <w:t xml:space="preserve"> </w:t>
      </w:r>
      <w:hyperlink r:id="rId113">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14"/>
    <w:bookmarkStart w:id="116" w:name="ref-Weimerskirch2007"/>
    <w:p>
      <w:pPr>
        <w:pStyle w:val="Bibliography"/>
      </w:pPr>
      <w:r>
        <w:t xml:space="preserve">Weimerskirch, H. (2007).</w:t>
      </w:r>
      <w:r>
        <w:t xml:space="preserve"> </w:t>
      </w:r>
      <w:hyperlink r:id="rId115">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16"/>
    <w:bookmarkStart w:id="118" w:name="ref-Wilson-Rankin2015"/>
    <w:p>
      <w:pPr>
        <w:pStyle w:val="Bibliography"/>
      </w:pPr>
      <w:r>
        <w:t xml:space="preserve">Wilson-Rankin, E.E. (2015).</w:t>
      </w:r>
      <w:r>
        <w:t xml:space="preserve"> </w:t>
      </w:r>
      <w:hyperlink r:id="rId117">
        <w:r>
          <w:rPr>
            <w:rStyle w:val="Hyperlink"/>
          </w:rPr>
          <w:t xml:space="preserve">Level of experience modulates individual foraging strategies of an invasive predatory wasp</w:t>
        </w:r>
      </w:hyperlink>
      <w:r>
        <w:t xml:space="preserve">.</w:t>
      </w:r>
      <w:r>
        <w:t xml:space="preserve"> </w:t>
      </w:r>
      <w:r>
        <w:rPr>
          <w:iCs/>
          <w:i/>
        </w:rPr>
        <w:t xml:space="preserve">Behav Ecol Sociobiol</w:t>
      </w:r>
      <w:r>
        <w:t xml:space="preserve">, 69, 491–499.</w:t>
      </w:r>
    </w:p>
    <w:bookmarkEnd w:id="118"/>
    <w:bookmarkStart w:id="120" w:name="ref-Woo.etal2008"/>
    <w:p>
      <w:pPr>
        <w:pStyle w:val="Bibliography"/>
      </w:pPr>
      <w:r>
        <w:t xml:space="preserve">Woo, K.J., Elliott, K.H., Davidson, M., Gaston, A.J. &amp; Davoren, G.K. (2008).</w:t>
      </w:r>
      <w:r>
        <w:t xml:space="preserve"> </w:t>
      </w:r>
      <w:hyperlink r:id="rId119">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 Anim. Ecol.</w:t>
      </w:r>
      <w:r>
        <w:t xml:space="preserve">, 77, 1082–1091.</w:t>
      </w:r>
    </w:p>
    <w:bookmarkEnd w:id="120"/>
    <w:bookmarkEnd w:id="121"/>
    <w:bookmarkEnd w:id="122"/>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C9533F">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5E00C2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4ACD0E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242D21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19645B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D48EC2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3F4CF9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3C670D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92E25A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D4A1E2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BAC74A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C9533F"/>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90" Target="https://doi.org/10.1006/anbe.2000.1546" TargetMode="External" /><Relationship Type="http://schemas.openxmlformats.org/officeDocument/2006/relationships/hyperlink" Id="rId117"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74" Target="https://doi.org/10.1007/s00442-009-1415-9" TargetMode="External" /><Relationship Type="http://schemas.openxmlformats.org/officeDocument/2006/relationships/hyperlink" Id="rId86" Target="https://doi.org/10.1007/s00442-016-3631-4" TargetMode="External" /><Relationship Type="http://schemas.openxmlformats.org/officeDocument/2006/relationships/hyperlink" Id="rId109" Target="https://doi.org/10.1007/s00442-016-3648-8" TargetMode="External" /><Relationship Type="http://schemas.openxmlformats.org/officeDocument/2006/relationships/hyperlink" Id="rId70" Target="https://doi.org/10.1007/s10144-009-0185-x" TargetMode="External" /><Relationship Type="http://schemas.openxmlformats.org/officeDocument/2006/relationships/hyperlink" Id="rId82" Target="https://doi.org/10.1007/s10682-009-9336-y" TargetMode="External" /><Relationship Type="http://schemas.openxmlformats.org/officeDocument/2006/relationships/hyperlink" Id="rId76" Target="https://doi.org/10.1007/s12110-007-9019-8" TargetMode="External" /><Relationship Type="http://schemas.openxmlformats.org/officeDocument/2006/relationships/hyperlink" Id="rId66" Target="https://doi.org/10.1016/B978-0-12-804327-1.00126-6" TargetMode="External" /><Relationship Type="http://schemas.openxmlformats.org/officeDocument/2006/relationships/hyperlink" Id="rId104" Target="https://doi.org/10.1016/j.anbehav.2012.12.031" TargetMode="External" /><Relationship Type="http://schemas.openxmlformats.org/officeDocument/2006/relationships/hyperlink" Id="rId100" Target="https://doi.org/10.1016/j.anbehav.2015.02.008" TargetMode="External" /><Relationship Type="http://schemas.openxmlformats.org/officeDocument/2006/relationships/hyperlink" Id="rId56" Target="https://doi.org/10.1016/j.anbehav.2018.05.010" TargetMode="External" /><Relationship Type="http://schemas.openxmlformats.org/officeDocument/2006/relationships/hyperlink" Id="rId48" Target="https://doi.org/10.1016/j.anbehav.2021.06.010" TargetMode="External" /><Relationship Type="http://schemas.openxmlformats.org/officeDocument/2006/relationships/hyperlink" Id="rId115" Target="https://doi.org/10.1016/j.dsr2.2006.11.013" TargetMode="External" /><Relationship Type="http://schemas.openxmlformats.org/officeDocument/2006/relationships/hyperlink" Id="rId50" Target="https://doi.org/10.1038/srep40734" TargetMode="External" /><Relationship Type="http://schemas.openxmlformats.org/officeDocument/2006/relationships/hyperlink" Id="rId60" Target="https://doi.org/10.1046/j.1365-2656.2003.00690.x" TargetMode="External" /><Relationship Type="http://schemas.openxmlformats.org/officeDocument/2006/relationships/hyperlink" Id="rId106" Target="https://doi.org/10.1073/pnas.0709263105" TargetMode="External" /><Relationship Type="http://schemas.openxmlformats.org/officeDocument/2006/relationships/hyperlink" Id="rId58" Target="https://doi.org/10.1080/03014223.1994.9517994" TargetMode="External" /><Relationship Type="http://schemas.openxmlformats.org/officeDocument/2006/relationships/hyperlink" Id="rId84" Target="https://doi.org/10.1093/beheco/araa123" TargetMode="External" /><Relationship Type="http://schemas.openxmlformats.org/officeDocument/2006/relationships/hyperlink" Id="rId62" Target="https://doi.org/10.1093/beheco/arac063" TargetMode="External" /><Relationship Type="http://schemas.openxmlformats.org/officeDocument/2006/relationships/hyperlink" Id="rId113" Target="https://doi.org/10.1093/beheco/arz016" TargetMode="External" /><Relationship Type="http://schemas.openxmlformats.org/officeDocument/2006/relationships/hyperlink" Id="rId92" Target="https://doi.org/10.1098/rsbl.2014.0630" TargetMode="External" /><Relationship Type="http://schemas.openxmlformats.org/officeDocument/2006/relationships/hyperlink" Id="rId111" Target="https://doi.org/10.1111/1365-2656.12236" TargetMode="External" /><Relationship Type="http://schemas.openxmlformats.org/officeDocument/2006/relationships/hyperlink" Id="rId72" Target="https://doi.org/10.1111/1365-2656.12347" TargetMode="External" /><Relationship Type="http://schemas.openxmlformats.org/officeDocument/2006/relationships/hyperlink" Id="rId78" Target="https://doi.org/10.1111/1365-2656.13583" TargetMode="External" /><Relationship Type="http://schemas.openxmlformats.org/officeDocument/2006/relationships/hyperlink" Id="rId52" Target="https://doi.org/10.1111/ele.12970" TargetMode="External" /><Relationship Type="http://schemas.openxmlformats.org/officeDocument/2006/relationships/hyperlink" Id="rId80" Target="https://doi.org/10.1111/eth.13272" TargetMode="External" /><Relationship Type="http://schemas.openxmlformats.org/officeDocument/2006/relationships/hyperlink" Id="rId96" Target="https://doi.org/10.1111/j.1095-8312.2012.01982.x" TargetMode="External" /><Relationship Type="http://schemas.openxmlformats.org/officeDocument/2006/relationships/hyperlink" Id="rId119" Target="https://doi.org/10.1111/j.1365-2656.2008.01429.x" TargetMode="External" /><Relationship Type="http://schemas.openxmlformats.org/officeDocument/2006/relationships/hyperlink" Id="rId44" Target="https://doi.org/10.1111/j.1461-0248.2011.01662.x" TargetMode="External" /><Relationship Type="http://schemas.openxmlformats.org/officeDocument/2006/relationships/hyperlink" Id="rId88" Target="https://doi.org/10.1111/oik.03642" TargetMode="External" /><Relationship Type="http://schemas.openxmlformats.org/officeDocument/2006/relationships/hyperlink" Id="rId102" Target="https://doi.org/10.1163/000579509X12512871386137" TargetMode="External" /><Relationship Type="http://schemas.openxmlformats.org/officeDocument/2006/relationships/hyperlink" Id="rId94" Target="https://doi.org/10.1371/journal.pone.0087269" TargetMode="External" /><Relationship Type="http://schemas.openxmlformats.org/officeDocument/2006/relationships/hyperlink" Id="rId54" Target="https://doi.org/10.1890/02-0208" TargetMode="External" /><Relationship Type="http://schemas.openxmlformats.org/officeDocument/2006/relationships/hyperlink" Id="rId64" Target="https://doi.org/10.1890/11-2153.1" TargetMode="External" /><Relationship Type="http://schemas.openxmlformats.org/officeDocument/2006/relationships/hyperlink" Id="rId68" Target="https://doi.org/10.2307/1936998" TargetMode="External" /><Relationship Type="http://schemas.openxmlformats.org/officeDocument/2006/relationships/hyperlink" Id="rId98" Target="https://doi.org/10.3354/meps12217"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06/anbe.2000.1546" TargetMode="External" /><Relationship Type="http://schemas.openxmlformats.org/officeDocument/2006/relationships/hyperlink" Id="rId117"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74" Target="https://doi.org/10.1007/s00442-009-1415-9" TargetMode="External" /><Relationship Type="http://schemas.openxmlformats.org/officeDocument/2006/relationships/hyperlink" Id="rId86" Target="https://doi.org/10.1007/s00442-016-3631-4" TargetMode="External" /><Relationship Type="http://schemas.openxmlformats.org/officeDocument/2006/relationships/hyperlink" Id="rId109" Target="https://doi.org/10.1007/s00442-016-3648-8" TargetMode="External" /><Relationship Type="http://schemas.openxmlformats.org/officeDocument/2006/relationships/hyperlink" Id="rId70" Target="https://doi.org/10.1007/s10144-009-0185-x" TargetMode="External" /><Relationship Type="http://schemas.openxmlformats.org/officeDocument/2006/relationships/hyperlink" Id="rId82" Target="https://doi.org/10.1007/s10682-009-9336-y" TargetMode="External" /><Relationship Type="http://schemas.openxmlformats.org/officeDocument/2006/relationships/hyperlink" Id="rId76" Target="https://doi.org/10.1007/s12110-007-9019-8" TargetMode="External" /><Relationship Type="http://schemas.openxmlformats.org/officeDocument/2006/relationships/hyperlink" Id="rId66" Target="https://doi.org/10.1016/B978-0-12-804327-1.00126-6" TargetMode="External" /><Relationship Type="http://schemas.openxmlformats.org/officeDocument/2006/relationships/hyperlink" Id="rId104" Target="https://doi.org/10.1016/j.anbehav.2012.12.031" TargetMode="External" /><Relationship Type="http://schemas.openxmlformats.org/officeDocument/2006/relationships/hyperlink" Id="rId100" Target="https://doi.org/10.1016/j.anbehav.2015.02.008" TargetMode="External" /><Relationship Type="http://schemas.openxmlformats.org/officeDocument/2006/relationships/hyperlink" Id="rId56" Target="https://doi.org/10.1016/j.anbehav.2018.05.010" TargetMode="External" /><Relationship Type="http://schemas.openxmlformats.org/officeDocument/2006/relationships/hyperlink" Id="rId48" Target="https://doi.org/10.1016/j.anbehav.2021.06.010" TargetMode="External" /><Relationship Type="http://schemas.openxmlformats.org/officeDocument/2006/relationships/hyperlink" Id="rId115" Target="https://doi.org/10.1016/j.dsr2.2006.11.013" TargetMode="External" /><Relationship Type="http://schemas.openxmlformats.org/officeDocument/2006/relationships/hyperlink" Id="rId50" Target="https://doi.org/10.1038/srep40734" TargetMode="External" /><Relationship Type="http://schemas.openxmlformats.org/officeDocument/2006/relationships/hyperlink" Id="rId60" Target="https://doi.org/10.1046/j.1365-2656.2003.00690.x" TargetMode="External" /><Relationship Type="http://schemas.openxmlformats.org/officeDocument/2006/relationships/hyperlink" Id="rId106" Target="https://doi.org/10.1073/pnas.0709263105" TargetMode="External" /><Relationship Type="http://schemas.openxmlformats.org/officeDocument/2006/relationships/hyperlink" Id="rId58" Target="https://doi.org/10.1080/03014223.1994.9517994" TargetMode="External" /><Relationship Type="http://schemas.openxmlformats.org/officeDocument/2006/relationships/hyperlink" Id="rId84" Target="https://doi.org/10.1093/beheco/araa123" TargetMode="External" /><Relationship Type="http://schemas.openxmlformats.org/officeDocument/2006/relationships/hyperlink" Id="rId62" Target="https://doi.org/10.1093/beheco/arac063" TargetMode="External" /><Relationship Type="http://schemas.openxmlformats.org/officeDocument/2006/relationships/hyperlink" Id="rId113" Target="https://doi.org/10.1093/beheco/arz016" TargetMode="External" /><Relationship Type="http://schemas.openxmlformats.org/officeDocument/2006/relationships/hyperlink" Id="rId92" Target="https://doi.org/10.1098/rsbl.2014.0630" TargetMode="External" /><Relationship Type="http://schemas.openxmlformats.org/officeDocument/2006/relationships/hyperlink" Id="rId111" Target="https://doi.org/10.1111/1365-2656.12236" TargetMode="External" /><Relationship Type="http://schemas.openxmlformats.org/officeDocument/2006/relationships/hyperlink" Id="rId72" Target="https://doi.org/10.1111/1365-2656.12347" TargetMode="External" /><Relationship Type="http://schemas.openxmlformats.org/officeDocument/2006/relationships/hyperlink" Id="rId78" Target="https://doi.org/10.1111/1365-2656.13583" TargetMode="External" /><Relationship Type="http://schemas.openxmlformats.org/officeDocument/2006/relationships/hyperlink" Id="rId52" Target="https://doi.org/10.1111/ele.12970" TargetMode="External" /><Relationship Type="http://schemas.openxmlformats.org/officeDocument/2006/relationships/hyperlink" Id="rId80" Target="https://doi.org/10.1111/eth.13272" TargetMode="External" /><Relationship Type="http://schemas.openxmlformats.org/officeDocument/2006/relationships/hyperlink" Id="rId96" Target="https://doi.org/10.1111/j.1095-8312.2012.01982.x" TargetMode="External" /><Relationship Type="http://schemas.openxmlformats.org/officeDocument/2006/relationships/hyperlink" Id="rId119" Target="https://doi.org/10.1111/j.1365-2656.2008.01429.x" TargetMode="External" /><Relationship Type="http://schemas.openxmlformats.org/officeDocument/2006/relationships/hyperlink" Id="rId44" Target="https://doi.org/10.1111/j.1461-0248.2011.01662.x" TargetMode="External" /><Relationship Type="http://schemas.openxmlformats.org/officeDocument/2006/relationships/hyperlink" Id="rId88" Target="https://doi.org/10.1111/oik.03642" TargetMode="External" /><Relationship Type="http://schemas.openxmlformats.org/officeDocument/2006/relationships/hyperlink" Id="rId102" Target="https://doi.org/10.1163/000579509X12512871386137" TargetMode="External" /><Relationship Type="http://schemas.openxmlformats.org/officeDocument/2006/relationships/hyperlink" Id="rId94" Target="https://doi.org/10.1371/journal.pone.0087269" TargetMode="External" /><Relationship Type="http://schemas.openxmlformats.org/officeDocument/2006/relationships/hyperlink" Id="rId54" Target="https://doi.org/10.1890/02-0208" TargetMode="External" /><Relationship Type="http://schemas.openxmlformats.org/officeDocument/2006/relationships/hyperlink" Id="rId64" Target="https://doi.org/10.1890/11-2153.1" TargetMode="External" /><Relationship Type="http://schemas.openxmlformats.org/officeDocument/2006/relationships/hyperlink" Id="rId68" Target="https://doi.org/10.2307/1936998" TargetMode="External" /><Relationship Type="http://schemas.openxmlformats.org/officeDocument/2006/relationships/hyperlink" Id="rId98" Target="https://doi.org/10.3354/meps122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dcterms:created xsi:type="dcterms:W3CDTF">2022-08-19T18:39:31Z</dcterms:created>
  <dcterms:modified xsi:type="dcterms:W3CDTF">2022-08-19T18:39:31Z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e-letters.csl</vt:lpwstr>
  </property>
  <property fmtid="{D5CDD505-2E9C-101B-9397-08002B2CF9AE}" pid="4" name="output">
    <vt:lpwstr/>
  </property>
</Properties>
</file>