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(Lima 2002; Schreiber</w:t>
      </w:r>
      <w:r>
        <w:t xml:space="preserve"> </w:t>
      </w:r>
      <w:r>
        <w:rPr>
          <w:iCs/>
          <w:i/>
        </w:rPr>
        <w:t xml:space="preserve">et al.</w:t>
      </w:r>
      <w:r>
        <w:t xml:space="preserve"> </w:t>
      </w:r>
      <w:r>
        <w:t xml:space="preserve">2011; Pettorelli</w:t>
      </w:r>
      <w:r>
        <w:t xml:space="preserve"> </w:t>
      </w:r>
      <w:r>
        <w:rPr>
          <w:iCs/>
          <w:i/>
        </w:rPr>
        <w:t xml:space="preserve">et al.</w:t>
      </w:r>
      <w:r>
        <w:t xml:space="preserve"> </w:t>
      </w:r>
      <w:r>
        <w:t xml:space="preserve">2015; Michalko &amp; Pekár 2016)</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w:t>
      </w:r>
      <w:r>
        <w:t xml:space="preserve">(FIND SOME TERRESTRIAL ANIMAL REFS).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hunting, predators often use hunting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behavioural differences for predator-prey interactions.</w:t>
      </w:r>
    </w:p>
    <w:p>
      <w:pPr>
        <w:pStyle w:val="BodyText"/>
      </w:pPr>
      <w:r>
        <w:t xml:space="preserve">The integration of individual behavioral variation into studies of predator-prey interactions has gained traction in recent years, with a series of empirical papers revealing important consequences for functional responses, habitat use, and prey choice (REFS). However, an important and recurring challenge impeding empirical studies of predator-prey behavioral interactions, at the individual level, is the need of collecting data simultaneously on both the predator and prey. We have recently demonstrated with behavioural data from an online predator-prey videogame that virtual systems can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general ecological patterns can potentially be derived from these virtual systems and may help in advacing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with prey partners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these systems generate large volumes of data on prey and predators simultaneously throughout their lifetime in the game, they offer the opportunity of uncovering how expertise and prey behavior shape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show that expertise allows predators to optimize the efficiency (e.g. search and handling times, return rates) of their foraging tactics potentially via associative images or reliance on prey and environmental cues</w:t>
      </w:r>
      <w:r>
        <w:t xml:space="preserve"> </w:t>
      </w:r>
      <w:r>
        <w:t xml:space="preserve">(Edwards &amp; Jackson 1994; Morse 2000;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behavioural flexibility is often key for survival in novel environments</w:t>
      </w:r>
      <w:r>
        <w:t xml:space="preserve"> </w:t>
      </w:r>
      <w:r>
        <w:t xml:space="preserve">(reviewed in Snell-Rood 2013)</w:t>
      </w:r>
      <w:r>
        <w:t xml:space="preserve"> </w:t>
      </w:r>
      <w:r>
        <w:t xml:space="preserve">(FIND OTHER REFS TO SUPPORT THIS MAYBE DAN SOL?).</w:t>
      </w:r>
    </w:p>
    <w:p>
      <w:pPr>
        <w:pStyle w:val="BodyText"/>
      </w:pPr>
      <w:r>
        <w:rPr>
          <w:iCs/>
          <w:i/>
        </w:rPr>
        <w:t xml:space="preserve">ou juste dire que pour comprendre le role de l’expertise, il faut s’attarder à l’étudier avec la specialisation et voir les consequences pour la fitness ou issue des interactions predateur proie. ca introduit mieux je crois. dire genre que une théorie prédit que spécialisation est avantage quand proies peu variable, et ensuite ça lie bien l’hypothèse de variabilité que je décris en bas. faire ressortir qu’il n’y a pas de consencus. There is right now no concencus as to whether blabla, (examples)</w:t>
      </w:r>
      <w:r>
        <w:t xml:space="preserve"> </w:t>
      </w:r>
      <w:r>
        <w:t xml:space="preserve">Some long-term studies show that generalist and specialist individuals can achieve similar fitness [sources: à partir de Woo]. An emerging explanation is that temporal fluctuations in the predictability of resources (abundance, availability, behaviour)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r>
        <w:t xml:space="preserve"> </w:t>
      </w:r>
      <w:r>
        <w:rPr>
          <w:iCs/>
          <w:i/>
        </w:rPr>
        <w:t xml:space="preserve">ce qu’il manque, c’est qu’on a aucune idée comment des différences individuelles de variabilité environnementale se traduisent par des différences de stratégies</w:t>
      </w:r>
      <w:r>
        <w:t xml:space="preserve"> </w:t>
      </w:r>
      <w:r>
        <w:t xml:space="preserve">sources générales sur heterogeneité</w:t>
      </w:r>
      <w:r>
        <w:t xml:space="preserve">(Weimerskirch 2007; Ceia &amp; Ramos 2015; Phillips</w:t>
      </w:r>
      <w:r>
        <w:t xml:space="preserve"> </w:t>
      </w:r>
      <w:r>
        <w:rPr>
          <w:iCs/>
          <w:i/>
        </w:rPr>
        <w:t xml:space="preserve">et al.</w:t>
      </w:r>
      <w:r>
        <w:t xml:space="preserve"> </w:t>
      </w:r>
      <w:r>
        <w:t xml:space="preserve">2017; Patrick</w:t>
      </w:r>
      <w:r>
        <w:t xml:space="preserve"> </w:t>
      </w:r>
      <w:r>
        <w:rPr>
          <w:iCs/>
          <w:i/>
        </w:rPr>
        <w:t xml:space="preserve">et al.</w:t>
      </w:r>
      <w:r>
        <w:t xml:space="preserve"> </w:t>
      </w:r>
      <w:r>
        <w:t xml:space="preserve">2021)</w:t>
      </w:r>
      <w:r>
        <w:t xml:space="preserve">.</w:t>
      </w:r>
    </w:p>
    <w:p>
      <w:pPr>
        <w:pStyle w:val="BodyText"/>
      </w:pPr>
      <w:r>
        <w:t xml:space="preserve">Here, we analyze individual behavioural data provided by a videogame company from players in</w:t>
      </w:r>
      <w:r>
        <w:t xml:space="preserve"> </w:t>
      </w:r>
      <w:r>
        <w:rPr>
          <w:iCs/>
          <w:i/>
        </w:rPr>
        <w:t xml:space="preserve">Dead by Daylight</w:t>
      </w:r>
      <w:r>
        <w:t xml:space="preserve"> </w:t>
      </w:r>
      <w:r>
        <w:t xml:space="preserve">to test how hunting expertise and prey behaviour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behavioural interaction as both the predator and the four prey were measured simultaneously in each trial. First, we investigate how predators developped their individual hunting expertise. We hypothesize that predators should differ in the development of their expertise because they encounter varying levels of difficulty with the prey that they hunt. Second, we test the hypothesis that individual variation in foraging behaviour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behaviour. Whether predators specialize or not with expertise may depend on the behaviour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84" w:name="litterature-cited"/>
    <w:p>
      <w:pPr>
        <w:pStyle w:val="Heading1"/>
      </w:pPr>
      <w:r>
        <w:t xml:space="preserve">Litterature cited</w:t>
      </w:r>
    </w:p>
    <w:bookmarkStart w:id="83" w:name="refs"/>
    <w:bookmarkStart w:id="23" w:name="ref-Araujo.etal2011"/>
    <w:p>
      <w:pPr>
        <w:pStyle w:val="Bibliography"/>
      </w:pPr>
      <w:r>
        <w:t xml:space="preserve">Araújo, M.S., Bolnick, D.I. &amp; Layman, C.A. (2011).</w:t>
      </w:r>
      <w:r>
        <w:t xml:space="preserve"> </w:t>
      </w:r>
      <w:hyperlink r:id="rId22">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23"/>
    <w:bookmarkStart w:id="25" w:name="ref-Beauchamp2020"/>
    <w:p>
      <w:pPr>
        <w:pStyle w:val="Bibliography"/>
      </w:pPr>
      <w:r>
        <w:t xml:space="preserve">Beauchamp, G. (2020).</w:t>
      </w:r>
      <w:r>
        <w:t xml:space="preserve"> </w:t>
      </w:r>
      <w:hyperlink r:id="rId24">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25"/>
    <w:bookmarkStart w:id="27" w:name="ref-Ceia.Ramos2015"/>
    <w:p>
      <w:pPr>
        <w:pStyle w:val="Bibliography"/>
      </w:pPr>
      <w:r>
        <w:t xml:space="preserve">Ceia, F.R. &amp; Ramos, J.A. (2015).</w:t>
      </w:r>
      <w:r>
        <w:t xml:space="preserve"> </w:t>
      </w:r>
      <w:hyperlink r:id="rId26">
        <w:r>
          <w:rPr>
            <w:rStyle w:val="Hyperlink"/>
          </w:rPr>
          <w:t xml:space="preserve">Individual specialization in the foraging and feeding strategies of seabirds: A review</w:t>
        </w:r>
      </w:hyperlink>
      <w:r>
        <w:t xml:space="preserve">.</w:t>
      </w:r>
      <w:r>
        <w:t xml:space="preserve"> </w:t>
      </w:r>
      <w:r>
        <w:rPr>
          <w:iCs/>
          <w:i/>
        </w:rPr>
        <w:t xml:space="preserve">Mar Biol</w:t>
      </w:r>
      <w:r>
        <w:t xml:space="preserve">, 162, 1923–1938.</w:t>
      </w:r>
    </w:p>
    <w:bookmarkEnd w:id="27"/>
    <w:bookmarkStart w:id="29" w:name="ref-Cere.etal2021"/>
    <w:p>
      <w:pPr>
        <w:pStyle w:val="Bibliography"/>
      </w:pPr>
      <w:r>
        <w:t xml:space="preserve">Céré, J., Montiglio, P.-O. &amp; Kelly, C.D. (2021).</w:t>
      </w:r>
      <w:r>
        <w:t xml:space="preserve"> </w:t>
      </w:r>
      <w:hyperlink r:id="rId2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29"/>
    <w:bookmarkStart w:id="31"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30">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31"/>
    <w:bookmarkStart w:id="33" w:name="ref-Davoren.etal2003"/>
    <w:p>
      <w:pPr>
        <w:pStyle w:val="Bibliography"/>
      </w:pPr>
      <w:r>
        <w:t xml:space="preserve">Davoren, G.K., Montevecchi, W.A. &amp; Anderson, J.T. (2003).</w:t>
      </w:r>
      <w:r>
        <w:t xml:space="preserve"> </w:t>
      </w:r>
      <w:hyperlink r:id="rId3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33"/>
    <w:bookmarkStart w:id="35" w:name="ref-Dukas2019"/>
    <w:p>
      <w:pPr>
        <w:pStyle w:val="Bibliography"/>
      </w:pPr>
      <w:r>
        <w:t xml:space="preserve">Dukas, R. (2019).</w:t>
      </w:r>
      <w:r>
        <w:t xml:space="preserve"> </w:t>
      </w:r>
      <w:hyperlink r:id="rId34">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35"/>
    <w:bookmarkStart w:id="37" w:name="ref-Edwards.Jackson1994"/>
    <w:p>
      <w:pPr>
        <w:pStyle w:val="Bibliography"/>
      </w:pPr>
      <w:r>
        <w:t xml:space="preserve">Edwards, G.B. &amp; Jackson, R.R. (1994).</w:t>
      </w:r>
      <w:r>
        <w:t xml:space="preserve"> </w:t>
      </w:r>
      <w:hyperlink r:id="rId36">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37"/>
    <w:bookmarkStart w:id="39" w:name="ref-Estes.etal2003"/>
    <w:p>
      <w:pPr>
        <w:pStyle w:val="Bibliography"/>
      </w:pPr>
      <w:r>
        <w:t xml:space="preserve">Estes, J.A., Riedman, M.L., Staedler, M.M., Tinker, M.T. &amp; Lyon, B.E. (2003).</w:t>
      </w:r>
      <w:r>
        <w:t xml:space="preserve"> </w:t>
      </w:r>
      <w:hyperlink r:id="rId38">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39"/>
    <w:bookmarkStart w:id="41" w:name="ref-FraserFranco.etal2022"/>
    <w:p>
      <w:pPr>
        <w:pStyle w:val="Bibliography"/>
      </w:pPr>
      <w:r>
        <w:t xml:space="preserve">Fraser Franco, M., Santostefano, F., Kelly, C.D. &amp; Montiglio, P.-O. (2022).</w:t>
      </w:r>
      <w:r>
        <w:t xml:space="preserve"> </w:t>
      </w:r>
      <w:hyperlink r:id="rId40">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41"/>
    <w:bookmarkStart w:id="43" w:name="ref-Heithaus.etal2018"/>
    <w:p>
      <w:pPr>
        <w:pStyle w:val="Bibliography"/>
      </w:pPr>
      <w:r>
        <w:t xml:space="preserve">Heithaus, M.R., Dill, L.M. &amp; Kiszka, J.J. (2018).</w:t>
      </w:r>
      <w:r>
        <w:t xml:space="preserve"> </w:t>
      </w:r>
      <w:hyperlink r:id="rId42">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43"/>
    <w:bookmarkStart w:id="45" w:name="ref-Huey.Pianka1981"/>
    <w:p>
      <w:pPr>
        <w:pStyle w:val="Bibliography"/>
      </w:pPr>
      <w:r>
        <w:t xml:space="preserve">Huey, R.B. &amp; Pianka, E.R. (1981).</w:t>
      </w:r>
      <w:r>
        <w:t xml:space="preserve"> </w:t>
      </w:r>
      <w:hyperlink r:id="rId44">
        <w:r>
          <w:rPr>
            <w:rStyle w:val="Hyperlink"/>
          </w:rPr>
          <w:t xml:space="preserve">Ecological consequences of foraging mode</w:t>
        </w:r>
      </w:hyperlink>
      <w:r>
        <w:t xml:space="preserve">.</w:t>
      </w:r>
      <w:r>
        <w:t xml:space="preserve"> </w:t>
      </w:r>
      <w:r>
        <w:rPr>
          <w:iCs/>
          <w:i/>
        </w:rPr>
        <w:t xml:space="preserve">Ecology</w:t>
      </w:r>
      <w:r>
        <w:t xml:space="preserve">, 62, 991–999.</w:t>
      </w:r>
    </w:p>
    <w:bookmarkEnd w:id="45"/>
    <w:bookmarkStart w:id="47" w:name="ref-Ishii.Shimada2010"/>
    <w:p>
      <w:pPr>
        <w:pStyle w:val="Bibliography"/>
      </w:pPr>
      <w:r>
        <w:t xml:space="preserve">Ishii, Y. &amp; Shimada, M. (2010).</w:t>
      </w:r>
      <w:r>
        <w:t xml:space="preserve"> </w:t>
      </w:r>
      <w:hyperlink r:id="rId46">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47"/>
    <w:bookmarkStart w:id="49" w:name="X861472cb300cb4fe47c34b2285e8585ed9d2165"/>
    <w:p>
      <w:pPr>
        <w:pStyle w:val="Bibliography"/>
      </w:pPr>
      <w:r>
        <w:t xml:space="preserve">Kernaléguen, L., Arnould, J.P.Y., Guinet, C. &amp; Cherel, Y. (2015).</w:t>
      </w:r>
      <w:r>
        <w:t xml:space="preserve"> </w:t>
      </w:r>
      <w:hyperlink r:id="rId48">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49"/>
    <w:bookmarkStart w:id="51" w:name="ref-Lima2002"/>
    <w:p>
      <w:pPr>
        <w:pStyle w:val="Bibliography"/>
      </w:pPr>
      <w:r>
        <w:t xml:space="preserve">Lima, S.L. (2002).</w:t>
      </w:r>
      <w:r>
        <w:t xml:space="preserve"> </w:t>
      </w:r>
      <w:hyperlink r:id="rId50">
        <w:r>
          <w:rPr>
            <w:rStyle w:val="Hyperlink"/>
          </w:rPr>
          <w:t xml:space="preserve">Putting predators back into behavioral predator</w:t>
        </w:r>
        <w:r>
          <w:rPr>
            <w:rStyle w:val="Hyperlink"/>
          </w:rPr>
          <w:t xml:space="preserve">prey interactions</w:t>
        </w:r>
      </w:hyperlink>
      <w:r>
        <w:t xml:space="preserve">.</w:t>
      </w:r>
      <w:r>
        <w:t xml:space="preserve"> </w:t>
      </w:r>
      <w:r>
        <w:rPr>
          <w:iCs/>
          <w:i/>
        </w:rPr>
        <w:t xml:space="preserve">Trends in Ecology &amp; Evolution</w:t>
      </w:r>
      <w:r>
        <w:t xml:space="preserve">, 17, 70–75.</w:t>
      </w:r>
    </w:p>
    <w:bookmarkEnd w:id="51"/>
    <w:bookmarkStart w:id="53" w:name="ref-Matsumura.Miyatake2022a"/>
    <w:p>
      <w:pPr>
        <w:pStyle w:val="Bibliography"/>
      </w:pPr>
      <w:r>
        <w:t xml:space="preserve">Matsumura, K. &amp; Miyatake, T. (2022).</w:t>
      </w:r>
      <w:r>
        <w:t xml:space="preserve"> </w:t>
      </w:r>
      <w:hyperlink r:id="rId52">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53"/>
    <w:bookmarkStart w:id="55" w:name="ref-Mery.Burns2010"/>
    <w:p>
      <w:pPr>
        <w:pStyle w:val="Bibliography"/>
      </w:pPr>
      <w:r>
        <w:t xml:space="preserve">Mery, F. &amp; Burns, J.G. (2010).</w:t>
      </w:r>
      <w:r>
        <w:t xml:space="preserve"> </w:t>
      </w:r>
      <w:hyperlink r:id="rId54">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55"/>
    <w:bookmarkStart w:id="57" w:name="ref-Michalko.Pekar2016"/>
    <w:p>
      <w:pPr>
        <w:pStyle w:val="Bibliography"/>
      </w:pPr>
      <w:r>
        <w:t xml:space="preserve">Michalko, R. &amp; Pekár, S. (2016).</w:t>
      </w:r>
      <w:r>
        <w:t xml:space="preserve"> </w:t>
      </w:r>
      <w:hyperlink r:id="rId56">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57"/>
    <w:bookmarkStart w:id="59" w:name="ref-Morse2000"/>
    <w:p>
      <w:pPr>
        <w:pStyle w:val="Bibliography"/>
      </w:pPr>
      <w:r>
        <w:t xml:space="preserve">Morse, D.H. (2000).</w:t>
      </w:r>
      <w:r>
        <w:t xml:space="preserve"> </w:t>
      </w:r>
      <w:hyperlink r:id="rId58">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59"/>
    <w:bookmarkStart w:id="61" w:name="ref-Patrick.etal2021"/>
    <w:p>
      <w:pPr>
        <w:pStyle w:val="Bibliography"/>
      </w:pPr>
      <w:r>
        <w:t xml:space="preserve">Patrick, S.C., Martin, J.G.A., Ummenhofer, C.C., Corbeau, A. &amp; Weimerskirch, H. (2021).</w:t>
      </w:r>
      <w:r>
        <w:t xml:space="preserve"> </w:t>
      </w:r>
      <w:hyperlink r:id="rId60">
        <w:r>
          <w:rPr>
            <w:rStyle w:val="Hyperlink"/>
          </w:rPr>
          <w:t xml:space="preserve">Albatrosses respond adaptively to climate variability by changing variance in a foraging trait</w:t>
        </w:r>
      </w:hyperlink>
      <w:r>
        <w:t xml:space="preserve">.</w:t>
      </w:r>
      <w:r>
        <w:t xml:space="preserve"> </w:t>
      </w:r>
      <w:r>
        <w:rPr>
          <w:iCs/>
          <w:i/>
        </w:rPr>
        <w:t xml:space="preserve">Glob. Change Biol.</w:t>
      </w:r>
      <w:r>
        <w:t xml:space="preserve">, 27, 4564–4574.</w:t>
      </w:r>
    </w:p>
    <w:bookmarkEnd w:id="61"/>
    <w:bookmarkStart w:id="63" w:name="ref-Pettorelli.etal2015"/>
    <w:p>
      <w:pPr>
        <w:pStyle w:val="Bibliography"/>
      </w:pPr>
      <w:r>
        <w:t xml:space="preserve">Pettorelli, N., Hilborn, A., Duncan, C. &amp; Durant, S.M. (2015).</w:t>
      </w:r>
      <w:r>
        <w:t xml:space="preserve"> </w:t>
      </w:r>
      <w:hyperlink r:id="rId62">
        <w:r>
          <w:rPr>
            <w:rStyle w:val="Hyperlink"/>
          </w:rPr>
          <w:t xml:space="preserve">Chapter</w:t>
        </w:r>
        <w:r>
          <w:rPr>
            <w:rStyle w:val="Hyperlink"/>
          </w:rPr>
          <w:t xml:space="preserve"> </w:t>
        </w:r>
        <w:r>
          <w:rPr>
            <w:rStyle w:val="Hyperlink"/>
          </w:rPr>
          <w:t xml:space="preserve">Two</w:t>
        </w:r>
        <w:r>
          <w:rPr>
            <w:rStyle w:val="Hyperlink"/>
          </w:rPr>
          <w:t xml:space="preserve"> </w:t>
        </w:r>
        <w:r>
          <w:rPr>
            <w:rStyle w:val="Hyperlink"/>
          </w:rPr>
          <w:t xml:space="preserve">-</w:t>
        </w:r>
        <w:r>
          <w:rPr>
            <w:rStyle w:val="Hyperlink"/>
          </w:rPr>
          <w:t xml:space="preserve"> </w:t>
        </w:r>
        <w:r>
          <w:rPr>
            <w:rStyle w:val="Hyperlink"/>
          </w:rPr>
          <w:t xml:space="preserve">Individual</w:t>
        </w:r>
        <w:r>
          <w:rPr>
            <w:rStyle w:val="Hyperlink"/>
          </w:rPr>
          <w:t xml:space="preserve"> </w:t>
        </w:r>
        <w:r>
          <w:rPr>
            <w:rStyle w:val="Hyperlink"/>
          </w:rPr>
          <w:t xml:space="preserve">variability:</w:t>
        </w:r>
        <w:r>
          <w:rPr>
            <w:rStyle w:val="Hyperlink"/>
          </w:rPr>
          <w:t xml:space="preserve"> </w:t>
        </w:r>
        <w:r>
          <w:rPr>
            <w:rStyle w:val="Hyperlink"/>
          </w:rPr>
          <w:t xml:space="preserve">The</w:t>
        </w:r>
        <w:r>
          <w:rPr>
            <w:rStyle w:val="Hyperlink"/>
          </w:rPr>
          <w:t xml:space="preserve"> </w:t>
        </w:r>
        <w:r>
          <w:rPr>
            <w:rStyle w:val="Hyperlink"/>
          </w:rPr>
          <w:t xml:space="preserve">missing component to our understanding of predator</w:t>
        </w:r>
        <w:r>
          <w:rPr>
            <w:rStyle w:val="Hyperlink"/>
          </w:rPr>
          <w:t xml:space="preserve">prey interactions</w:t>
        </w:r>
      </w:hyperlink>
      <w:r>
        <w:t xml:space="preserve">. In:</w:t>
      </w:r>
      <w:r>
        <w:t xml:space="preserve"> </w:t>
      </w:r>
      <w:r>
        <w:rPr>
          <w:iCs/>
          <w:i/>
        </w:rPr>
        <w:t xml:space="preserve">Advances in</w:t>
      </w:r>
      <w:r>
        <w:rPr>
          <w:iCs/>
          <w:i/>
        </w:rPr>
        <w:t xml:space="preserve"> </w:t>
      </w:r>
      <w:r>
        <w:rPr>
          <w:iCs/>
          <w:i/>
        </w:rPr>
        <w:t xml:space="preserve">Ecological Research</w:t>
      </w:r>
      <w:r>
        <w:t xml:space="preserve">, Trait-</w:t>
      </w:r>
      <w:r>
        <w:t xml:space="preserve">Based Ecology</w:t>
      </w:r>
      <w:r>
        <w:t xml:space="preserve"> </w:t>
      </w:r>
      <w:r>
        <w:t xml:space="preserve">-</w:t>
      </w:r>
      <w:r>
        <w:t xml:space="preserve"> </w:t>
      </w:r>
      <w:r>
        <w:t xml:space="preserve">From Structure</w:t>
      </w:r>
      <w:r>
        <w:t xml:space="preserve"> </w:t>
      </w:r>
      <w:r>
        <w:t xml:space="preserve">to</w:t>
      </w:r>
      <w:r>
        <w:t xml:space="preserve"> </w:t>
      </w:r>
      <w:r>
        <w:t xml:space="preserve">Function</w:t>
      </w:r>
      <w:r>
        <w:t xml:space="preserve"> </w:t>
      </w:r>
      <w:r>
        <w:t xml:space="preserve">(eds. Pawar, S., Woodward, G. &amp; Dell, A.I.).</w:t>
      </w:r>
      <w:r>
        <w:t xml:space="preserve"> </w:t>
      </w:r>
      <w:r>
        <w:t xml:space="preserve">Academic Press</w:t>
      </w:r>
      <w:r>
        <w:t xml:space="preserve">, pp. 19–44.</w:t>
      </w:r>
    </w:p>
    <w:bookmarkEnd w:id="63"/>
    <w:bookmarkStart w:id="65" w:name="ref-Phillips.etal2017"/>
    <w:p>
      <w:pPr>
        <w:pStyle w:val="Bibliography"/>
      </w:pPr>
      <w:r>
        <w:t xml:space="preserve">Phillips, R.A., Lewis, S., González-Solís, J. &amp; Daunt, F. (2017).</w:t>
      </w:r>
      <w:r>
        <w:t xml:space="preserve"> </w:t>
      </w:r>
      <w:hyperlink r:id="rId64">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65"/>
    <w:bookmarkStart w:id="67" w:name="ref-Reid.etal2010"/>
    <w:p>
      <w:pPr>
        <w:pStyle w:val="Bibliography"/>
      </w:pPr>
      <w:r>
        <w:t xml:space="preserve">Reid, A., Seebacher, F. &amp; Ward, A. (2010).</w:t>
      </w:r>
      <w:r>
        <w:t xml:space="preserve"> </w:t>
      </w:r>
      <w:hyperlink r:id="rId66">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67"/>
    <w:bookmarkStart w:id="69" w:name="Xe8b1c3c310773d898af0bbeded9e74cfefd3dc5"/>
    <w:p>
      <w:pPr>
        <w:pStyle w:val="Bibliography"/>
      </w:pPr>
      <w:r>
        <w:t xml:space="preserve">Schreiber, S.J., Bürger, R. &amp; Bolnick, D.I. (2011).</w:t>
      </w:r>
      <w:r>
        <w:t xml:space="preserve"> </w:t>
      </w:r>
      <w:hyperlink r:id="rId68">
        <w:r>
          <w:rPr>
            <w:rStyle w:val="Hyperlink"/>
          </w:rPr>
          <w:t xml:space="preserve">The community effects of phenotypic and genetic variation within a predator population</w:t>
        </w:r>
      </w:hyperlink>
      <w:r>
        <w:t xml:space="preserve">.</w:t>
      </w:r>
      <w:r>
        <w:t xml:space="preserve"> </w:t>
      </w:r>
      <w:r>
        <w:rPr>
          <w:iCs/>
          <w:i/>
        </w:rPr>
        <w:t xml:space="preserve">Ecology</w:t>
      </w:r>
      <w:r>
        <w:t xml:space="preserve">, 92, 1582–1593.</w:t>
      </w:r>
    </w:p>
    <w:bookmarkEnd w:id="69"/>
    <w:bookmarkStart w:id="71" w:name="ref-Snell-Rood2013"/>
    <w:p>
      <w:pPr>
        <w:pStyle w:val="Bibliography"/>
      </w:pPr>
      <w:r>
        <w:t xml:space="preserve">Snell-Rood, E.C. (2013).</w:t>
      </w:r>
      <w:r>
        <w:t xml:space="preserve"> </w:t>
      </w:r>
      <w:hyperlink r:id="rId70">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71"/>
    <w:bookmarkStart w:id="73" w:name="ref-Tinker.etal2008"/>
    <w:p>
      <w:pPr>
        <w:pStyle w:val="Bibliography"/>
      </w:pPr>
      <w:r>
        <w:t xml:space="preserve">Tinker, M.T., Bentall, G. &amp; Estes, J.A. (2008).</w:t>
      </w:r>
      <w:r>
        <w:t xml:space="preserve"> </w:t>
      </w:r>
      <w:hyperlink r:id="rId72">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73"/>
    <w:bookmarkStart w:id="74"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74"/>
    <w:bookmarkStart w:id="76" w:name="Xa9f710354cc886f3275f2724e3e26c0203e8293"/>
    <w:p>
      <w:pPr>
        <w:pStyle w:val="Bibliography"/>
      </w:pPr>
      <w:r>
        <w:t xml:space="preserve">Toscano, B.J., Gownaris, N.J., Heerhartz, S.M. &amp; Monaco, C.J. (2016).</w:t>
      </w:r>
      <w:r>
        <w:t xml:space="preserve"> </w:t>
      </w:r>
      <w:hyperlink r:id="rId75">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76"/>
    <w:bookmarkStart w:id="78" w:name="ref-Weimerskirch2007"/>
    <w:p>
      <w:pPr>
        <w:pStyle w:val="Bibliography"/>
      </w:pPr>
      <w:r>
        <w:t xml:space="preserve">Weimerskirch, H. (2007).</w:t>
      </w:r>
      <w:r>
        <w:t xml:space="preserve"> </w:t>
      </w:r>
      <w:hyperlink r:id="rId77">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78"/>
    <w:bookmarkStart w:id="80" w:name="ref-Wilson-Rankin2015"/>
    <w:p>
      <w:pPr>
        <w:pStyle w:val="Bibliography"/>
      </w:pPr>
      <w:r>
        <w:t xml:space="preserve">Wilson-Rankin, E.E. (2015).</w:t>
      </w:r>
      <w:r>
        <w:t xml:space="preserve"> </w:t>
      </w:r>
      <w:hyperlink r:id="rId79">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80"/>
    <w:bookmarkStart w:id="82" w:name="ref-Woo.etal2008"/>
    <w:p>
      <w:pPr>
        <w:pStyle w:val="Bibliography"/>
      </w:pPr>
      <w:r>
        <w:t xml:space="preserve">Woo, K.J., Elliott, K.H., Davidson, M., Gaston, A.J. &amp; Davoren, G.K. (2008).</w:t>
      </w:r>
      <w:r>
        <w:t xml:space="preserve"> </w:t>
      </w:r>
      <w:hyperlink r:id="rId81">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82"/>
    <w:bookmarkEnd w:id="83"/>
    <w:bookmarkEnd w:id="8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8" Target="https://doi.org/10.1006/anbe.2000.1546" TargetMode="External" /><Relationship Type="http://schemas.openxmlformats.org/officeDocument/2006/relationships/hyperlink" Id="rId26" Target="https://doi.org/10.1007/s00227-015-2735-4" TargetMode="External" /><Relationship Type="http://schemas.openxmlformats.org/officeDocument/2006/relationships/hyperlink" Id="rId79" Target="https://doi.org/10.1007/s00265-014-1861-1" TargetMode="External" /><Relationship Type="http://schemas.openxmlformats.org/officeDocument/2006/relationships/hyperlink" Id="rId24" Target="https://doi.org/10.1007/s00265-020-02833-0" TargetMode="External" /><Relationship Type="http://schemas.openxmlformats.org/officeDocument/2006/relationships/hyperlink" Id="rId56" Target="https://doi.org/10.1007/s00442-016-3631-4" TargetMode="External" /><Relationship Type="http://schemas.openxmlformats.org/officeDocument/2006/relationships/hyperlink" Id="rId75" Target="https://doi.org/10.1007/s00442-016-3648-8" TargetMode="External" /><Relationship Type="http://schemas.openxmlformats.org/officeDocument/2006/relationships/hyperlink" Id="rId46" Target="https://doi.org/10.1007/s10144-009-0185-x" TargetMode="External" /><Relationship Type="http://schemas.openxmlformats.org/officeDocument/2006/relationships/hyperlink" Id="rId54" Target="https://doi.org/10.1007/s10682-009-9336-y" TargetMode="External" /><Relationship Type="http://schemas.openxmlformats.org/officeDocument/2006/relationships/hyperlink" Id="rId42" Target="https://doi.org/10.1016/B978-0-12-804327-1.00126-6" TargetMode="External" /><Relationship Type="http://schemas.openxmlformats.org/officeDocument/2006/relationships/hyperlink" Id="rId50" Target="https://doi.org/10.1016/S0169-5347(01)02393-X" TargetMode="External" /><Relationship Type="http://schemas.openxmlformats.org/officeDocument/2006/relationships/hyperlink" Id="rId62" Target="https://doi.org/10.1016/bs.aecr.2015.01.001" TargetMode="External" /><Relationship Type="http://schemas.openxmlformats.org/officeDocument/2006/relationships/hyperlink" Id="rId70" Target="https://doi.org/10.1016/j.anbehav.2012.12.031" TargetMode="External" /><Relationship Type="http://schemas.openxmlformats.org/officeDocument/2006/relationships/hyperlink" Id="rId34" Target="https://doi.org/10.1016/j.anbehav.2018.05.010" TargetMode="External" /><Relationship Type="http://schemas.openxmlformats.org/officeDocument/2006/relationships/hyperlink" Id="rId28" Target="https://doi.org/10.1016/j.anbehav.2021.06.010" TargetMode="External" /><Relationship Type="http://schemas.openxmlformats.org/officeDocument/2006/relationships/hyperlink" Id="rId77" Target="https://doi.org/10.1016/j.dsr2.2006.11.013" TargetMode="External" /><Relationship Type="http://schemas.openxmlformats.org/officeDocument/2006/relationships/hyperlink" Id="rId38" Target="https://doi.org/10.1046/j.1365-2656.2003.00690.x" TargetMode="External" /><Relationship Type="http://schemas.openxmlformats.org/officeDocument/2006/relationships/hyperlink" Id="rId72" Target="https://doi.org/10.1073/pnas.0709263105" TargetMode="External" /><Relationship Type="http://schemas.openxmlformats.org/officeDocument/2006/relationships/hyperlink" Id="rId36" Target="https://doi.org/10.1080/03014223.1994.9517994" TargetMode="External" /><Relationship Type="http://schemas.openxmlformats.org/officeDocument/2006/relationships/hyperlink" Id="rId40" Target="https://doi.org/10.1093/beheco/arac063" TargetMode="External" /><Relationship Type="http://schemas.openxmlformats.org/officeDocument/2006/relationships/hyperlink" Id="rId48"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52" Target="https://doi.org/10.1111/eth.13272" TargetMode="External" /><Relationship Type="http://schemas.openxmlformats.org/officeDocument/2006/relationships/hyperlink" Id="rId60" Target="https://doi.org/10.1111/gcb.15735" TargetMode="External" /><Relationship Type="http://schemas.openxmlformats.org/officeDocument/2006/relationships/hyperlink" Id="rId81"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66"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68" Target="https://doi.org/10.1890/10-2071.1" TargetMode="External" /><Relationship Type="http://schemas.openxmlformats.org/officeDocument/2006/relationships/hyperlink" Id="rId44" Target="https://doi.org/10.2307/1936998" TargetMode="External" /><Relationship Type="http://schemas.openxmlformats.org/officeDocument/2006/relationships/hyperlink" Id="rId64"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6/anbe.2000.1546" TargetMode="External" /><Relationship Type="http://schemas.openxmlformats.org/officeDocument/2006/relationships/hyperlink" Id="rId26" Target="https://doi.org/10.1007/s00227-015-2735-4" TargetMode="External" /><Relationship Type="http://schemas.openxmlformats.org/officeDocument/2006/relationships/hyperlink" Id="rId79" Target="https://doi.org/10.1007/s00265-014-1861-1" TargetMode="External" /><Relationship Type="http://schemas.openxmlformats.org/officeDocument/2006/relationships/hyperlink" Id="rId24" Target="https://doi.org/10.1007/s00265-020-02833-0" TargetMode="External" /><Relationship Type="http://schemas.openxmlformats.org/officeDocument/2006/relationships/hyperlink" Id="rId56" Target="https://doi.org/10.1007/s00442-016-3631-4" TargetMode="External" /><Relationship Type="http://schemas.openxmlformats.org/officeDocument/2006/relationships/hyperlink" Id="rId75" Target="https://doi.org/10.1007/s00442-016-3648-8" TargetMode="External" /><Relationship Type="http://schemas.openxmlformats.org/officeDocument/2006/relationships/hyperlink" Id="rId46" Target="https://doi.org/10.1007/s10144-009-0185-x" TargetMode="External" /><Relationship Type="http://schemas.openxmlformats.org/officeDocument/2006/relationships/hyperlink" Id="rId54" Target="https://doi.org/10.1007/s10682-009-9336-y" TargetMode="External" /><Relationship Type="http://schemas.openxmlformats.org/officeDocument/2006/relationships/hyperlink" Id="rId42" Target="https://doi.org/10.1016/B978-0-12-804327-1.00126-6" TargetMode="External" /><Relationship Type="http://schemas.openxmlformats.org/officeDocument/2006/relationships/hyperlink" Id="rId50" Target="https://doi.org/10.1016/S0169-5347(01)02393-X" TargetMode="External" /><Relationship Type="http://schemas.openxmlformats.org/officeDocument/2006/relationships/hyperlink" Id="rId62" Target="https://doi.org/10.1016/bs.aecr.2015.01.001" TargetMode="External" /><Relationship Type="http://schemas.openxmlformats.org/officeDocument/2006/relationships/hyperlink" Id="rId70" Target="https://doi.org/10.1016/j.anbehav.2012.12.031" TargetMode="External" /><Relationship Type="http://schemas.openxmlformats.org/officeDocument/2006/relationships/hyperlink" Id="rId34" Target="https://doi.org/10.1016/j.anbehav.2018.05.010" TargetMode="External" /><Relationship Type="http://schemas.openxmlformats.org/officeDocument/2006/relationships/hyperlink" Id="rId28" Target="https://doi.org/10.1016/j.anbehav.2021.06.010" TargetMode="External" /><Relationship Type="http://schemas.openxmlformats.org/officeDocument/2006/relationships/hyperlink" Id="rId77" Target="https://doi.org/10.1016/j.dsr2.2006.11.013" TargetMode="External" /><Relationship Type="http://schemas.openxmlformats.org/officeDocument/2006/relationships/hyperlink" Id="rId38" Target="https://doi.org/10.1046/j.1365-2656.2003.00690.x" TargetMode="External" /><Relationship Type="http://schemas.openxmlformats.org/officeDocument/2006/relationships/hyperlink" Id="rId72" Target="https://doi.org/10.1073/pnas.0709263105" TargetMode="External" /><Relationship Type="http://schemas.openxmlformats.org/officeDocument/2006/relationships/hyperlink" Id="rId36" Target="https://doi.org/10.1080/03014223.1994.9517994" TargetMode="External" /><Relationship Type="http://schemas.openxmlformats.org/officeDocument/2006/relationships/hyperlink" Id="rId40" Target="https://doi.org/10.1093/beheco/arac063" TargetMode="External" /><Relationship Type="http://schemas.openxmlformats.org/officeDocument/2006/relationships/hyperlink" Id="rId48"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52" Target="https://doi.org/10.1111/eth.13272" TargetMode="External" /><Relationship Type="http://schemas.openxmlformats.org/officeDocument/2006/relationships/hyperlink" Id="rId60" Target="https://doi.org/10.1111/gcb.15735" TargetMode="External" /><Relationship Type="http://schemas.openxmlformats.org/officeDocument/2006/relationships/hyperlink" Id="rId81"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66"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68" Target="https://doi.org/10.1890/10-2071.1" TargetMode="External" /><Relationship Type="http://schemas.openxmlformats.org/officeDocument/2006/relationships/hyperlink" Id="rId44" Target="https://doi.org/10.2307/1936998" TargetMode="External" /><Relationship Type="http://schemas.openxmlformats.org/officeDocument/2006/relationships/hyperlink" Id="rId64"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2022-08-11T20:57:04Z</dcterms:created>
  <dcterms:modified xsi:type="dcterms:W3CDTF">2022-08-11T20:57:04Z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