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specialization</w:t>
      </w:r>
      <w:r>
        <w:t xml:space="preserve"> </w:t>
      </w:r>
      <w:r>
        <w:t xml:space="preserve">and</w:t>
      </w:r>
      <w:r>
        <w:t xml:space="preserve"> </w:t>
      </w:r>
      <w:r>
        <w:t xml:space="preserve">success</w:t>
      </w:r>
      <w:r>
        <w:t xml:space="preserve"> </w:t>
      </w:r>
      <w:r>
        <w:t xml:space="preserve">in</w:t>
      </w:r>
      <w:r>
        <w:t xml:space="preserve"> </w:t>
      </w:r>
      <w:r>
        <w:t xml:space="preserve">a</w:t>
      </w:r>
      <w:r>
        <w:t xml:space="preserve"> </w:t>
      </w:r>
      <w:r>
        <w:t xml:space="preserve">virtual</w:t>
      </w:r>
      <w:r>
        <w:t xml:space="preserve"> </w:t>
      </w:r>
      <w:r>
        <w:t xml:space="preserve">predator-prey</w:t>
      </w:r>
      <w:r>
        <w:t xml:space="preserve"> </w:t>
      </w:r>
      <w:r>
        <w:t xml:space="preserve">system:</w:t>
      </w:r>
      <w:r>
        <w:br/>
      </w:r>
      <w:r>
        <w:t xml:space="preserve">Appendix</w:t>
      </w:r>
      <w:r>
        <w:t xml:space="preserve"> </w:t>
      </w:r>
      <w:r>
        <w:t xml:space="preserve">1</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S1. Posterior medians and 95% HPD intervals of the fixed effects estimated by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610"/>
        <w:gridCol w:w="2143"/>
        <w:gridCol w:w="1871"/>
        <w:gridCol w:w="1871"/>
        <w:gridCol w:w="1871"/>
      </w:tblGrid>
      <w:tr>
        <w:trPr>
          <w:trHeight w:val="42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3.29 ( 3.15,  3.41)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3.27 ( 3.10,  3.42)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3.27 ( 3.12,  3.43)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(-0.02,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(-0.03,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(-0.03, -0.03)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0.28 ( 0.27,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0.30 ( 0.28,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 ( 0.27,  0.30)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 ( 0.98,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0.98 ( 0.97,  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 ( 0.98,  1.00)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2.34 ( 2.31,  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2.42 ( 2.39,  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2.42 ( 2.39,  2.46)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(-0.12,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(-0.12,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(-0.12, -0.11)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 ( 0.29,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0.27 ( 0.27,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0.27 ( 0.27,  0.27)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1.07 ( 1.05,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1.07 ( 1.06,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1.07 ( 1.05,  1.08)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0.49 ( 0.46,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0.51 ( 0.48,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 ( 0.51,  0.57)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match duration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0.64 ( 0.64,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0.64 ( 0.64,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0.64 ( 0.64,  0.65)</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0.60 ( 0.60,  0.61)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0.65 ( 0.64,  0.65)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0.65 ( 0.65,  0.66)</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 exponentiated the dispersion parameters (i.e. sigma) which are estimated on a log scale. We back-transformed the hunting success values, estimated on a logit scale, back to a probability 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intercept values on the mean part of the equation for all traits indicate mean behaviour and success at the population level. The intercept values on the dispersion (i.e. sigma) part of the equation for predator speed indicate behavioural specialization at the population level.</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S2. Posterior medians and 95% HPD intervals of the random effect standard deviations estimated by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42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360" w:hRule="auto"/>
        </w:trPr>
        body1
        <w:tc>
          <w:tcPr>
            <w:vMerge w:val="restart"/>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0.31 (0.22, 0.41)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 (0.25, 0.48)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 (0.26, 0.49)</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r>
      <w:tr>
        <w:trPr>
          <w:trHeight w:val="360"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 (0.14,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 (0.14,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 (0.15, 0.18)</w:t>
            </w:r>
          </w:p>
        </w:tc>
      </w:tr>
      <w:tr>
        <w:trPr>
          <w:trHeight w:val="360"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1.48 (1.44,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 (1.47, 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1.59 (1.53, 1.65)</w:t>
            </w:r>
          </w:p>
        </w:tc>
      </w:tr>
      <w:tr>
        <w:trPr>
          <w:trHeight w:val="360" w:hRule="auto"/>
        </w:trPr>
        body5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0.08)</w:t>
            </w:r>
          </w:p>
        </w:tc>
      </w:tr>
      <w:tr>
        <w:trPr>
          <w:trHeight w:val="360" w:hRule="auto"/>
        </w:trPr>
        body6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r>
      <w:tr>
        <w:trPr>
          <w:trHeight w:val="360" w:hRule="auto"/>
        </w:trPr>
        body7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 (0.08,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 (0.07,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 (0.09, 0.11)</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1.06 (1.04,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1.07 (1.06,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1.10 (1.09, 1.11)</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0.90 (0.83, 0.98)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0.90 (0.82, 0.97)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0.93 (0.85, 1.01)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 exponentiated the dispersion parameters (i.e. sigma) which are estimated on a log 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standard deviation values on the mean part of the equation indicate, for all traits, among individual differences in mean behaviour, prey encountered, and success.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standard deviation values on the dispersion part of the equation (i.e. sigma) for predator speed indicate among individual differences in behavioural specialization. For prey speed, they indicate among individual differences in the variability of prey encounters.</w:t>
            </w:r>
          </w:p>
        </w:tc>
      </w:tr>
    </w:tbl>
    <w:p>
      <w:r>
        <w:br w:type="page"/>
      </w:r>
    </w:p>
    <w:p>
      <w:pPr>
        <w:pStyle w:val="CaptionedFigure"/>
      </w:pPr>
      <w:r>
        <w:drawing>
          <wp:inline>
            <wp:extent cx="5943600" cy="1584959"/>
            <wp:effectExtent b="0" l="0" r="0" t="0"/>
            <wp:docPr descr="Figure S1. Among individual differences in the development of hunting expertise in the model where we do not account for prey speed and average rank. The predators’ hunting success (i.e. the probability of capturing the four prey) is on the y axis, and the predators’ cumulative experience (i.e. the number of matches played prior to each observation) is on the x axis. Each fitted curve represents an individual predator. The individual curves are separated by differences between their first and last predicted value, and displayed as such in three distinct panels. (A) Individuals with a &gt;0.5 unit increase in hunting success with experience (B) Individuals with a &lt;-0.5 unit decrease in hunting success with experience. (C) Individuals that maintained a stable hunting success (between -0.5 and 0.5 unit change in hunting success)" title="" id="21" name="Picture"/>
            <a:graphic>
              <a:graphicData uri="http://schemas.openxmlformats.org/drawingml/2006/picture">
                <pic:pic>
                  <pic:nvPicPr>
                    <pic:cNvPr descr="D:/GitHub/Chapter2/outputs/04_outputs_figures/appendix1_figureS1.png" id="22" name="Picture"/>
                    <pic:cNvPicPr>
                      <a:picLocks noChangeArrowheads="1" noChangeAspect="1"/>
                    </pic:cNvPicPr>
                  </pic:nvPicPr>
                  <pic:blipFill>
                    <a:blip r:embed="rId20"/>
                    <a:stretch>
                      <a:fillRect/>
                    </a:stretch>
                  </pic:blipFill>
                  <pic:spPr bwMode="auto">
                    <a:xfrm>
                      <a:off x="0" y="0"/>
                      <a:ext cx="5943600" cy="1584959"/>
                    </a:xfrm>
                    <a:prstGeom prst="rect">
                      <a:avLst/>
                    </a:prstGeom>
                    <a:noFill/>
                    <a:ln w="9525">
                      <a:noFill/>
                      <a:headEnd/>
                      <a:tailEnd/>
                    </a:ln>
                  </pic:spPr>
                </pic:pic>
              </a:graphicData>
            </a:graphic>
          </wp:inline>
        </w:drawing>
      </w:r>
    </w:p>
    <w:p>
      <w:pPr>
        <w:pStyle w:val="ImageCaption"/>
      </w:pPr>
      <w:r>
        <w:rPr>
          <w:bCs/>
          <w:b/>
        </w:rPr>
        <w:t xml:space="preserve">Figure S1.</w:t>
      </w:r>
      <w:r>
        <w:t xml:space="preserve"> </w:t>
      </w:r>
      <w:r>
        <w:t xml:space="preserve">Among individual differences in the development of hunting expertise in the model where we do not account for prey speed and average rank. The predators’ hunting success (i.e. the probability of capturing the four prey) is on the y axis, and the predators’ cumulative experience (i.e. the number of matches played prior to each observation) is on the x axis. Each fitted curve represents an individual predator. The individual curves are separated by differences between their first and last predicted value, and displayed as such in three distinct panels. (A) Individuals with a &gt;0.5 unit increase in hunting success with experience (B) Individuals with a &lt;-0.5 unit decrease in hunting success with experience. (C) Individuals that maintained a stable hunting success (between -0.5 and 0.5 unit change in hunting success)</w:t>
      </w:r>
    </w:p>
    <w:p>
      <w:pPr>
        <w:pStyle w:val="CaptionedFigure"/>
      </w:pPr>
      <w:r>
        <w:drawing>
          <wp:inline>
            <wp:extent cx="5943600" cy="2852928"/>
            <wp:effectExtent b="0" l="0" r="0" t="0"/>
            <wp:docPr descr="Figure S2. Correlations between the predators’ mean hunting success (y axis) and intra individual variance in speed (x axis) to test for differences in success between individuals along the flexible-specialist hunter continuum. Each point represents the posterior median predicted value of an individual predator along with its 95% HPD interval. Individuals with lower IIV are specialist hunters, while individuals with higher IIV are flexible hunters. (A) Correlation when predators were novice (B) Correlation when predators were advanced" title="" id="24" name="Picture"/>
            <a:graphic>
              <a:graphicData uri="http://schemas.openxmlformats.org/drawingml/2006/picture">
                <pic:pic>
                  <pic:nvPicPr>
                    <pic:cNvPr descr="D:/GitHub/Chapter2/outputs/04_outputs_figures/appendix1_figureS2.png" id="25" name="Picture"/>
                    <pic:cNvPicPr>
                      <a:picLocks noChangeArrowheads="1" noChangeAspect="1"/>
                    </pic:cNvPicPr>
                  </pic:nvPicPr>
                  <pic:blipFill>
                    <a:blip r:embed="rId23"/>
                    <a:stretch>
                      <a:fillRect/>
                    </a:stretch>
                  </pic:blipFill>
                  <pic:spPr bwMode="auto">
                    <a:xfrm>
                      <a:off x="0" y="0"/>
                      <a:ext cx="5943600" cy="2852928"/>
                    </a:xfrm>
                    <a:prstGeom prst="rect">
                      <a:avLst/>
                    </a:prstGeom>
                    <a:noFill/>
                    <a:ln w="9525">
                      <a:noFill/>
                      <a:headEnd/>
                      <a:tailEnd/>
                    </a:ln>
                  </pic:spPr>
                </pic:pic>
              </a:graphicData>
            </a:graphic>
          </wp:inline>
        </w:drawing>
      </w:r>
    </w:p>
    <w:p>
      <w:pPr>
        <w:pStyle w:val="ImageCaption"/>
      </w:pPr>
      <w:r>
        <w:rPr>
          <w:bCs/>
          <w:b/>
        </w:rPr>
        <w:t xml:space="preserve">Figure S2.</w:t>
      </w:r>
      <w:r>
        <w:t xml:space="preserve"> </w:t>
      </w:r>
      <w:r>
        <w:t xml:space="preserve">Correlations between the predators’ mean hunting success (y axis) and intra individual variance in speed (x axis) to test for differences in success between individuals along the flexible-specialist hunter continuum. Each point represents the posterior median predicted value of an individual predator along with its 95% HPD interval. Individuals with lower IIV are specialist hunters, while individuals with higher IIV are flexible hunters. (A) Correlation when predators were novice (B) Correlation when predators were advanced</w:t>
      </w:r>
    </w:p>
    <w:sectPr w:rsidR="009D37A7" w:rsidSect="00185AC2">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Pieddepage"/>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Titre1" w:type="paragraph">
    <w:name w:val="heading 1"/>
    <w:basedOn w:val="Normal"/>
    <w:next w:val="Corpsdetexte"/>
    <w:uiPriority w:val="9"/>
    <w:qFormat/>
    <w:rsid w:val="007A75EF"/>
    <w:pPr>
      <w:keepNext/>
      <w:keepLines/>
      <w:spacing w:after="0" w:before="480" w:line="360" w:lineRule="auto"/>
      <w:outlineLvl w:val="0"/>
    </w:pPr>
    <w:rPr>
      <w:rFonts w:cstheme="majorBidi" w:eastAsiaTheme="majorEastAsia"/>
      <w:b/>
      <w:bCs/>
      <w:sz w:val="32"/>
      <w:szCs w:val="32"/>
    </w:rPr>
  </w:style>
  <w:style w:styleId="Titre2" w:type="paragraph">
    <w:name w:val="heading 2"/>
    <w:basedOn w:val="Normal"/>
    <w:next w:val="Corpsdetexte"/>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Titre3" w:type="paragraph">
    <w:name w:val="heading 3"/>
    <w:basedOn w:val="Normal"/>
    <w:next w:val="Corpsdetexte"/>
    <w:uiPriority w:val="9"/>
    <w:unhideWhenUsed/>
    <w:qFormat/>
    <w:rsid w:val="007A75EF"/>
    <w:pPr>
      <w:keepNext/>
      <w:keepLines/>
      <w:spacing w:after="0" w:before="200" w:line="360" w:lineRule="auto"/>
      <w:outlineLvl w:val="2"/>
    </w:pPr>
    <w:rPr>
      <w:rFonts w:cstheme="majorBidi" w:eastAsiaTheme="majorEastAsia"/>
      <w:b/>
      <w:bCs/>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24DC3"/>
    <w:pPr>
      <w:spacing w:after="180" w:before="180" w:line="480" w:lineRule="auto"/>
    </w:pPr>
  </w:style>
  <w:style w:customStyle="1" w:styleId="FirstParagraph" w:type="paragraph">
    <w:name w:val="First Paragraph"/>
    <w:basedOn w:val="Corpsdetexte"/>
    <w:next w:val="Corpsdetexte"/>
    <w:qFormat/>
    <w:rsid w:val="007A75EF"/>
  </w:style>
  <w:style w:customStyle="1" w:styleId="Compact" w:type="paragraph">
    <w:name w:val="Compact"/>
    <w:basedOn w:val="Corpsdetexte"/>
    <w:qFormat/>
    <w:pPr>
      <w:spacing w:after="36" w:before="36"/>
    </w:pPr>
  </w:style>
  <w:style w:styleId="Titre" w:type="paragraph">
    <w:name w:val="Title"/>
    <w:basedOn w:val="Normal"/>
    <w:next w:val="Corpsdetexte"/>
    <w:qFormat/>
    <w:rsid w:val="007A75EF"/>
    <w:pPr>
      <w:keepNext/>
      <w:keepLines/>
      <w:spacing w:after="240" w:before="480" w:line="360" w:lineRule="auto"/>
      <w:jc w:val="center"/>
    </w:pPr>
    <w:rPr>
      <w:rFonts w:cstheme="majorBidi" w:eastAsiaTheme="majorEastAsia"/>
      <w:b/>
      <w:bCs/>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7A75EF"/>
    <w:pPr>
      <w:keepNext/>
      <w:keepLines/>
      <w:spacing w:line="360" w:lineRule="auto"/>
      <w:jc w:val="center"/>
    </w:pPr>
    <w:rPr>
      <w:rFonts w:ascii="Times New Roman" w:hAnsi="Times New Roman"/>
      <w:color w:themeColor="text1" w:val="000000"/>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75EF"/>
    <w:pPr>
      <w:keepNext/>
      <w:keepLines/>
      <w:spacing w:after="300" w:before="300"/>
    </w:pPr>
    <w:rPr>
      <w:szCs w:val="20"/>
    </w:rPr>
  </w:style>
  <w:style w:styleId="Bibliographie" w:type="paragraph">
    <w:name w:val="Bibliography"/>
    <w:basedOn w:val="Normal"/>
    <w:qFormat/>
    <w:rsid w:val="006375F4"/>
    <w:pPr>
      <w:spacing w:after="240"/>
      <w:ind w:hanging="454" w:left="454"/>
    </w:p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B621A"/>
    <w:pPr>
      <w:keepNext/>
      <w:spacing w:line="480" w:lineRule="auto"/>
    </w:pPr>
    <w:rPr>
      <w:i w:val="0"/>
    </w:rPr>
  </w:style>
  <w:style w:customStyle="1" w:styleId="ImageCaption" w:type="paragraph">
    <w:name w:val="Image Caption"/>
    <w:basedOn w:val="Lgende"/>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931685"/>
  </w:style>
  <w:style w:styleId="En-tte" w:type="paragraph">
    <w:name w:val="header"/>
    <w:basedOn w:val="Normal"/>
    <w:link w:val="En-tteCar"/>
    <w:unhideWhenUsed/>
    <w:rsid w:val="0006249D"/>
    <w:pPr>
      <w:tabs>
        <w:tab w:pos="4703" w:val="center"/>
        <w:tab w:pos="9406" w:val="right"/>
      </w:tabs>
      <w:spacing w:after="0"/>
    </w:pPr>
  </w:style>
  <w:style w:customStyle="1" w:styleId="En-tteCar" w:type="character">
    <w:name w:val="En-tête Car"/>
    <w:basedOn w:val="Policepardfaut"/>
    <w:link w:val="En-tte"/>
    <w:rsid w:val="0006249D"/>
    <w:rPr>
      <w:rFonts w:ascii="Times New Roman" w:hAnsi="Times New Roman"/>
      <w:color w:themeColor="text1" w:val="000000"/>
      <w:sz w:val="22"/>
    </w:rPr>
  </w:style>
  <w:style w:styleId="Pieddepage" w:type="paragraph">
    <w:name w:val="footer"/>
    <w:basedOn w:val="Normal"/>
    <w:link w:val="PieddepageCar"/>
    <w:uiPriority w:val="99"/>
    <w:unhideWhenUsed/>
    <w:rsid w:val="0006249D"/>
    <w:pPr>
      <w:tabs>
        <w:tab w:pos="4703" w:val="center"/>
        <w:tab w:pos="9406" w:val="right"/>
      </w:tabs>
      <w:spacing w:after="0"/>
    </w:pPr>
  </w:style>
  <w:style w:customStyle="1" w:styleId="PieddepageCar" w:type="character">
    <w:name w:val="Pied de page Car"/>
    <w:basedOn w:val="Policepardfaut"/>
    <w:link w:val="Pieddepage"/>
    <w:uiPriority w:val="99"/>
    <w:rsid w:val="0006249D"/>
    <w:rPr>
      <w:rFonts w:ascii="Times New Roman" w:hAnsi="Times New Roman"/>
      <w:color w:themeColor="text1" w:val="000000"/>
      <w:sz w:val="22"/>
    </w:rPr>
  </w:style>
  <w:style w:customStyle="1" w:styleId="CorpsdetexteCar" w:type="character">
    <w:name w:val="Corps de texte Car"/>
    <w:basedOn w:val="Policepardfaut"/>
    <w:link w:val="Corpsdetexte"/>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Experience shapes individual foraging specialization and success in a virtual predator-prey system: Appendix 1</dc:title>
  <dc:creator/>
  <cp:keywords/>
  <dcterms:created xsi:type="dcterms:W3CDTF">2023-07-03T14:30:34Z</dcterms:created>
  <dcterms:modified xsi:type="dcterms:W3CDTF">2023-07-03T14:30:34Z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ecology.csl</vt:lpwstr>
  </property>
  <property fmtid="{D5CDD505-2E9C-101B-9397-08002B2CF9AE}" pid="3" name="output">
    <vt:lpwstr/>
  </property>
</Properties>
</file>