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4.png" ContentType="image/png"/>
  <Override PartName="/word/media/rId37.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change</w:t>
      </w:r>
      <w:r>
        <w:t xml:space="preserve"> </w:t>
      </w:r>
      <w:r>
        <w:t xml:space="preserve">across</w:t>
      </w:r>
      <w:r>
        <w:t xml:space="preserve"> </w:t>
      </w:r>
      <w:r>
        <w:t xml:space="preserve">experience</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hunting tactics to their prey and to optimize their skills at using them over successive encounters is hypothesized to promote individual foraging specialisation. Through this process, predators should be able to capture more prey. Yet, there are limited empirical assessments showing links between past experience, foraging specialization, and hunting success at the individual level, due to the challenges of monitoring direct interactions in the wild. In this study, we used a virtual predator-prey system (the game</w:t>
      </w:r>
      <w:r>
        <w:t xml:space="preserve"> </w:t>
      </w:r>
      <w:r>
        <w:rPr>
          <w:iCs/>
          <w:i/>
        </w:rPr>
        <w:t xml:space="preserve">Dead by Daylight</w:t>
      </w:r>
      <w:r>
        <w:t xml:space="preserve">) to investigate how individual predator foraging specialization and success developed across repeated interactions with prey. We found that 68% of predators became either increasingly specialized by always moving at a fast pace (specialised cursorial tactic), or generalists by transitioning between slow and fast speeds (generalist ambush tactic). The predators’ strategies were partially matched to their prey’s speed, suggesting that changes in hunting behaviour were driven by repeated encounters with their prey. Specialist and generalist foragers achieved similar success overall, although specialist hunters had a slight advantage. Hence, our findings suggest that experience may promote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4" w:name="introduction"/>
    <w:p>
      <w:pPr>
        <w:pStyle w:val="Heading1"/>
      </w:pPr>
      <w:r>
        <w:t xml:space="preserve">INTRODUCTION</w:t>
      </w:r>
    </w:p>
    <w:p>
      <w:pPr>
        <w:pStyle w:val="FirstParagraph"/>
      </w:pPr>
      <w:r>
        <w:t xml:space="preserve">Predators express a diverse array of foraging tactics to capture their prey. In natural populations, individuals specialise in the use of tactics such as ambushing and roaming, or switch tactics based on the prey that they encounter, often resulting in differences in prey consumption</w:t>
      </w:r>
      <w:r>
        <w:t xml:space="preserve"> </w:t>
      </w:r>
      <w:r>
        <w:t xml:space="preserve">(Toscano and Griffen 2014, Patrick and Weimerskirch 2014a, Toscano et al. 2016)</w:t>
      </w:r>
      <w:r>
        <w:t xml:space="preserve">. The success of specialist and generalist strategies depend on ecological factors: when resources are abundant, specialist hunters achieve greater success, while generalist hunters prevail under fluctuating conditions</w:t>
      </w:r>
      <w:r>
        <w:t xml:space="preserve"> </w:t>
      </w:r>
      <w:r>
        <w:t xml:space="preserve">(Terraube et al. 2011, 2014, Phillips et al. 2017)</w:t>
      </w:r>
      <w:r>
        <w:t xml:space="preserve">. While evolutionary history can partly explain how specialist and generalist species will fare under given ecological conditions, learning also plays an important part in shaping predator foraging behaviour</w:t>
      </w:r>
      <w:r>
        <w:t xml:space="preserve"> </w:t>
      </w:r>
      <w:r>
        <w:t xml:space="preserve">(Wooster et al. 2023)</w:t>
      </w:r>
      <w:r>
        <w:t xml:space="preserve">. This has prompted ecologists to hypothesize that experience may underly associations between foraging specialization and prey capture as predators learn and become efficient hunters through repeated encounters with their prey</w:t>
      </w:r>
      <w:r>
        <w:t xml:space="preserve"> </w:t>
      </w:r>
      <w:r>
        <w:t xml:space="preserve">(Estes et al. 2003, Woo et al. 2008, Phillips et al. 2017)</w:t>
      </w:r>
      <w:r>
        <w:t xml:space="preserve">. Yet, it remains challenging to monitor individual predator experience, limiting our ability to uncover how predator foraging behaviour shapes prey capture over time.</w:t>
      </w:r>
    </w:p>
    <w:p>
      <w:pPr>
        <w:pStyle w:val="BodyText"/>
      </w:pPr>
      <w:r>
        <w:t xml:space="preserve">Recent evidence suggests that the resource fluctuations predators experience over time (e.g., temporal changes in prey behaviour) may be key in shaping individual behavioural specialization and its fitness consequences</w:t>
      </w:r>
      <w:r>
        <w:t xml:space="preserve"> </w:t>
      </w:r>
      <w:r>
        <w:t xml:space="preserve">(Patrick and Weimerskirch 2014b, Santoro et al. 2019, van den Bosch et al. 2019, Manlick et al. 2021)</w:t>
      </w:r>
      <w:r>
        <w:t xml:space="preserve">. Theory outlines two contrasting scenarios, with outcomes defined by the predator’s ability to learn the optimal strategy in response to resource variability. In the first scenario, individuals should gradually specialize in a foraging tactic (e.g., always moving fast) if it enables them to consistently achieve successful prey captures while learning to hunt in environments with predictable (or stable) resources</w:t>
      </w:r>
      <w:r>
        <w:t xml:space="preserve"> </w:t>
      </w:r>
      <w:r>
        <w:t xml:space="preserve">(Tinker et al. 2009, Dukas 2019)</w:t>
      </w:r>
      <w:r>
        <w:t xml:space="preserve">. Such conditions favor specialist hunters, as they require less energy and time to search for, capture, and handle prey</w:t>
      </w:r>
      <w:r>
        <w:t xml:space="preserve"> </w:t>
      </w:r>
      <w:r>
        <w:t xml:space="preserve">(Weimerskirch 2007, Woo et al. 2008, Potier et al. 2015)</w:t>
      </w:r>
      <w:r>
        <w:t xml:space="preserve">. For example, habitat specialization under stable resources is associated with reduced foraging effort and increased offspring growth rates in Herring Gulls (</w:t>
      </w:r>
      <w:r>
        <w:rPr>
          <w:iCs/>
          <w:i/>
        </w:rPr>
        <w:t xml:space="preserve">Larus argentatus</w:t>
      </w:r>
      <w:r>
        <w:t xml:space="preserve">)</w:t>
      </w:r>
      <w:r>
        <w:t xml:space="preserve"> </w:t>
      </w:r>
      <w:r>
        <w:t xml:space="preserve">(van den Bosch et al. 2019)</w:t>
      </w:r>
      <w:r>
        <w:t xml:space="preserve">. In the second scenario, predators are expected to be more generalist by learning to use a variety of hunting tactics when they hunt in highly variable environments. Indeed, while there can be costs to attempt novel tactics by trial and error, predators can reduce the consequences of uncertainty in environments under fluctuating resources by learning to adjust their tactic to the prey that they encounter</w:t>
      </w:r>
      <w:r>
        <w:t xml:space="preserve"> </w:t>
      </w:r>
      <w:r>
        <w:t xml:space="preserve">(Stephens 1993, Dall 2010, Ishii and Shimada 2010, Kelley and Magurran 2011, Mathot et al. 2012)</w:t>
      </w:r>
      <w:r>
        <w:t xml:space="preserv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Under these two scenarios, if predators can learn to adjust their tactics to match the prey fluctuation regime they experience, both specialist and generalist hunters should achieve similar hunting success and coexist</w:t>
      </w:r>
      <w:r>
        <w:t xml:space="preserve"> </w:t>
      </w:r>
      <w:r>
        <w:t xml:space="preserve">(Phillips et al. 2017)</w:t>
      </w:r>
      <w:r>
        <w:t xml:space="preserve">.</w:t>
      </w:r>
    </w:p>
    <w:p>
      <w:pPr>
        <w:pStyle w:val="BodyText"/>
      </w:pPr>
      <w:r>
        <w:t xml:space="preserve">In this study, we use data from players in the online videogame</w:t>
      </w:r>
      <w:r>
        <w:t xml:space="preserve"> </w:t>
      </w:r>
      <w:r>
        <w:rPr>
          <w:iCs/>
          <w:i/>
        </w:rPr>
        <w:t xml:space="preserve">Dead by Daylight</w:t>
      </w:r>
      <w:r>
        <w:t xml:space="preserve"> </w:t>
      </w:r>
      <w:r>
        <w:t xml:space="preserve">to investigate 1) how repeated interactions with prey shape predator foraging specialization and 2) how the relationship between specialization and foraging success changes over time.</w:t>
      </w:r>
      <w:r>
        <w:t xml:space="preserve"> </w:t>
      </w:r>
      <w:r>
        <w:rPr>
          <w:iCs/>
          <w:i/>
        </w:rPr>
        <w:t xml:space="preserve">Dead by Daylight</w:t>
      </w:r>
      <w:r>
        <w:t xml:space="preserve"> </w:t>
      </w:r>
      <w:r>
        <w:t xml:space="preserve">simulates a predator-prey interaction across complex virtual environments, providing a system to test ecological hypotheses on foraging behaviour, group selection, and social interactions</w:t>
      </w:r>
      <w:r>
        <w:t xml:space="preserve"> </w:t>
      </w:r>
      <w:r>
        <w:t xml:space="preserve">(reviewed in Montiglio et al. 2025)</w:t>
      </w:r>
      <w:r>
        <w:t xml:space="preserve">. In this game, four prey players forage for resources while avoiding predation by a fifth player. The predator population is composed of individuals that vary consistently in their use of hunting tactics along an ambush-cursorial continuum: at one extreme hunters move more slowly and ambush prey; at the other extreme, hunters roam the virtual environment at high velocities</w:t>
      </w:r>
      <w:r>
        <w:t xml:space="preserve"> </w:t>
      </w:r>
      <w:r>
        <w:t xml:space="preserve">(Fraser Franco et al. 2022)</w:t>
      </w:r>
      <w:r>
        <w:t xml:space="preserve">.</w:t>
      </w:r>
    </w:p>
    <w:p>
      <w:pPr>
        <w:pStyle w:val="CaptionedFigure"/>
      </w:pPr>
      <w:r>
        <w:drawing>
          <wp:inline>
            <wp:extent cx="5943600" cy="4711141"/>
            <wp:effectExtent b="0" l="0" r="0" t="0"/>
            <wp:docPr descr="Figure 1. Hypothesis describing how prey-mediated individual foraging specializ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here predictable, they all display similar degrees of individual foraging specialization, resulting in the population being specialized. B) all predators encounter varying types of prey (e.g., in some encounters the prey were fast, in others the prey were slower), such that they also display similar degrees of individual foraging specialization as in panel A. However, in this case, they all become generalist hunters, resulting in the population distribution being wider. C) A scenario where predators display varying degrees of foraging specialization. In this case, some individuals consistently encountered similar prey, and thus specialized, while others encountered varying groups of prey, thus becoming generalists. Ultimately, those that learn to specialise on the proper tactic given prey encounters have greater success than those that didn’t, resulting in no differences between specialists and generalists." title="" id="22" name="Picture"/>
            <a:graphic>
              <a:graphicData uri="http://schemas.openxmlformats.org/drawingml/2006/picture">
                <pic:pic>
                  <pic:nvPicPr>
                    <pic:cNvPr descr="C:/Users/User/Documents/GitHub/Chapter3/outputs/04_outputs_figures/figure1.png" id="23" name="Picture"/>
                    <pic:cNvPicPr>
                      <a:picLocks noChangeArrowheads="1" noChangeAspect="1"/>
                    </pic:cNvPicPr>
                  </pic:nvPicPr>
                  <pic:blipFill>
                    <a:blip r:embed="rId21"/>
                    <a:stretch>
                      <a:fillRect/>
                    </a:stretch>
                  </pic:blipFill>
                  <pic:spPr bwMode="auto">
                    <a:xfrm>
                      <a:off x="0" y="0"/>
                      <a:ext cx="5943600" cy="4711141"/>
                    </a:xfrm>
                    <a:prstGeom prst="rect">
                      <a:avLst/>
                    </a:prstGeom>
                    <a:noFill/>
                    <a:ln w="9525">
                      <a:noFill/>
                      <a:headEnd/>
                      <a:tailEnd/>
                    </a:ln>
                  </pic:spPr>
                </pic:pic>
              </a:graphicData>
            </a:graphic>
          </wp:inline>
        </w:drawing>
      </w:r>
    </w:p>
    <w:p>
      <w:pPr>
        <w:pStyle w:val="ImageCaption"/>
      </w:pPr>
      <w:r>
        <w:rPr>
          <w:bCs/>
          <w:b/>
        </w:rPr>
        <w:t xml:space="preserve">Figure 1</w:t>
      </w:r>
      <w:r>
        <w:t xml:space="preserve">. Hypothesis describing how prey-mediated individual foraging specialization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where predictable, they all display similar degrees of individual foraging specialization, resulting in the population being specialized. B) all predators encounter varying types of prey (e.g., in some encounters the prey were fast, in others the prey were slower), such that they also display similar degrees of individual foraging specialization as in panel A. However, in this case, they all become generalist hunters, resulting in the population distribution being wider. C) A scenario where predators display varying degrees of foraging specialization. In this case, some individuals consistently encountered similar prey, and thus specialized, while others encountered varying groups of prey, thus becoming generalists. Ultimately, those that learn to specialise on the proper tactic given prey encounters have greater success than those that didn’t, resulting in no differences between specialists and generalists.</w:t>
      </w:r>
    </w:p>
    <w:p>
      <w:pPr>
        <w:pStyle w:val="BodyText"/>
      </w:pPr>
      <w:r>
        <w:t xml:space="preserve">To test the hypothesis that repeated interactions with prey shape predator foraging specialization, we analyze the movement speed of predators and their prey over time. To assess how foraging specialization emerges throughout experience, we define the level of individual foraging specialization as the intra-individual variance (IIV) in movement speed across matches following the definition by</w:t>
      </w:r>
      <w:r>
        <w:t xml:space="preserve"> </w:t>
      </w:r>
      <w:r>
        <w:t xml:space="preserve">Cleasby et al. (2015)</w:t>
      </w:r>
      <w:r>
        <w:t xml:space="preserve">. Low IIV describes individual foraging specialization (i.e., always using an ambush or cursorial tactic) whereas high IIV describes a flexible use of foraging tactics (i.e., generalist predators switching between ambush and cursorial tactics, see Methods for details). First, we expect predators to differ in the use of their hunting tactic (i.e., mean movement speed) which will be tuned to the mean speed of the prey that they encounter (Figure 1A-B). Second, we predict that if all predators consistently encounter prey moving at similar speeds, then the population as a whole (i.e., all individuals) should specialize on moving at similar speeds, resulting in a narrow behavioural niche (Figure 1A). In contrast, if all predators encounter groups of prey moving at varying speeds, then they should all become more flexible in their tactic use (i.e., generalists), adjusting their speed to the prey from one encounter to the other, resulting in a higher population variance in foraging behaviour (Figure 1B). In both scenarios, differences among individuals in IIV across experience should be low (i.e., similar individual foraging specialization, Figure 1A-B). Alternatively, differences among individuals in foraging specialization may emerge if they experience different interactions with their prey. In this case, predators that encountered prey moving at similar speeds across experience should specialize on moving at a more fixed speed, while predators that encountered different prey speeds across matches should adopt a generalist movement strategy, resulting in an increase in among individual differences in IIV (Figure 1C). Lastly, if we detect such prey-dependent fine-tuning with experience, then specialist and generalist hunters should attain equal success, resulting in no apparent relationship between foraging specialization and prey capture (Figure 1C).</w:t>
      </w:r>
    </w:p>
    <w:bookmarkEnd w:id="24"/>
    <w:bookmarkStart w:id="33"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DBD</w:t>
      </w:r>
      <w:r>
        <w:t xml:space="preserve"> </w:t>
      </w:r>
      <w:r>
        <w:t xml:space="preserve">is an asymmetric multiplayer survival game developed by Behaviour Interactive Inc. In this game, participants take on roles as either a predator or one of the prey, with each match consisting of one predator and four prey. A matchmaking system pairs groups of players with similar skill levels such that individuals should all have similar profiency. The predator’s primary goal is to hunt and capture the prey while the prey must locate and collect resources in the form of power generators that must be activated. When all generators are activated, the prey can escape through one of two exit gates and win the match. A match ends when the predator has eliminated all remaining prey that have not escaped or when the last prey successfully exits the virtual environment. Players, whether predator or prey, select avatars with distinct abilities designed for specific playstyles (e.g. stealthy vs evasive prey, or stalking vs patrolling predators). During the study period, the game featured 23 predator avatars. The virtual environments in which matches are played vary in size and structural complexity, combining fixed and procedurally generated elements such as vegetation, buildings, and maze-like structures. Troughout the study period, there were 35 virtual game environments available for gameplay.</w:t>
      </w:r>
    </w:p>
    <w:bookmarkEnd w:id="25"/>
    <w:bookmarkStart w:id="27" w:name="data-collection"/>
    <w:p>
      <w:pPr>
        <w:pStyle w:val="Heading2"/>
      </w:pPr>
      <w:r>
        <w:t xml:space="preserve">Data collection</w:t>
      </w:r>
    </w:p>
    <w:p>
      <w:pPr>
        <w:pStyle w:val="FirstParagraph"/>
      </w:pPr>
      <w:r>
        <w:t xml:space="preserve">The dataset comprised gameplay data from 2020-12-01 to 2021-06-01. We focused exclusively on matches played in</w:t>
      </w:r>
      <w:r>
        <w:t xml:space="preserve"> </w:t>
      </w:r>
      <w:r>
        <w:t xml:space="preserve">“</w:t>
      </w:r>
      <w:r>
        <w:t xml:space="preserve">Online</w:t>
      </w:r>
      <w:r>
        <w:t xml:space="preserve">”</w:t>
      </w:r>
      <w:r>
        <w:t xml:space="preserve"> </w:t>
      </w:r>
      <w:r>
        <w:t xml:space="preserve">mode, where players were strangers to one another and paired by a matchmaking algorithm. We excluded matches where players were inactive, as indicated by null or nearly null movement speeds, and matches where players were suspected of hacking or engaging in unintended gameplay behaviour based on our knowledge of the game mechanics. We then selected a cohort of players that played 300 matches or more, and monitored all their matches from the first to a maximum of 500 matches.</w:t>
      </w:r>
    </w:p>
    <w:p>
      <w:pPr>
        <w:pStyle w:val="BodyText"/>
      </w:pPr>
      <w:r>
        <w:t xml:space="preserve">Our dataset includes 253 unique predator players, collectively contributing to 100 412 matches. The number of matches played by predator players ranged from 301 to 500. Match durations varied between 3 and 70 minutes, with an average duration of 11 minutes. The final dataset provided the following variables: the player ID, the chosen predator avatar, the game environment, the predator’s level of experience, the mean movement speed of the predator, the mean movement speed of the prey group, and their average rank (used as a proxy for prey skill). The game’s ranking system, designed to match players of similar skill levels (</w:t>
      </w:r>
      <w:hyperlink r:id="rId26">
        <w:r>
          <w:rPr>
            <w:rStyle w:val="Hyperlink"/>
          </w:rPr>
          <w:t xml:space="preserve">https://deadbydaylight.fandom.com/wiki/Rank</w:t>
        </w:r>
      </w:hyperlink>
      <w:r>
        <w:t xml:space="preserve">), was incorporated into our analysis to detect any relationship between predator experience and foraging success</w:t>
      </w:r>
      <w:r>
        <w:t xml:space="preserve"> </w:t>
      </w:r>
      <w:r>
        <w:t xml:space="preserve">(see Fraser Franco et al. 2024)</w:t>
      </w:r>
      <w:r>
        <w:t xml:space="preserv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categorized predators for each match based on the experience they cumulated</w:t>
      </w:r>
      <w:r>
        <w:t xml:space="preserve"> </w:t>
      </w:r>
      <w:r>
        <w:t xml:space="preserve">(see Fraser Franco et al. 2024)</w:t>
      </w:r>
      <w:r>
        <w:t xml:space="preserve">. We labeled predators as novices when they played between 1 and 99 matches, as intermediates between 100 and 299 matches, and as advanced between 300 and 500 matches.</w:t>
      </w:r>
    </w:p>
    <w:bookmarkEnd w:id="27"/>
    <w:bookmarkStart w:id="32" w:name="statistical-analyses"/>
    <w:p>
      <w:pPr>
        <w:pStyle w:val="Heading2"/>
      </w:pPr>
      <w:r>
        <w:t xml:space="preserve">Statistical analyses</w:t>
      </w:r>
    </w:p>
    <w:bookmarkStart w:id="28" w:name="Xbfdec3d89f32a5965bee170e6400ecfa0912031"/>
    <w:p>
      <w:pPr>
        <w:pStyle w:val="Heading3"/>
      </w:pPr>
      <w:r>
        <w:t xml:space="preserve">Foraging behaviour and predator-prey interactions across experience</w:t>
      </w:r>
    </w:p>
    <w:p>
      <w:pPr>
        <w:pStyle w:val="FirstParagraph"/>
      </w:pPr>
      <w:r>
        <w:t xml:space="preserve">We used a multivariate double-hierarchical generalized linear model (MDHGLM) to quantify a) changes in the average foraging tactic (i.e., the mean movement speed) and in the degree of specialization (i.e., IIV in movement speed) over successive matches for each player; and b) the relationship between the average tactic and specialization, and hunting success</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was trait-specific and the same for all experience levels. For the predator and the prey speed, we modeled the mean and the residual standard deviation (eqn 1.1, 1.2 and 2.1, 2.2). For both traits, we controlled for the standardized prey rank on the mean and the residual standard deviation. We included game environment, predator avatar, and individual predator identity random effects on the mean part of the model. The residual standard deviation included individual predator identity random effects exclusively. For hunting success, we modeled the mean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ambush-cursorial continuum), in the mean speed of the prey encountered, and in mean prey consumption. The model also estimated among individual variance in intra-individual variation (IIV) for both prey and predator speed. This allows us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performed our analyses within a Bayesian framework. 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bookmarkEnd w:id="28"/>
    <w:bookmarkStart w:id="31" w:name="model-specifications"/>
    <w:p>
      <w:pPr>
        <w:pStyle w:val="Heading3"/>
      </w:pPr>
      <w:r>
        <w:t xml:space="preserve">Model specifications</w:t>
      </w:r>
    </w:p>
    <w:p>
      <w:pPr>
        <w:pStyle w:val="FirstParagraph"/>
      </w:pPr>
      <w:r>
        <w:t xml:space="preserve">We fitted the model in R (version 4.1.2) using Hamiltonian Monte Carlo (HMC)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We ran te model on on Cedar (Operating system: CentOS Linux 7), a computer cluster maintained by the Digital Research Alliance of Canada (</w:t>
      </w:r>
      <w:hyperlink r:id="rId29">
        <w:r>
          <w:rPr>
            <w:rStyle w:val="Hyperlink"/>
          </w:rPr>
          <w:t xml:space="preserve">https://docs.alliancecan.ca/wiki/Cedar</w:t>
        </w:r>
      </w:hyperlink>
      <w:r>
        <w:t xml:space="preserve">).</w:t>
      </w:r>
    </w:p>
    <w:p>
      <w:pPr>
        <w:pStyle w:val="BodyText"/>
      </w:pPr>
      <w:r>
        <w:t xml:space="preserve">We parametrized the MDHGLM to run 2500 iterations on four chains with a thinning interval set at eight iterations, with the first 500 used as warm up iterations (yielding 1000 posterior samples for each parameter). We assessed the convergence of the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30">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2.</w:t>
      </w:r>
    </w:p>
    <w:bookmarkEnd w:id="31"/>
    <w:bookmarkEnd w:id="32"/>
    <w:bookmarkEnd w:id="33"/>
    <w:bookmarkStart w:id="46" w:name="results"/>
    <w:p>
      <w:pPr>
        <w:pStyle w:val="Heading1"/>
      </w:pPr>
      <w:r>
        <w:t xml:space="preserve">RESULTS</w:t>
      </w:r>
    </w:p>
    <w:bookmarkStart w:id="40" w:name="X9ca9713c162ba09fc6c7d6f6de3832bd685a21f"/>
    <w:p>
      <w:pPr>
        <w:pStyle w:val="Heading2"/>
      </w:pPr>
      <w:r>
        <w:t xml:space="preserve">Changes in foraging behaviour, prey behaviour, and hunting success</w:t>
      </w:r>
    </w:p>
    <w:p>
      <w:pPr>
        <w:pStyle w:val="FirstParagraph"/>
      </w:pPr>
      <w:r>
        <w:t xml:space="preserve">At the population level, the mean predator speed remained stable as predators progressed from novices to advanced hunters (Figure 2A and Appendix 1: Table S1). Likewise, the variation in speed did not change with experience, indicating that foraging specialization remained stable at the population level (Figure 2A and Appendix 1: Table S1). At the individual level, differences among predators in their mean speed were weak and did not change across experience (Figure 2A and Appendix 1: Table S2). However, predators displayed minor differences in foraging specialization as novices, with differences increasing slightly as individuals gained experience (Figure 2A and Appendix 1: Table S2). 12% of the population switched from a flexible to a more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1600158"/>
            <wp:effectExtent b="0" l="0" r="0" t="0"/>
            <wp:docPr descr="Figure 2. Median posterior differences and HPD intervals comparing predator foraging behaviour, prey behaviour, and predator hunting success at the population and individual level across experience stages. The parameters being compared are on the y axis, and the differences in parameter values between two experience stages are on the x axis. The pairwise comparisons between experience stages are displayed as different point shapes on each panel.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 title="" id="35" name="Picture"/>
            <a:graphic>
              <a:graphicData uri="http://schemas.openxmlformats.org/drawingml/2006/picture">
                <pic:pic>
                  <pic:nvPicPr>
                    <pic:cNvPr descr="C:/Users/User/Documents/GitHub/Chapter3/outputs/04_outputs_figures/figure2.png" id="36" name="Picture"/>
                    <pic:cNvPicPr>
                      <a:picLocks noChangeArrowheads="1" noChangeAspect="1"/>
                    </pic:cNvPicPr>
                  </pic:nvPicPr>
                  <pic:blipFill>
                    <a:blip r:embed="rId34"/>
                    <a:stretch>
                      <a:fillRect/>
                    </a:stretch>
                  </pic:blipFill>
                  <pic:spPr bwMode="auto">
                    <a:xfrm>
                      <a:off x="0" y="0"/>
                      <a:ext cx="5943600" cy="1600158"/>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prey behaviour, and predator hunting success at the population and individual level across experience stages. The parameters being compared are on the y axis, and the differences in parameter values between two experience stages are on the x axis. The pairwise comparisons between experience stages are displayed as different point shapes on each panel.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w:t>
      </w:r>
    </w:p>
    <w:p>
      <w:pPr>
        <w:pStyle w:val="BodyText"/>
      </w:pPr>
      <w:r>
        <w:t xml:space="preserve">At the population level, we found strong evidence that the prey increased their speed slightly as predators gained experience (Figure 2B and Appendix 1: Table S1). The predators also encountered a greater variation of prey speeds at later experience stages (Figure 2B and Appendix 1: Table S1). At the individual level, predators encountered prey with similar average speeds across experience stages (Figure 2B and Appendix 1: Table S2). However, predators differed in the range of prey speeds they encountered and the magnitude of these differences increased as they gained experience (Figure 2B and Appendix 1: Table S2). Thus, some predators encountered prey moving at similar speeds from one encounter to the next (i.e., all groups using similar speeds) while others encountered prey moving at different speeds (i.e., some slower and some faster).</w:t>
      </w:r>
    </w:p>
    <w:p>
      <w:pPr>
        <w:pStyle w:val="BodyText"/>
      </w:pPr>
      <w:r>
        <w:t xml:space="preserve">The predator population’s mean hunting success increased with experience (Figure 2C and Appendix 1: Table S1), with mean prey consumption reaching around two prey. We did not find evidence for differences among individuals in mean hunting success at any experience stage, even though differences increased slightly (Figure 2C and Appendix 1: Table S2).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and (B) the greatest decrease in specialisation. The background (gray) distributions are for when individuals were novice hunters, and the foreground (blue) distributions with solid contour lines are for when they were advanced hunters. Both figure panels are ordered by ascending degree of change in specialization.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title="" id="38" name="Picture"/>
            <a:graphic>
              <a:graphicData uri="http://schemas.openxmlformats.org/drawingml/2006/picture">
                <pic:pic>
                  <pic:nvPicPr>
                    <pic:cNvPr descr="C:/Users/User/Documents/GitHub/Chapter3/outputs/04_outputs_figures/figure3.png" id="39" name="Picture"/>
                    <pic:cNvPicPr>
                      <a:picLocks noChangeArrowheads="1" noChangeAspect="1"/>
                    </pic:cNvPicPr>
                  </pic:nvPicPr>
                  <pic:blipFill>
                    <a:blip r:embed="rId37"/>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and (B) the greatest decrease in specialisation. The background (gray) distributions are for when individuals were novice hunters, and the foreground (blue) distributions with solid contour lines are for when they were advanced hunters. Both figure panels are ordered by ascending degree of change in specialization.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bookmarkEnd w:id="40"/>
    <w:bookmarkStart w:id="44"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Thus, faster predators specialized to a higher degree than slower predators. As predators gained experience, these strategies were increasingly defined as the correlation changed from -0.62 (-0.70, -0.55</w:t>
      </w:r>
      <w:r>
        <w:t xml:space="preserve"> </w:t>
      </w:r>
      <m:oMath>
        <m:r>
          <m:t>95</m:t>
        </m:r>
        <m:r>
          <m:rPr>
            <m:sty m:val="p"/>
          </m:rPr>
          <m:t>%</m:t>
        </m:r>
        <m:r>
          <m:t> </m:t>
        </m:r>
        <m:r>
          <m:t>C</m:t>
        </m:r>
        <m:r>
          <m:t>I</m:t>
        </m:r>
      </m:oMath>
      <w:r>
        <w:t xml:space="preserve">) among novices to -0.78 (-0.83, -0.72</w:t>
      </w:r>
      <w:r>
        <w:t xml:space="preserve"> </w:t>
      </w:r>
      <m:oMath>
        <m:r>
          <m:t>95</m:t>
        </m:r>
        <m:r>
          <m:rPr>
            <m:sty m:val="p"/>
          </m:rPr>
          <m:t>%</m:t>
        </m:r>
        <m:r>
          <m:t> </m:t>
        </m:r>
        <m:r>
          <m:t>C</m:t>
        </m:r>
        <m:r>
          <m:t>I</m:t>
        </m:r>
      </m:oMath>
      <w:r>
        <w:t xml:space="preserve">) among advanced hunters (Figure 4C). Faster predators tended to encounter faster prey; they also encountered groups of prey groups of prey that were more similar from match to match (Figure 4A-B), irrespective of their experience (Figure 4C).</w:t>
      </w:r>
    </w:p>
    <w:p>
      <w:pPr>
        <w:pStyle w:val="BodyText"/>
      </w:pPr>
      <w:r>
        <w:t xml:space="preserve">There was no correlation (-0.02, -0.14, 0.01</w:t>
      </w:r>
      <w:r>
        <w:t xml:space="preserve"> </w:t>
      </w:r>
      <m:oMath>
        <m:r>
          <m:t>95</m:t>
        </m:r>
        <m:r>
          <m:rPr>
            <m:sty m:val="p"/>
          </m:rPr>
          <m:t>%</m:t>
        </m:r>
        <m:r>
          <m:t> </m:t>
        </m:r>
        <m:r>
          <m:t>C</m:t>
        </m:r>
        <m:r>
          <m:t>I</m:t>
        </m:r>
      </m:oMath>
      <w:r>
        <w:t xml:space="preserve">) between mean prey speed and IIV in predator speed when predators were novice (Figure 4A), but the correlation increased to -0.16 (-0.27,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Predators with a larger IIV in speed encountered a greater range of prey speeds, but this effect was weak (Figure 4A-B). Hence, predators that encountered groups of prey with similar speeds tended to be more specialized in their tactic, while those that encountered groups of prey with varying speeds were less specialised. However, this correlation did not change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2" name="Picture"/>
            <a:graphic>
              <a:graphicData uri="http://schemas.openxmlformats.org/drawingml/2006/picture">
                <pic:pic>
                  <pic:nvPicPr>
                    <pic:cNvPr descr="C:/Users/User/Documents/GitHub/Chapter3/outputs/04_outputs_figures/figure4.png" id="43" name="Picture"/>
                    <pic:cNvPicPr>
                      <a:picLocks noChangeArrowheads="1" noChangeAspect="1"/>
                    </pic:cNvPicPr>
                  </pic:nvPicPr>
                  <pic:blipFill>
                    <a:blip r:embed="rId41"/>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4"/>
    <w:bookmarkStart w:id="45" w:name="Xfe643302c4075ffca724342e303f91e806efa03"/>
    <w:p>
      <w:pPr>
        <w:pStyle w:val="Heading2"/>
      </w:pPr>
      <w:r>
        <w:t xml:space="preserve">Success along the foraging specialization continuum</w:t>
      </w:r>
    </w:p>
    <w:p>
      <w:pPr>
        <w:pStyle w:val="FirstParagraph"/>
      </w:pPr>
      <w:r>
        <w:t xml:space="preserve">There were no differences in hunting success among predators in their mean speed (Figure 4). More specialised predators achieved a slightly greater foraging success, but this effect was weak (Figure 4). This relationship between the predator’s IIV in speed and success increased with experience (Figure 4C), suggesting that the success gap between generalists and specialists increased with experience (Appendix 1: Figure S2). There was strong evidence that predators that encountered faster prey and prey groups with similar speeds were less successful (Figure 4A-B), irrespective of their experience level (Figure 4C).</w:t>
      </w:r>
    </w:p>
    <w:bookmarkEnd w:id="45"/>
    <w:bookmarkEnd w:id="46"/>
    <w:bookmarkStart w:id="48" w:name="discussion"/>
    <w:p>
      <w:pPr>
        <w:pStyle w:val="Heading1"/>
      </w:pPr>
      <w:r>
        <w:t xml:space="preserve">DISCUSSION</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while predators in</w:t>
      </w:r>
      <w:r>
        <w:t xml:space="preserve"> </w:t>
      </w:r>
      <w:r>
        <w:rPr>
          <w:iCs/>
          <w:i/>
        </w:rPr>
        <w:t xml:space="preserve">Dead by Daylight</w:t>
      </w:r>
      <w:r>
        <w:t xml:space="preserve"> </w:t>
      </w:r>
      <w:r>
        <w:t xml:space="preserve">did not show any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across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p>
      <w:pPr>
        <w:pStyle w:val="BodyText"/>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encountered faster prey more often.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w:t>
      </w:r>
    </w:p>
    <w:p>
      <w:pPr>
        <w:pStyle w:val="BodyText"/>
      </w:pPr>
      <w:r>
        <w:t xml:space="preserve">Specialist foragers were faster and probably better equipped to hunt the faster and more difficult prey in</w:t>
      </w:r>
      <w:r>
        <w:t xml:space="preserve"> </w:t>
      </w:r>
      <w:r>
        <w:rPr>
          <w:iCs/>
          <w:i/>
        </w:rPr>
        <w:t xml:space="preserve">DBD</w:t>
      </w:r>
      <w:r>
        <w:t xml:space="preserve">. However, if the prey responded to fast predators by also being faster, then hunting at high speeds resulted in challenging encounters for these predators too, thereby decreasing the benefits of using this tactic (Figure 3). Thus, specializing probably compensated for the difficulty of hunting prey at high speeds by helping predators to better predict the location and movement of their prey. On the other hand, flexible foragers encountered a larger range of prey moving at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Start w:id="47" w:name="conclusions"/>
    <w:p>
      <w:pPr>
        <w:pStyle w:val="Heading2"/>
      </w:pPr>
      <w:r>
        <w:t xml:space="preserve">Conclusions</w:t>
      </w:r>
    </w:p>
    <w:p>
      <w:pPr>
        <w:pStyle w:val="FirstParagraph"/>
      </w:pPr>
      <w:r>
        <w:t xml:space="preserve">We found support for our prediction that individual foraging specialization changed across experience and predator-prey interactions. Our results suggest that predators learned with experience, as their success increased and their speed remained matched to the speed of their prey. Even though individuals were not all equally successful, both specialized and flexible hunters achieved similar success overall.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predator-prey systems.</w:t>
      </w:r>
    </w:p>
    <w:bookmarkEnd w:id="47"/>
    <w:bookmarkEnd w:id="48"/>
    <w:bookmarkStart w:id="149" w:name="references"/>
    <w:p>
      <w:pPr>
        <w:pStyle w:val="Heading1"/>
      </w:pPr>
      <w:r>
        <w:t xml:space="preserve">REFERENCES</w:t>
      </w:r>
    </w:p>
    <w:bookmarkStart w:id="148" w:name="refs"/>
    <w:bookmarkStart w:id="50" w:name="ref-abrams2000"/>
    <w:p>
      <w:pPr>
        <w:pStyle w:val="Bibliography"/>
      </w:pPr>
      <w:r>
        <w:t xml:space="preserve">Abrams, P. A. 2000.</w:t>
      </w:r>
      <w:r>
        <w:t xml:space="preserve"> </w:t>
      </w:r>
      <w:hyperlink r:id="rId49">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50"/>
    <w:bookmarkStart w:id="52" w:name="ref-belisle1997"/>
    <w:p>
      <w:pPr>
        <w:pStyle w:val="Bibliography"/>
      </w:pPr>
      <w:r>
        <w:t xml:space="preserve">Bélisle, C., and J. Cresswell. 1997.</w:t>
      </w:r>
      <w:r>
        <w:t xml:space="preserve"> </w:t>
      </w:r>
      <w:hyperlink r:id="rId51">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2"/>
    <w:bookmarkStart w:id="54" w:name="ref-brockhurst2014"/>
    <w:p>
      <w:pPr>
        <w:pStyle w:val="Bibliography"/>
      </w:pPr>
      <w:r>
        <w:t xml:space="preserve">Brockhurst, M. A., T. Chapman, K. C. King, J. E. Mank, S. Paterson, and G. D. D. Hurst. 2014.</w:t>
      </w:r>
      <w:r>
        <w:t xml:space="preserve"> </w:t>
      </w:r>
      <w:hyperlink r:id="rId53">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4"/>
    <w:bookmarkStart w:id="56" w:name="ref-bro-jorgensen2013"/>
    <w:p>
      <w:pPr>
        <w:pStyle w:val="Bibliography"/>
      </w:pPr>
      <w:r>
        <w:t xml:space="preserve">Bro-Jørgensen, J. 2013.</w:t>
      </w:r>
      <w:r>
        <w:t xml:space="preserve"> </w:t>
      </w:r>
      <w:hyperlink r:id="rId55">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6"/>
    <w:bookmarkStart w:id="58" w:name="ref-burkner2017"/>
    <w:p>
      <w:pPr>
        <w:pStyle w:val="Bibliography"/>
      </w:pPr>
      <w:r>
        <w:t xml:space="preserve">Bürkner, P.-C. 2017.</w:t>
      </w:r>
      <w:r>
        <w:t xml:space="preserve"> </w:t>
      </w:r>
      <w:hyperlink r:id="rId57">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8"/>
    <w:bookmarkStart w:id="60" w:name="ref-cleasby.etal2015"/>
    <w:p>
      <w:pPr>
        <w:pStyle w:val="Bibliography"/>
      </w:pPr>
      <w:r>
        <w:t xml:space="preserve">Cleasby, I. R., S. Nakagawa, and H. Schielzeth. 2015.</w:t>
      </w:r>
      <w:r>
        <w:t xml:space="preserve"> </w:t>
      </w:r>
      <w:hyperlink r:id="rId59">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0"/>
    <w:bookmarkStart w:id="62" w:name="ref-courbin.etal2018"/>
    <w:p>
      <w:pPr>
        <w:pStyle w:val="Bibliography"/>
      </w:pPr>
      <w:r>
        <w:t xml:space="preserve">Courbin, N., A. Besnard, C. Péron, C. Saraux, J. Fort, S. Perret, J. Tornos, and D. Grémillet. 2018.</w:t>
      </w:r>
      <w:r>
        <w:t xml:space="preserve"> </w:t>
      </w:r>
      <w:hyperlink r:id="rId61">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2"/>
    <w:bookmarkStart w:id="63"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3"/>
    <w:bookmarkStart w:id="65" w:name="ref-dukas2019"/>
    <w:p>
      <w:pPr>
        <w:pStyle w:val="Bibliography"/>
      </w:pPr>
      <w:r>
        <w:t xml:space="preserve">Dukas, R. 2019.</w:t>
      </w:r>
      <w:r>
        <w:t xml:space="preserve"> </w:t>
      </w:r>
      <w:hyperlink r:id="rId64">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5"/>
    <w:bookmarkStart w:id="67" w:name="ref-edgell.rochette2009"/>
    <w:p>
      <w:pPr>
        <w:pStyle w:val="Bibliography"/>
      </w:pPr>
      <w:r>
        <w:t xml:space="preserve">Edgell, T. C., and R. Rochette. 2009.</w:t>
      </w:r>
      <w:r>
        <w:t xml:space="preserve"> </w:t>
      </w:r>
      <w:hyperlink r:id="rId66">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67"/>
    <w:bookmarkStart w:id="68"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68"/>
    <w:bookmarkStart w:id="70" w:name="ref-estes.etal2003"/>
    <w:p>
      <w:pPr>
        <w:pStyle w:val="Bibliography"/>
      </w:pPr>
      <w:r>
        <w:t xml:space="preserve">Estes, J. A., M. L. Riedman, M. M. Staedler, M. T. Tinker, and B. E. Lyon. 2003.</w:t>
      </w:r>
      <w:r>
        <w:t xml:space="preserve"> </w:t>
      </w:r>
      <w:hyperlink r:id="rId69">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0"/>
    <w:bookmarkStart w:id="72" w:name="ref-fraserfranco.etal2022"/>
    <w:p>
      <w:pPr>
        <w:pStyle w:val="Bibliography"/>
      </w:pPr>
      <w:r>
        <w:t xml:space="preserve">Fraser Franco, M., F. Santostefano, C. D. Kelly, and P.-O. Montiglio. 2022.</w:t>
      </w:r>
      <w:r>
        <w:t xml:space="preserve"> </w:t>
      </w:r>
      <w:hyperlink r:id="rId71">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2"/>
    <w:bookmarkStart w:id="74" w:name="ref-fraserfranco.etal2024"/>
    <w:p>
      <w:pPr>
        <w:pStyle w:val="Bibliography"/>
      </w:pPr>
      <w:r>
        <w:t xml:space="preserve">Fraser Franco, M., F. Santostefano, J. G. A. Martin, C. D. Kelly, and P.-O. Montiglio. 2024.</w:t>
      </w:r>
      <w:r>
        <w:t xml:space="preserve"> </w:t>
      </w:r>
      <w:hyperlink r:id="rId73">
        <w:r>
          <w:rPr>
            <w:rStyle w:val="Hyperlink"/>
          </w:rPr>
          <w:t xml:space="preserve">Prey movement shapes the acquisition of predator expertise in a virtual bi-trophic system</w:t>
        </w:r>
      </w:hyperlink>
      <w:r>
        <w:t xml:space="preserve">. bioRxiv.</w:t>
      </w:r>
    </w:p>
    <w:bookmarkEnd w:id="74"/>
    <w:bookmarkStart w:id="75"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5"/>
    <w:bookmarkStart w:id="77" w:name="ref-healy1992"/>
    <w:p>
      <w:pPr>
        <w:pStyle w:val="Bibliography"/>
      </w:pPr>
      <w:r>
        <w:t xml:space="preserve">Healy, S. 1992.</w:t>
      </w:r>
      <w:r>
        <w:t xml:space="preserve"> </w:t>
      </w:r>
      <w:hyperlink r:id="rId76">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77"/>
    <w:bookmarkStart w:id="79" w:name="ref-ishii.shimada2010"/>
    <w:p>
      <w:pPr>
        <w:pStyle w:val="Bibliography"/>
      </w:pPr>
      <w:r>
        <w:t xml:space="preserve">Ishii, Y., and M. Shimada. 2010.</w:t>
      </w:r>
      <w:r>
        <w:t xml:space="preserve"> </w:t>
      </w:r>
      <w:hyperlink r:id="rId78">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79"/>
    <w:bookmarkStart w:id="81" w:name="ref-kelley2003"/>
    <w:p>
      <w:pPr>
        <w:pStyle w:val="Bibliography"/>
      </w:pPr>
      <w:r>
        <w:t xml:space="preserve">Kelley, J. L., and A. E. Magurran. 2003.</w:t>
      </w:r>
      <w:r>
        <w:t xml:space="preserve"> </w:t>
      </w:r>
      <w:hyperlink r:id="rId80">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1"/>
    <w:bookmarkStart w:id="83" w:name="ref-kelley.magurran2011"/>
    <w:p>
      <w:pPr>
        <w:pStyle w:val="Bibliography"/>
      </w:pPr>
      <w:r>
        <w:t xml:space="preserve">Kelley, J. L., and A. E. Magurran. 2011.</w:t>
      </w:r>
      <w:r>
        <w:t xml:space="preserve"> </w:t>
      </w:r>
      <w:hyperlink r:id="rId82">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83"/>
    <w:bookmarkStart w:id="85" w:name="ref-kishida.etal2006"/>
    <w:p>
      <w:pPr>
        <w:pStyle w:val="Bibliography"/>
      </w:pPr>
      <w:r>
        <w:t xml:space="preserve">Kishida, O., Y. Mizuta, and K. Nishimura. 2006.</w:t>
      </w:r>
      <w:r>
        <w:t xml:space="preserve"> </w:t>
      </w:r>
      <w:hyperlink r:id="rId84">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85"/>
    <w:bookmarkStart w:id="87" w:name="ref-kishida.etal2009"/>
    <w:p>
      <w:pPr>
        <w:pStyle w:val="Bibliography"/>
      </w:pPr>
      <w:r>
        <w:t xml:space="preserve">Kishida, O., G. C. Trussell, and K. Nishimura. 2009.</w:t>
      </w:r>
      <w:r>
        <w:t xml:space="preserve"> </w:t>
      </w:r>
      <w:hyperlink r:id="rId86">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87"/>
    <w:bookmarkStart w:id="89" w:name="ref-lee.nelder2006"/>
    <w:p>
      <w:pPr>
        <w:pStyle w:val="Bibliography"/>
      </w:pPr>
      <w:r>
        <w:t xml:space="preserve">Lee, Y., and J. A. Nelder. 2006.</w:t>
      </w:r>
      <w:r>
        <w:t xml:space="preserve"> </w:t>
      </w:r>
      <w:hyperlink r:id="rId88">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89"/>
    <w:bookmarkStart w:id="91" w:name="ref-manlick.etal2021"/>
    <w:p>
      <w:pPr>
        <w:pStyle w:val="Bibliography"/>
      </w:pPr>
      <w:r>
        <w:t xml:space="preserve">Manlick, P. J., K. Maldonado, and S. D. Newsome. 2021.</w:t>
      </w:r>
      <w:r>
        <w:t xml:space="preserve"> </w:t>
      </w:r>
      <w:hyperlink r:id="rId90">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91"/>
    <w:bookmarkStart w:id="93" w:name="ref-mathot.etal2012"/>
    <w:p>
      <w:pPr>
        <w:pStyle w:val="Bibliography"/>
      </w:pPr>
      <w:r>
        <w:t xml:space="preserve">Mathot, K. J., J. Wright, B. Kempenaers, and N. J. Dingemanse. 2012.</w:t>
      </w:r>
      <w:r>
        <w:t xml:space="preserve"> </w:t>
      </w:r>
      <w:hyperlink r:id="rId92">
        <w:r>
          <w:rPr>
            <w:rStyle w:val="Hyperlink"/>
          </w:rPr>
          <w:t xml:space="preserve">Adaptive strategies for managing uncertainty may explain personality-related differences in behavioural plasticity</w:t>
        </w:r>
      </w:hyperlink>
      <w:r>
        <w:t xml:space="preserve">. Oikos 121:1009–1020.</w:t>
      </w:r>
    </w:p>
    <w:bookmarkEnd w:id="93"/>
    <w:bookmarkStart w:id="95" w:name="ref-mccomb2011"/>
    <w:p>
      <w:pPr>
        <w:pStyle w:val="Bibliography"/>
      </w:pPr>
      <w:r>
        <w:t xml:space="preserve">McComb, K., G. Shannon, S. M. Durant, K. Sayialel, R. Slotow, J. Poole, and C. Moss. 2011.</w:t>
      </w:r>
      <w:r>
        <w:t xml:space="preserve"> </w:t>
      </w:r>
      <w:hyperlink r:id="rId94">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95"/>
    <w:bookmarkStart w:id="97" w:name="ref-mcghee.etal2013"/>
    <w:p>
      <w:pPr>
        <w:pStyle w:val="Bibliography"/>
      </w:pPr>
      <w:r>
        <w:t xml:space="preserve">McGhee, K. E., L. M. Pintor, and A. M. Bell. 2013.</w:t>
      </w:r>
      <w:r>
        <w:t xml:space="preserve"> </w:t>
      </w:r>
      <w:hyperlink r:id="rId96">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97"/>
    <w:bookmarkStart w:id="99" w:name="ref-mitchell.etal2016"/>
    <w:p>
      <w:pPr>
        <w:pStyle w:val="Bibliography"/>
      </w:pPr>
      <w:r>
        <w:t xml:space="preserve">Mitchell, D. J., B. G. Fanson, C. Beckmann, and P. A. Biro. 2016.</w:t>
      </w:r>
      <w:r>
        <w:t xml:space="preserve"> </w:t>
      </w:r>
      <w:hyperlink r:id="rId98">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99"/>
    <w:bookmarkStart w:id="101" w:name="ref-montiglio2025"/>
    <w:p>
      <w:pPr>
        <w:pStyle w:val="Bibliography"/>
      </w:pPr>
      <w:r>
        <w:t xml:space="preserve">Montiglio, P.-O., M. Fraser Franco, and F. Santostefano. 2025.</w:t>
      </w:r>
      <w:r>
        <w:t xml:space="preserve"> </w:t>
      </w:r>
      <w:hyperlink r:id="rId100">
        <w:r>
          <w:rPr>
            <w:rStyle w:val="Hyperlink"/>
          </w:rPr>
          <w:t xml:space="preserve">Multiplayer videogames to analyze behavior during ecological interactions</w:t>
        </w:r>
      </w:hyperlink>
      <w:r>
        <w:t xml:space="preserve">. Trends in Ecology &amp; Evolution 0.</w:t>
      </w:r>
    </w:p>
    <w:bookmarkEnd w:id="101"/>
    <w:bookmarkStart w:id="103" w:name="ref-mougi.kishida2009"/>
    <w:p>
      <w:pPr>
        <w:pStyle w:val="Bibliography"/>
      </w:pPr>
      <w:r>
        <w:t xml:space="preserve">Mougi, A., and O. Kishida. 2009.</w:t>
      </w:r>
      <w:r>
        <w:t xml:space="preserve"> </w:t>
      </w:r>
      <w:hyperlink r:id="rId102">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03"/>
    <w:bookmarkStart w:id="105" w:name="ref-patrick.weimerskirch2014a"/>
    <w:p>
      <w:pPr>
        <w:pStyle w:val="Bibliography"/>
      </w:pPr>
      <w:r>
        <w:t xml:space="preserve">Patrick, S. C., and H. Weimerskirch. 2014a.</w:t>
      </w:r>
      <w:r>
        <w:t xml:space="preserve"> </w:t>
      </w:r>
      <w:hyperlink r:id="rId104">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05"/>
    <w:bookmarkStart w:id="107" w:name="ref-patrick.weimerskirch2014b"/>
    <w:p>
      <w:pPr>
        <w:pStyle w:val="Bibliography"/>
      </w:pPr>
      <w:r>
        <w:t xml:space="preserve">Patrick, S. C., and H. Weimerskirch. 2014b.</w:t>
      </w:r>
      <w:r>
        <w:t xml:space="preserve"> </w:t>
      </w:r>
      <w:hyperlink r:id="rId106">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07"/>
    <w:bookmarkStart w:id="109" w:name="ref-phillips.etal2017"/>
    <w:p>
      <w:pPr>
        <w:pStyle w:val="Bibliography"/>
      </w:pPr>
      <w:r>
        <w:t xml:space="preserve">Phillips, R. A., S. Lewis, J. González-Solís, and F. Daunt. 2017.</w:t>
      </w:r>
      <w:r>
        <w:t xml:space="preserve"> </w:t>
      </w:r>
      <w:hyperlink r:id="rId108">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09"/>
    <w:bookmarkStart w:id="111" w:name="ref-pintor.etal2014"/>
    <w:p>
      <w:pPr>
        <w:pStyle w:val="Bibliography"/>
      </w:pPr>
      <w:r>
        <w:t xml:space="preserve">Pintor, L. M., K. E. McGhee, D. P. Roche, and A. M. Bell. 2014.</w:t>
      </w:r>
      <w:r>
        <w:t xml:space="preserve"> </w:t>
      </w:r>
      <w:hyperlink r:id="rId110">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11"/>
    <w:bookmarkStart w:id="113" w:name="ref-potier.etal2015"/>
    <w:p>
      <w:pPr>
        <w:pStyle w:val="Bibliography"/>
      </w:pPr>
      <w:r>
        <w:t xml:space="preserve">Potier, S., A. Carpentier, D. Grémillet, B. Leroy, and A. Lescroël. 2015.</w:t>
      </w:r>
      <w:r>
        <w:t xml:space="preserve"> </w:t>
      </w:r>
      <w:hyperlink r:id="rId112">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13"/>
    <w:bookmarkStart w:id="115" w:name="ref-santoro.etal2019"/>
    <w:p>
      <w:pPr>
        <w:pStyle w:val="Bibliography"/>
      </w:pPr>
      <w:r>
        <w:t xml:space="preserve">Santoro, D., S. Hartley, and P. J. Lester. 2019.</w:t>
      </w:r>
      <w:r>
        <w:t xml:space="preserve"> </w:t>
      </w:r>
      <w:hyperlink r:id="rId114">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15"/>
    <w:bookmarkStart w:id="117" w:name="ref-stephens1993"/>
    <w:p>
      <w:pPr>
        <w:pStyle w:val="Bibliography"/>
      </w:pPr>
      <w:r>
        <w:t xml:space="preserve">Stephens, D. W. 1993.</w:t>
      </w:r>
      <w:r>
        <w:t xml:space="preserve"> </w:t>
      </w:r>
      <w:hyperlink r:id="rId116">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17"/>
    <w:bookmarkStart w:id="119" w:name="ref-stephens1986"/>
    <w:p>
      <w:pPr>
        <w:pStyle w:val="Bibliography"/>
      </w:pPr>
      <w:r>
        <w:t xml:space="preserve">Stephens, D. W., and J. R. Krebs. 1986.</w:t>
      </w:r>
      <w:r>
        <w:t xml:space="preserve"> </w:t>
      </w:r>
      <w:hyperlink r:id="rId118">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19"/>
    <w:bookmarkStart w:id="121" w:name="ref-szopa-comley.ioannou2022"/>
    <w:p>
      <w:pPr>
        <w:pStyle w:val="Bibliography"/>
      </w:pPr>
      <w:r>
        <w:t xml:space="preserve">Szopa-Comley, A. W., and C. C. Ioannou. 2022.</w:t>
      </w:r>
      <w:r>
        <w:t xml:space="preserve"> </w:t>
      </w:r>
      <w:hyperlink r:id="rId120">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21"/>
    <w:bookmarkStart w:id="122"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22"/>
    <w:bookmarkStart w:id="124" w:name="ref-Terraube2011"/>
    <w:p>
      <w:pPr>
        <w:pStyle w:val="Bibliography"/>
      </w:pPr>
      <w:r>
        <w:t xml:space="preserve">Terraube, J., B. Arroyo, M. Madders, and F. Mougeot. 2011.</w:t>
      </w:r>
      <w:r>
        <w:t xml:space="preserve"> </w:t>
      </w:r>
      <w:hyperlink r:id="rId123">
        <w:r>
          <w:rPr>
            <w:rStyle w:val="Hyperlink"/>
          </w:rPr>
          <w:t xml:space="preserve">Diet specialization and foraging efficiency under fluctuating vole abundance: A comparison between generalist and specialist avian predators</w:t>
        </w:r>
      </w:hyperlink>
      <w:r>
        <w:t xml:space="preserve">. Oikos 120:234–244.</w:t>
      </w:r>
    </w:p>
    <w:bookmarkEnd w:id="124"/>
    <w:bookmarkStart w:id="126" w:name="ref-Terraube2014"/>
    <w:p>
      <w:pPr>
        <w:pStyle w:val="Bibliography"/>
      </w:pPr>
      <w:r>
        <w:t xml:space="preserve">Terraube, J., D. Guixé, and B. Arroyo. 2014.</w:t>
      </w:r>
      <w:r>
        <w:t xml:space="preserve"> </w:t>
      </w:r>
      <w:hyperlink r:id="rId125">
        <w:r>
          <w:rPr>
            <w:rStyle w:val="Hyperlink"/>
          </w:rPr>
          <w:t xml:space="preserve">Diet composition and foraging success in generalist predators</w:t>
        </w:r>
      </w:hyperlink>
      <w:r>
        <w:t xml:space="preserve">. Basic and Applied Ecology 15:616–624.</w:t>
      </w:r>
    </w:p>
    <w:bookmarkEnd w:id="126"/>
    <w:bookmarkStart w:id="128" w:name="ref-tinker.etal2008"/>
    <w:p>
      <w:pPr>
        <w:pStyle w:val="Bibliography"/>
      </w:pPr>
      <w:r>
        <w:t xml:space="preserve">Tinker, M. T., G. Bentall, and J. A. Estes. 2008.</w:t>
      </w:r>
      <w:r>
        <w:t xml:space="preserve"> </w:t>
      </w:r>
      <w:hyperlink r:id="rId127">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28"/>
    <w:bookmarkStart w:id="129"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29"/>
    <w:bookmarkStart w:id="131" w:name="ref-toscano.etal2016"/>
    <w:p>
      <w:pPr>
        <w:pStyle w:val="Bibliography"/>
      </w:pPr>
      <w:r>
        <w:t xml:space="preserve">Toscano, B. J., N. J. Gownaris, S. M. Heerhartz, and C. J. Monaco. 2016.</w:t>
      </w:r>
      <w:r>
        <w:t xml:space="preserve"> </w:t>
      </w:r>
      <w:hyperlink r:id="rId130">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31"/>
    <w:bookmarkStart w:id="133" w:name="ref-toscano2014"/>
    <w:p>
      <w:pPr>
        <w:pStyle w:val="Bibliography"/>
      </w:pPr>
      <w:r>
        <w:t xml:space="preserve">Toscano, B. J., and B. D. Griffen. 2014.</w:t>
      </w:r>
      <w:r>
        <w:t xml:space="preserve"> </w:t>
      </w:r>
      <w:hyperlink r:id="rId132">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33"/>
    <w:bookmarkStart w:id="135" w:name="ref-turner2006"/>
    <w:p>
      <w:pPr>
        <w:pStyle w:val="Bibliography"/>
      </w:pPr>
      <w:r>
        <w:t xml:space="preserve">Turner, A. M., S. E. Turner, and H. M. Lappi. 2006.</w:t>
      </w:r>
      <w:r>
        <w:t xml:space="preserve"> </w:t>
      </w:r>
      <w:hyperlink r:id="rId134">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35"/>
    <w:bookmarkStart w:id="137" w:name="ref-vandenbosch.etal2019"/>
    <w:p>
      <w:pPr>
        <w:pStyle w:val="Bibliography"/>
      </w:pPr>
      <w:r>
        <w:t xml:space="preserve">van den Bosch, M., J. M. Baert, W. Müller, L. Lens, and E. W. M. Stienen. 2019.</w:t>
      </w:r>
      <w:r>
        <w:t xml:space="preserve"> </w:t>
      </w:r>
      <w:hyperlink r:id="rId136">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37"/>
    <w:bookmarkStart w:id="139" w:name="ref-vehtari.etal2021"/>
    <w:p>
      <w:pPr>
        <w:pStyle w:val="Bibliography"/>
      </w:pPr>
      <w:r>
        <w:t xml:space="preserve">Vehtari, A., A. Gelman, D. Simpson, B. Carpenter, and P.-C. Bürkner. 2021.</w:t>
      </w:r>
      <w:r>
        <w:t xml:space="preserve"> </w:t>
      </w:r>
      <w:hyperlink r:id="rId138">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39"/>
    <w:bookmarkStart w:id="141" w:name="ref-weimerskirch2007"/>
    <w:p>
      <w:pPr>
        <w:pStyle w:val="Bibliography"/>
      </w:pPr>
      <w:r>
        <w:t xml:space="preserve">Weimerskirch, H. 2007.</w:t>
      </w:r>
      <w:r>
        <w:t xml:space="preserve"> </w:t>
      </w:r>
      <w:hyperlink r:id="rId140">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41"/>
    <w:bookmarkStart w:id="143"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42">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43"/>
    <w:bookmarkStart w:id="145" w:name="ref-woo.etal2008"/>
    <w:p>
      <w:pPr>
        <w:pStyle w:val="Bibliography"/>
      </w:pPr>
      <w:r>
        <w:t xml:space="preserve">Woo, K. J., K. H. Elliott, M. Davidson, A. J. Gaston, and G. K. Davoren. 2008.</w:t>
      </w:r>
      <w:r>
        <w:t xml:space="preserve"> </w:t>
      </w:r>
      <w:hyperlink r:id="rId144">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45"/>
    <w:bookmarkStart w:id="147" w:name="ref-wooster.etal2023"/>
    <w:p>
      <w:pPr>
        <w:pStyle w:val="Bibliography"/>
      </w:pPr>
      <w:r>
        <w:t xml:space="preserve">Wooster, E. I. F., K. M. Gaynor, A. J. R. Carthey, A. D. Wallach, L. A. Stanton, D. Ramp, and E. J. Lundgren. 2023.</w:t>
      </w:r>
      <w:r>
        <w:t xml:space="preserve"> </w:t>
      </w:r>
      <w:hyperlink r:id="rId146">
        <w:r>
          <w:rPr>
            <w:rStyle w:val="Hyperlink"/>
          </w:rPr>
          <w:t xml:space="preserve">Animal cognition and culture mediate predator</w:t>
        </w:r>
        <w:r>
          <w:rPr>
            <w:rStyle w:val="Hyperlink"/>
          </w:rPr>
          <w:t xml:space="preserve">prey interactions</w:t>
        </w:r>
      </w:hyperlink>
      <w:r>
        <w:t xml:space="preserve">. Trends in Ecology &amp; Evolution.</w:t>
      </w:r>
    </w:p>
    <w:bookmarkEnd w:id="147"/>
    <w:bookmarkEnd w:id="148"/>
    <w:bookmarkEnd w:id="149"/>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30"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4"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25" Target="https://doi.org/10.1016/j.baae.2014.09.002" TargetMode="External" /><Relationship Type="http://schemas.openxmlformats.org/officeDocument/2006/relationships/hyperlink" Id="rId140"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6"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42"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7"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6"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32"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4"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123" Target="https://doi.org/10.1111/j.1600-0706.2010.18554.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8"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30"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4"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25" Target="https://doi.org/10.1016/j.baae.2014.09.002" TargetMode="External" /><Relationship Type="http://schemas.openxmlformats.org/officeDocument/2006/relationships/hyperlink" Id="rId140"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6"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42"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7"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6"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32"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4"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123" Target="https://doi.org/10.1111/j.1600-0706.2010.18554.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8"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foraging specialization and success change across experience in a virtual predator-prey system</dc:title>
  <dc:creator/>
  <cp:keywords/>
  <dcterms:created xsi:type="dcterms:W3CDTF">2025-04-08T20:20:47Z</dcterms:created>
  <dcterms:modified xsi:type="dcterms:W3CDTF">2025-04-08T20:20:47Z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