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4.png" ContentType="image/png"/>
  <Override PartName="/word/media/rId37.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change</w:t>
      </w:r>
      <w:r>
        <w:t xml:space="preserve"> </w:t>
      </w:r>
      <w:r>
        <w:t xml:space="preserve">across</w:t>
      </w:r>
      <w:r>
        <w:t xml:space="preserve"> </w:t>
      </w:r>
      <w:r>
        <w:t xml:space="preserve">experience</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their prey and to optimize their skills at implementing a given tactic are expected to drive the outcome of predator-prey interactions. Hence, successive interactions of predators with their prey may result in increased flexibility in tactic use or in individual foraging specialization. Yet, there are limited empirical assessments showing links between past experience, foraging specialization, and hunting success at the individual level, due to the challenges of monitoring direct interactions in the wild. Here, we used a virtual predator-prey system (the game</w:t>
      </w:r>
      <w:r>
        <w:t xml:space="preserve"> </w:t>
      </w:r>
      <w:r>
        <w:rPr>
          <w:iCs/>
          <w:i/>
        </w:rPr>
        <w:t xml:space="preserve">Dead by Daylight</w:t>
      </w:r>
      <w:r>
        <w:t xml:space="preserve">) to investigate how individual predator foraging specialization and success developed across repeated interactions with their prey. We found that 68% of predators became either increasingly specialized by always moving at a fast pace, or flexible by transitioning between slow and fast speeds. The predators’ strategies were partially matched to their prey’s speed, suggesting that changes in hunting behaviour were driven by repeated encounters with their prey. Flexible and specialist foragers achieved similar success overall. Hence, our findings suggest that experience may promote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4" w:name="introduction"/>
    <w:p>
      <w:pPr>
        <w:pStyle w:val="Heading1"/>
      </w:pPr>
      <w:r>
        <w:t xml:space="preserve">INTRODUCTION</w:t>
      </w:r>
    </w:p>
    <w:p>
      <w:pPr>
        <w:pStyle w:val="FirstParagraph"/>
      </w:pPr>
      <w:r>
        <w:t xml:space="preserve">Predators express a diverse array of foraging tactics to capture their prey. In natural populations, individuals differ in the use of tactics such as ambushing and roaming, often resulting in differences in prey consumption</w:t>
      </w:r>
      <w:r>
        <w:t xml:space="preserve"> </w:t>
      </w:r>
      <w:r>
        <w:t xml:space="preserve">(Toscano and Griffen 2014; Patrick and Weimerskirch 2014a; Toscano et al. 2016)</w:t>
      </w:r>
      <w:r>
        <w:t xml:space="preserve">. This variation in foraging behaviour has been shown to emerge from reciprocal behavioural interactions between predators and their prey. For example, prey reduce their activity to avoid predators, while predators match their hunting tactic to their prey based on their profitability</w:t>
      </w:r>
      <w:r>
        <w:t xml:space="preserve"> </w:t>
      </w:r>
      <w:r>
        <w:rPr>
          <w:bCs/>
          <w:b/>
        </w:rPr>
        <w:t xml:space="preserve">add ref for pred</w:t>
      </w:r>
      <w:r>
        <w:t xml:space="preserve"> </w:t>
      </w:r>
      <w:r>
        <w:t xml:space="preserve">(Kelley and Magurran 2011)</w:t>
      </w:r>
      <w:r>
        <w:t xml:space="preserve">. For a long time, these observations have prompted ecologists to hypothesize that predators learn from experience to become efficient hunters through repeated encounters and may unveil links between foraging specialization and prey capture</w:t>
      </w:r>
      <w:r>
        <w:t xml:space="preserve"> </w:t>
      </w:r>
      <w:r>
        <w:t xml:space="preserve">(Estes et al. 2003; Woo et al. 2008; Phillips et al. 2017)</w:t>
      </w:r>
      <w:r>
        <w:t xml:space="preserve">. Hence, while it remains challenging to monitor individual predator experience through time, uncovering how it shapes foraging behaviour is essential to predict hunting success because of its implications for community and ecosystem dynamics</w:t>
      </w:r>
      <w:r>
        <w:t xml:space="preserve"> </w:t>
      </w:r>
      <w:r>
        <w:t xml:space="preserve">(Wooster et al. 2023)</w:t>
      </w:r>
      <w:r>
        <w:t xml:space="preserve">.</w:t>
      </w:r>
    </w:p>
    <w:p>
      <w:pPr>
        <w:pStyle w:val="BodyText"/>
      </w:pPr>
      <w:r>
        <w:t xml:space="preserve">Recent evidence suggests that resource fluctuations (e.g., temporal changes in prey behaviour) may be a key mechanism underlying the emergence of behavioural specialization with experience and its fitness consequences</w:t>
      </w:r>
      <w:r>
        <w:t xml:space="preserve"> </w:t>
      </w:r>
      <w:r>
        <w:t xml:space="preserve">(Patrick and Weimerskirch 2014b; van den Bosch et al. 2019; Santoro, Hartley, and Lester 2019; Manlick, Maldonado, and Newsome 2021)</w:t>
      </w:r>
      <w:r>
        <w:t xml:space="preserve">. Theory suggests two contrasting scenarios with their outcome defined by the degree of resource variability. In the first scenario, individuals should gradually specialize in a foraging tactic (e.g., always moving fast) if it allows them to maintain successful prey captures at each attempt</w:t>
      </w:r>
      <w:r>
        <w:t xml:space="preserve"> </w:t>
      </w:r>
      <w:r>
        <w:t xml:space="preserve">(Tinker, Mangel, and Estes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For example, habitat specialization under stable resources is associated with reduced foraging effort and increased offspring growth rates in Herring Gulls (</w:t>
      </w:r>
      <w:r>
        <w:rPr>
          <w:iCs/>
          <w:i/>
        </w:rPr>
        <w:t xml:space="preserve">Larus argentatus</w:t>
      </w:r>
      <w:r>
        <w:t xml:space="preserve">)</w:t>
      </w:r>
      <w:r>
        <w:t xml:space="preserve"> </w:t>
      </w:r>
      <w:r>
        <w:t xml:space="preserve">(van den Bosch et al. 2019)</w:t>
      </w:r>
      <w:r>
        <w:t xml:space="preserve">. In the second scenario, predators are expected to increase behavioural flexibility by using a variety of hunting tactics (i.e. generalists) when they hunt in highly variable environments. Indeed, while there can be costs to attempt novel tactics by trial and error, predators can reduce the consequences of uncertainty in environments under fluctuating resources by learning to adjust their tactic to the prey that they encounter</w:t>
      </w:r>
      <w:r>
        <w:t xml:space="preserve"> </w:t>
      </w:r>
      <w:r>
        <w:t xml:space="preserve">(Dall 2010; Mathot et al. 2012; Stephens 1993; Ishii and Shimada 2010; Kelley and Magurran 2011)</w:t>
      </w:r>
      <w:r>
        <w:t xml:space="preserv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Given these two scenarios, the relationship between individual foraging specialization and prey capture likely depends on a predator’s ability to learn and adapt its hunting tactics to the prey it encounters. If predators can adjust their tactics to match the prey fluctuation regime they experience, then both specialist and generalist hunters should achieve similar hunting success and coexist</w:t>
      </w:r>
      <w:r>
        <w:t xml:space="preserve"> </w:t>
      </w:r>
      <w:r>
        <w:t xml:space="preserve">(Phillips et al. 2017)</w:t>
      </w:r>
      <w:r>
        <w:t xml:space="preserve">. Empiricists should therefore examine how foraging specialization influences prey capture across time and different ecological scenarios.</w:t>
      </w:r>
    </w:p>
    <w:p>
      <w:pPr>
        <w:pStyle w:val="BodyText"/>
      </w:pPr>
      <w:r>
        <w:t xml:space="preserve">In this study, we use data from players in the online videogame</w:t>
      </w:r>
      <w:r>
        <w:t xml:space="preserve"> </w:t>
      </w:r>
      <w:r>
        <w:rPr>
          <w:iCs/>
          <w:i/>
        </w:rPr>
        <w:t xml:space="preserve">Dead by Daylight</w:t>
      </w:r>
      <w:r>
        <w:t xml:space="preserve"> </w:t>
      </w:r>
      <w:r>
        <w:t xml:space="preserve">to investigate 1) how repeated interactions with prey shape predator foraging specialization and 2) how the relationship between specialization and foraging success changes over time.</w:t>
      </w:r>
      <w:r>
        <w:t xml:space="preserve"> </w:t>
      </w:r>
      <w:r>
        <w:rPr>
          <w:iCs/>
          <w:i/>
        </w:rPr>
        <w:t xml:space="preserve">Dead by Daylight</w:t>
      </w:r>
      <w:r>
        <w:t xml:space="preserve"> </w:t>
      </w:r>
      <w:r>
        <w:t xml:space="preserve">simulates a predator-prey interaction across complex virtual environments, providing a system to test ecological hypotheses on foraging behaviour, group selection, and social interactions</w:t>
      </w:r>
      <w:r>
        <w:t xml:space="preserve"> </w:t>
      </w:r>
      <w:r>
        <w:t xml:space="preserve">(reviewed in Montiglio, Fraser Franco, and Santostefano 2025)</w:t>
      </w:r>
      <w:r>
        <w:t xml:space="preserve">. In this game, four prey players forage for resources while avoiding predation by a fifth player. The predator population is composed of individuals that vary consistently in their use of hunting tactics along an ambush-cursorial continuum: at one extreme hunters move more slowly and ambush prey; at the other extreme, hunters roam the virtual environment at high velocities</w:t>
      </w:r>
      <w:r>
        <w:t xml:space="preserve"> </w:t>
      </w:r>
      <w:r>
        <w:t xml:space="preserve">(Fraser Franco et al. 2022)</w:t>
      </w:r>
      <w:r>
        <w:t xml:space="preserve">. Predators also acquire expertise through extensive practice, and the behaviour of the prey they encounter influences the rate at which they gain expertise</w:t>
      </w:r>
      <w:r>
        <w:t xml:space="preserve"> </w:t>
      </w:r>
      <w:r>
        <w:t xml:space="preserve">(Fraser Franco et al. 2024)</w:t>
      </w:r>
      <w:r>
        <w:t xml:space="preserve">. To assess how foraging specialization emerges throughout experience, we define the level of individual foraging specialization as the intra-individual variance (i.e. IIV) in movement speed across matches following the definition by</w:t>
      </w:r>
      <w:r>
        <w:t xml:space="preserve"> </w:t>
      </w:r>
      <w:r>
        <w:t xml:space="preserve">Cleasby, Nakagawa, and Schielzeth (2015)</w:t>
      </w:r>
      <w:r>
        <w:t xml:space="preserve">. Low IIV describes individual foraging specialization (i.e., always using an ambush or cursorial tactic) whereas high IIV describes a flexible use of foraging tactics (i.e., generalist predators switching between ambush and cursorial tactics).</w:t>
      </w:r>
    </w:p>
    <w:p>
      <w:pPr>
        <w:pStyle w:val="CaptionedFigure"/>
      </w:pPr>
      <w:r>
        <w:drawing>
          <wp:inline>
            <wp:extent cx="5943600" cy="4412448"/>
            <wp:effectExtent b="0" l="0" r="0" t="0"/>
            <wp:docPr descr="Figure 1. Hypothesis describing the outcome of prey-mediated individual foraging specialization. Panels A and B display two scenarios with different outcomes at the population level, but similar outcomes at the individual level. On panel A, all predators encounter prey with similar attributes (e.g., prey encountered were always fast) through time, such that they all display similar degrees of individual foraging specialization. This results in the population being specialized. Similarly, on panel B, all individuals encounter varying types of prey (e.g., in some encounters the prey were fast, in others the prey were slower), such that they also display similar degrees of individual foraging specialization. In this case, they all become generalist hunters, resulting in the population distribution being wider. Panel C shows a different and more plausible scenario, where predators display varying degrees of foraging specialization. In this case, some individuals encounter similar prey, and thus specialize, while others encounter varying groups of prey, thus becoming generalists." title="" id="22" name="Picture"/>
            <a:graphic>
              <a:graphicData uri="http://schemas.openxmlformats.org/drawingml/2006/picture">
                <pic:pic>
                  <pic:nvPicPr>
                    <pic:cNvPr descr="../outputs/04_outputs_figures/figure1.png" id="23" name="Picture"/>
                    <pic:cNvPicPr>
                      <a:picLocks noChangeArrowheads="1" noChangeAspect="1"/>
                    </pic:cNvPicPr>
                  </pic:nvPicPr>
                  <pic:blipFill>
                    <a:blip r:embed="rId21"/>
                    <a:stretch>
                      <a:fillRect/>
                    </a:stretch>
                  </pic:blipFill>
                  <pic:spPr bwMode="auto">
                    <a:xfrm>
                      <a:off x="0" y="0"/>
                      <a:ext cx="5943600" cy="4412448"/>
                    </a:xfrm>
                    <a:prstGeom prst="rect">
                      <a:avLst/>
                    </a:prstGeom>
                    <a:noFill/>
                    <a:ln w="9525">
                      <a:noFill/>
                      <a:headEnd/>
                      <a:tailEnd/>
                    </a:ln>
                  </pic:spPr>
                </pic:pic>
              </a:graphicData>
            </a:graphic>
          </wp:inline>
        </w:drawing>
      </w:r>
    </w:p>
    <w:p>
      <w:pPr>
        <w:pStyle w:val="ImageCaption"/>
      </w:pPr>
      <w:r>
        <w:rPr>
          <w:bCs/>
          <w:b/>
        </w:rPr>
        <w:t xml:space="preserve">Figure 1</w:t>
      </w:r>
      <w:r>
        <w:t xml:space="preserve">. Hypothesis describing the outcome of prey-mediated individual foraging specialization. Panels A and B display two scenarios with different outcomes at the population level, but similar outcomes at the individual level. On panel A, all predators encounter prey with similar attributes (e.g., prey encountered were always fast) through time, such that they all display similar degrees of individual foraging specialization. This results in the population being specialized. Similarly, on panel B, all individuals encounter varying types of prey (e.g., in some encounters the prey were fast, in others the prey were slower), such that they also display similar degrees of individual foraging specialization. In this case, they all become generalist hunters, resulting in the population distribution being wider. Panel C shows a different and more plausible scenario, where predators display varying degrees of foraging specialization. In this case, some individuals encounter similar prey, and thus specialize, while others encounter varying groups of prey, thus becoming generalists.</w:t>
      </w:r>
    </w:p>
    <w:p>
      <w:pPr>
        <w:pStyle w:val="BodyText"/>
      </w:pPr>
      <w:r>
        <w:t xml:space="preserve">To test the hypothesis that repeated interactions with prey shape predator foraging specialization, we analyze the movement behaviour of both predators and their prey using their speed of movement. We predict that if all predators consistently encounter prey moving at similar speeds, then the population as a whole (i.e., all individuals) should specialize on moving at similar speeds, resulting in a narrow foraging behavioural niche (Figure 1A). In contrast, if all predators encounter groups of prey moving at varying speeds, then they should instead become more flexible in their tactic (i.e., generalists), adjusting their speed to the prey, resulting in a higher population variance in foraging behaviour (Figure 1B). In both scenarios, differences among individuals in IIV across experience should be low (i.e., similar individual foraging specialization, Figure 1 A-B). Alternatively, differences among individuals in foraging specialization may emerge if they experience different interactions with their prey. In this case, predators that encountered similar groups of prey across experience should specialize on moving at a more fixed speed, while predators that encountered heterogeneous groups across matches should adopt a generalist movement strategy, resulting in an increase in among individual differences in IIV with experience (Figure 1C). If we detect such prey-dependent fine-tuning with experience, then specialist and generalist hunters should attain equal success, resulting in no apparent relationship between foraging specialization and prey capture.</w:t>
      </w:r>
    </w:p>
    <w:bookmarkEnd w:id="24"/>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DBD</w:t>
      </w:r>
      <w:r>
        <w:t xml:space="preserve"> </w:t>
      </w:r>
      <w:r>
        <w:t xml:space="preserve">is an asymmetric multiplayer survival game developed by Behaviour Interactive Inc. In this game, participants take on roles as either a predator or one of the prey, with each match consisting of one predator and four prey. A matchmaking system pairs groups of players with similar skill such that individuals should all have similar experience. The predator’s primary goal is to hunt and capture the prey, while the prey aim to locate and collect resources in the form of power generators. When all generators are activated, the prey can escape through one of two exit gates and win the match. A match concludes when the predator eliminates all remaining prey that have not escaped or when the final prey successfully exits the virtual environment. Players, whether predator or prey, select avatars with distinct abilities tailored to specific playstyles (e.g. stealthy vs evasive prey, or stalking vs patrolling predators). During the study period, the game featured 23 predator avatars. The virtual environments in the game vary in size and structural complexity, combining fixed and procedurally generated elements such as vegetation, buildings, and maze-like structures. Troughout the study period, there were 35 virtual game environments available for gameplay.</w:t>
      </w:r>
    </w:p>
    <w:bookmarkEnd w:id="25"/>
    <w:bookmarkStart w:id="27" w:name="data-collection"/>
    <w:p>
      <w:pPr>
        <w:pStyle w:val="Heading2"/>
      </w:pPr>
      <w:r>
        <w:t xml:space="preserve">Data collection</w:t>
      </w:r>
    </w:p>
    <w:p>
      <w:pPr>
        <w:pStyle w:val="FirstParagraph"/>
      </w:pPr>
      <w:r>
        <w:t xml:space="preserve">The videogame company provided six months of gameplay data, encompassing all player activity from 2020-12-01 to 2021-06-01. We focused exclusively on matches played in</w:t>
      </w:r>
      <w:r>
        <w:t xml:space="preserve"> </w:t>
      </w:r>
      <w:r>
        <w:t xml:space="preserve">“</w:t>
      </w:r>
      <w:r>
        <w:t xml:space="preserve">Online</w:t>
      </w:r>
      <w:r>
        <w:t xml:space="preserve">”</w:t>
      </w:r>
      <w:r>
        <w:t xml:space="preserve"> </w:t>
      </w:r>
      <w:r>
        <w:t xml:space="preserve">mode, where players were strangers to one another. We excluded matches where players were inactive, as indicated by mean movement speeds that were zero or nearly zero. Additionally, matches where players were suspected of hacking or engaging in unintended gameplay behaviour were also removed based on our knowledge of the game mechanics. We then selected a cohort of players that played 300 matches or more, and monitored all their matches from the first to a maximum of 500 matches.</w:t>
      </w:r>
    </w:p>
    <w:p>
      <w:pPr>
        <w:pStyle w:val="BodyText"/>
      </w:pPr>
      <w:r>
        <w:t xml:space="preserve">Our dataset includes 253 unique predator players, collectively accounting for 100 412 matches. The number of matches played by predator players ranged from 301 to 500. Match durations varied between 3 and 70 minutes, with an average duration of 11 minutes. The following details were recorded for each match: the anonymous player ID, the chosen predator avatar, the game environment, the predator’s level of experience, their speed, the average speed of the prey group they encountered, and the average rank of those prey (used as a proxy for prey skill). The game’s ranking system, designed to match players of similar skill levels (</w:t>
      </w:r>
      <w:hyperlink r:id="rId26">
        <w:r>
          <w:rPr>
            <w:rStyle w:val="Hyperlink"/>
          </w:rPr>
          <w:t xml:space="preserve">https://deadbydaylight.fandom.com/wiki/Rank</w:t>
        </w:r>
      </w:hyperlink>
      <w:r>
        <w:t xml:space="preserve">), was incorporated into our analysis to detect any relationship between predator experience and foraging success</w:t>
      </w:r>
      <w:r>
        <w:t xml:space="preserve"> </w:t>
      </w:r>
      <w:r>
        <w:t xml:space="preserve">(see Fraser Franco et al. 2024)</w:t>
      </w:r>
      <w:r>
        <w:t xml:space="preserv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categorized predators for each match based on their cumulated experience</w:t>
      </w:r>
      <w:r>
        <w:t xml:space="preserve"> </w:t>
      </w:r>
      <w:r>
        <w:t xml:space="preserve">(see Fraser Franco et al. 2024)</w:t>
      </w:r>
      <w:r>
        <w:t xml:space="preserve">. We labeled predators as novices for matches where they had cumulated less than 100 matches, intermediate for matches where they had cumulated between 100 and 299 matches, and advanced for matches where they had cumulated more than 299 matches (max 500). Since our goal was to monitor predator players throughout their experience and that they all played at least 300 matches, they all appeared in each of the three experience categories.</w:t>
      </w:r>
    </w:p>
    <w:bookmarkEnd w:id="27"/>
    <w:bookmarkStart w:id="32" w:name="statistical-analyses"/>
    <w:p>
      <w:pPr>
        <w:pStyle w:val="Heading2"/>
      </w:pPr>
      <w:r>
        <w:t xml:space="preserve">Statistical analyses</w:t>
      </w:r>
    </w:p>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Nakagawa, and Schielzeth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performed our analyses under a Bayesian framework. 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bookmarkEnd w:id="28"/>
    <w:bookmarkStart w:id="31" w:name="model-specifications"/>
    <w:p>
      <w:pPr>
        <w:pStyle w:val="Heading3"/>
      </w:pPr>
      <w:r>
        <w:t xml:space="preserve">Model specifications</w:t>
      </w:r>
    </w:p>
    <w:p>
      <w:pPr>
        <w:pStyle w:val="FirstParagraph"/>
      </w:pPr>
      <w:r>
        <w:t xml:space="preserve">We fitted the model in R (version 4.1.2) using Hamiltonian Monte Carlo (HMC)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We ran te model on on Cedar (Operating system: CentOS Linux 7), a computer cluster maintained by the Digital Research Alliance of Canada (</w:t>
      </w:r>
      <w:hyperlink r:id="rId29">
        <w:r>
          <w:rPr>
            <w:rStyle w:val="Hyperlink"/>
          </w:rPr>
          <w:t xml:space="preserve">https://docs.alliancecan.ca/wiki/Cedar</w:t>
        </w:r>
      </w:hyperlink>
      <w:r>
        <w:t xml:space="preserve">).</w:t>
      </w:r>
    </w:p>
    <w:p>
      <w:pPr>
        <w:pStyle w:val="BodyText"/>
      </w:pPr>
      <w:r>
        <w:t xml:space="preserve">We parametrized the MDHGLM to run 2500 iterations with a thinning set to eight, with the first 500 used as warm up iterations (yielding 1000 posterior samples for each parameter). We assessed the convergence of the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30">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2.</w:t>
      </w:r>
    </w:p>
    <w:bookmarkEnd w:id="31"/>
    <w:bookmarkEnd w:id="32"/>
    <w:bookmarkEnd w:id="33"/>
    <w:bookmarkStart w:id="46" w:name="results"/>
    <w:p>
      <w:pPr>
        <w:pStyle w:val="Heading1"/>
      </w:pPr>
      <w:r>
        <w:t xml:space="preserve">RESULTS</w:t>
      </w:r>
    </w:p>
    <w:bookmarkStart w:id="40"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1: Table S1). Likewise, the variation in speed did not change with experience, indicating that foraging specialization remained stable at the population level (Figure 2 and Appendix 1: Table S1). At the individual level, predators differed slightly in their mean speed across experience levels, indicating marginal differences in hunting tactics (Figure 2 and Appendix 1: Table S2). However, they displayed important differences in foraging specialization (Appendix 1: Table S2) which also increased slightly with experience as there was a 0.11 unit increase in among individual differences in IIV from novice to advanced (Figure 1). 12% of the population switched from a flexible to a specialized hunting tactic, and vice-versa, as predators gained experience (i.e. &gt;0.2 change in standard deviation; Figure 2). In contrast, 44% displayed lower changes (i.e. &gt;0.05 and &lt;0.2 change in standard deviation) and 44% showed almost no change with experience (i.e. &lt;0.05 change in standard deviation).</w:t>
      </w:r>
    </w:p>
    <w:p>
      <w:pPr>
        <w:pStyle w:val="CaptionedFigure"/>
      </w:pPr>
      <w:r>
        <w:drawing>
          <wp:inline>
            <wp:extent cx="5943600" cy="2600434"/>
            <wp:effectExtent b="0" l="0" r="0" t="0"/>
            <wp:docPr descr="Figure 2.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title="" id="35" name="Picture"/>
            <a:graphic>
              <a:graphicData uri="http://schemas.openxmlformats.org/drawingml/2006/picture">
                <pic:pic>
                  <pic:nvPicPr>
                    <pic:cNvPr descr="../outputs/04_outputs_figures/figure2.png" id="36" name="Picture"/>
                    <pic:cNvPicPr>
                      <a:picLocks noChangeArrowheads="1" noChangeAspect="1"/>
                    </pic:cNvPicPr>
                  </pic:nvPicPr>
                  <pic:blipFill>
                    <a:blip r:embed="rId34"/>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t xml:space="preserve">As the predator population gained experience, there was strong evidence that the prey increased their speed, although slightly (Figure 1 and Appendix 1: Table S1). The population also encountered groups of prey using different speeds through time (Figure 1 and Appendix 1: Table S1). At the individual level, all predators encountered prey with similar average speeds throughout experience (Figure 1 and Appendix 1: Table S2). Yet, even if they experienced similar average prey speeds across all groups encountered, there were important differences among predators in how (dis)similar were the groups they encountered (Appendix 1: Table S2). Thus, some predators encountered similar groups (i.e. all groups using similar speeds) while others encountered distinct groups (i.e. some slower and some faster). These differences among individuals in IIV for prey encounters increased only marginally with experience (Figure 1).</w:t>
      </w:r>
    </w:p>
    <w:p>
      <w:pPr>
        <w:pStyle w:val="BodyText"/>
      </w:pPr>
      <w:r>
        <w:t xml:space="preserve">The predator population’s mean hunting success increased with experience (Figure 1 and Appendix 1: Table S1), with mean prey consumption revolving around two prey. There were also important differences among individuals in mean hunting success (Appendix 1: Table S2), but they remained stable across experience (Figure 1).</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title="" id="38" name="Picture"/>
            <a:graphic>
              <a:graphicData uri="http://schemas.openxmlformats.org/drawingml/2006/picture">
                <pic:pic>
                  <pic:nvPicPr>
                    <pic:cNvPr descr="../outputs/04_outputs_figures/figure3.png" id="39" name="Picture"/>
                    <pic:cNvPicPr>
                      <a:picLocks noChangeArrowheads="1" noChangeAspect="1"/>
                    </pic:cNvPicPr>
                  </pic:nvPicPr>
                  <pic:blipFill>
                    <a:blip r:embed="rId3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bookmarkEnd w:id="40"/>
    <w:bookmarkStart w:id="44"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3A-B). Thus, faster predators specialized on fast movement, while slower predators were more flexible in their movement. As predators gained experience, these strategies were increasingly defined as the correlation changed by 0.16 units, from -0.62 (-0.70, -0.55</w:t>
      </w:r>
      <w:r>
        <w:t xml:space="preserve"> </w:t>
      </w:r>
      <m:oMath>
        <m:r>
          <m:t>95</m:t>
        </m:r>
        <m:r>
          <m:rPr>
            <m:sty m:val="p"/>
          </m:rPr>
          <m:t>%</m:t>
        </m:r>
        <m:r>
          <m:t> </m:t>
        </m:r>
        <m:r>
          <m:t>C</m:t>
        </m:r>
        <m:r>
          <m:t>I</m:t>
        </m:r>
      </m:oMath>
      <w:r>
        <w:t xml:space="preserve">) for when predators were novices to -0.78 (-0.83, -0.72</w:t>
      </w:r>
      <w:r>
        <w:t xml:space="preserve"> </w:t>
      </w:r>
      <m:oMath>
        <m:r>
          <m:t>95</m:t>
        </m:r>
        <m:r>
          <m:rPr>
            <m:sty m:val="p"/>
          </m:rPr>
          <m:t>%</m:t>
        </m:r>
        <m:r>
          <m:t> </m:t>
        </m:r>
        <m:r>
          <m:t>C</m:t>
        </m:r>
        <m:r>
          <m:t>I</m:t>
        </m:r>
      </m:oMath>
      <w:r>
        <w:t xml:space="preserve">) as they reached the advanced stage (Figure 3C). Predators that were on average faster also tended to encounter groups of prey that were on average faster and more similar (Figure 3A-B). There was however no evidence that these correlations increased with experience (Figure 3C)</w:t>
      </w:r>
    </w:p>
    <w:p>
      <w:pPr>
        <w:pStyle w:val="BodyText"/>
      </w:pPr>
      <w:r>
        <w:t xml:space="preserve">There was no correlation (-0.02 (-0.14, 0.01</w:t>
      </w:r>
      <w:r>
        <w:t xml:space="preserve"> </w:t>
      </w:r>
      <m:oMath>
        <m:r>
          <m:t>95</m:t>
        </m:r>
        <m:r>
          <m:rPr>
            <m:sty m:val="p"/>
          </m:rPr>
          <m:t>%</m:t>
        </m:r>
        <m:r>
          <m:t> </m:t>
        </m:r>
        <m:r>
          <m:t>C</m:t>
        </m:r>
        <m:r>
          <m:t>I</m:t>
        </m:r>
      </m:oMath>
      <w:r>
        <w:t xml:space="preserve">)) between mean prey speed and IIV in predator speed when predators were novice (Figure 3A), but the correlation increased to -0.16 (-0.27, -0.04</w:t>
      </w:r>
      <w:r>
        <w:t xml:space="preserve"> </w:t>
      </w:r>
      <m:oMath>
        <m:r>
          <m:t>95</m:t>
        </m:r>
        <m:r>
          <m:rPr>
            <m:sty m:val="p"/>
          </m:rPr>
          <m:t>%</m:t>
        </m:r>
        <m:r>
          <m:t> </m:t>
        </m:r>
        <m:r>
          <m:t>C</m:t>
        </m:r>
        <m:r>
          <m:t>I</m:t>
        </m:r>
      </m:oMath>
      <w:r>
        <w:t xml:space="preserve">) at the advanced stage (Figure 3B), such that advanced hunters that encountered faster prey tended to be more specialized (Figure 3C). The predators’ IIV in speed and IIV in prey speed were weakly positively correlated (Figure 3A-B).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3C).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2" name="Picture"/>
            <a:graphic>
              <a:graphicData uri="http://schemas.openxmlformats.org/drawingml/2006/picture">
                <pic:pic>
                  <pic:nvPicPr>
                    <pic:cNvPr descr="../outputs/04_outputs_figures/figure4.png" id="43" name="Picture"/>
                    <pic:cNvPicPr>
                      <a:picLocks noChangeArrowheads="1" noChangeAspect="1"/>
                    </pic:cNvPicPr>
                  </pic:nvPicPr>
                  <pic:blipFill>
                    <a:blip r:embed="rId4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4"/>
    <w:bookmarkStart w:id="45"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3), suggesting that slower/flexible and faster/specialist predators were overall both equally successful. There was however a slight increase in the correlation between the predator’s IIV in speed and success (Figure 3C), suggesting that flexible foragers at the advanced stage were marginally less successful (Appendix 1: Figure S2). We also found strong evidence that individuals who encountered groups of prey with faster speeds were less successful (Figure 3A-B). Predators also had greater success across the study when encountering more variable groups of prey (Figure 3A-B). Both relationships remained structurally stable across experience (Figure 3C).</w:t>
      </w:r>
    </w:p>
    <w:bookmarkEnd w:id="45"/>
    <w:bookmarkEnd w:id="46"/>
    <w:bookmarkStart w:id="48"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while predators in</w:t>
      </w:r>
      <w:r>
        <w:t xml:space="preserve"> </w:t>
      </w:r>
      <w:r>
        <w:rPr>
          <w:iCs/>
          <w:i/>
        </w:rPr>
        <w:t xml:space="preserve">Dead by Daylight</w:t>
      </w:r>
      <w:r>
        <w:t xml:space="preserve"> </w:t>
      </w:r>
      <w:r>
        <w:t xml:space="preserve">did not show any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across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p>
      <w:pPr>
        <w:pStyle w:val="BodyText"/>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the predator and the prey remained stable across the predator’s experience. Yet, because prey can also learn how to avoid predation</w:t>
      </w:r>
      <w:r>
        <w:t xml:space="preserve"> </w:t>
      </w:r>
      <w:r>
        <w:t xml:space="preserve">(Kelley and Magurran 2003; Turner, Turner, and Lappi 2006; McComb et al. 2011)</w:t>
      </w:r>
      <w:r>
        <w:t xml:space="preserve">, we believe that the predator-prey phenotype matching more likely emerged from reciprocal adjustments in speed by predators and prey as they interacted</w:t>
      </w:r>
      <w:r>
        <w:t xml:space="preserve"> </w:t>
      </w:r>
      <w:r>
        <w:t xml:space="preserve">(Kishida, Mizuta, and Nishimura 2006; Kishida, Trussell, and Nishimura 2009; Edgell and Rochette 2009; McGhee, Pintor, and Bell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pPr>
        <w:pStyle w:val="BodyText"/>
      </w:pPr>
      <w:r>
        <w:t xml:space="preserve">Specialist foragers were faster and probably better equipped to hunt the faster and more difficult prey in</w:t>
      </w:r>
      <w:r>
        <w:t xml:space="preserve"> </w:t>
      </w:r>
      <w:r>
        <w:rPr>
          <w:iCs/>
          <w:i/>
        </w:rPr>
        <w:t xml:space="preserve">DBD</w:t>
      </w:r>
      <w:r>
        <w:t xml:space="preserve">. However, if the prey responded to fast predators by also being faster, then hunting at high speeds resulted in challenging encounters for these predators too, thereby decreasing the benefits of using this tactic (Figure 3). Thus, specializing probably compensated for the difficulty of hunting prey at high speeds by helping predators to better predict the location and movement of their prey. On the other hand, flexible foragers encountered a larger range of prey moving at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(Tinker, Bentall, and Estes 2008; Woo et al. 2008; Mougi and Kishida 2009)</w:t>
      </w:r>
      <w:r>
        <w:t xml:space="preserve">.</w:t>
      </w:r>
    </w:p>
    <w:bookmarkStart w:id="47" w:name="conclusions"/>
    <w:p>
      <w:pPr>
        <w:pStyle w:val="Heading2"/>
      </w:pPr>
      <w:r>
        <w:t xml:space="preserve">Conclusions</w:t>
      </w:r>
    </w:p>
    <w:p>
      <w:pPr>
        <w:pStyle w:val="FirstParagraph"/>
      </w:pPr>
      <w:r>
        <w:t xml:space="preserve">We found support for our prediction that individual foraging specialization changed across experience and predator-prey interactions. Our results suggest that predators learned with experience, as their success increased and their speed remained matched to the speed of their prey. Even though individuals were not all equally successful, both specialized and flexible hunters achieved similar success overall.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bookmarkEnd w:id="47"/>
    <w:bookmarkEnd w:id="48"/>
    <w:bookmarkStart w:id="145" w:name="references"/>
    <w:p>
      <w:pPr>
        <w:pStyle w:val="Heading1"/>
      </w:pPr>
      <w:r>
        <w:t xml:space="preserve">REFERENCES</w:t>
      </w:r>
    </w:p>
    <w:bookmarkStart w:id="144" w:name="refs"/>
    <w:bookmarkStart w:id="50"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9">
        <w:r>
          <w:rPr>
            <w:rStyle w:val="Hyperlink"/>
          </w:rPr>
          <w:t xml:space="preserve">https://doi.org/10.1146/annurev.ecolsys.31.1.79</w:t>
        </w:r>
      </w:hyperlink>
      <w:r>
        <w:t xml:space="preserve">.</w:t>
      </w:r>
    </w:p>
    <w:bookmarkEnd w:id="50"/>
    <w:bookmarkStart w:id="52" w:name="ref-belisle1997"/>
    <w:p>
      <w:pPr>
        <w:pStyle w:val="Bibliography"/>
      </w:pPr>
      <w:r>
        <w:t xml:space="preserve">Bélisle, Claude, and James Cresswell. 1997.</w:t>
      </w:r>
      <w:r>
        <w:t xml:space="preserve"> </w:t>
      </w:r>
      <w:r>
        <w:t xml:space="preserve">“The</w:t>
      </w:r>
      <w:r>
        <w:t xml:space="preserve"> </w:t>
      </w:r>
      <w:r>
        <w:t xml:space="preserve">Effects</w:t>
      </w:r>
      <w:r>
        <w:t xml:space="preserve"> </w:t>
      </w:r>
      <w:r>
        <w:t xml:space="preserve">of a</w:t>
      </w:r>
      <w:r>
        <w:t xml:space="preserve"> </w:t>
      </w:r>
      <w:r>
        <w:t xml:space="preserve">Limited Memory Capacity</w:t>
      </w:r>
      <w:r>
        <w:t xml:space="preserve"> </w:t>
      </w:r>
      <w:r>
        <w:t xml:space="preserve">on</w:t>
      </w:r>
      <w:r>
        <w:t xml:space="preserve"> </w:t>
      </w:r>
      <w:r>
        <w:t xml:space="preserve">Foraging Behavior</w:t>
      </w:r>
      <w:r>
        <w:t xml:space="preserve">.”</w:t>
      </w:r>
      <w:r>
        <w:t xml:space="preserve"> </w:t>
      </w:r>
      <w:r>
        <w:rPr>
          <w:iCs/>
          <w:i/>
        </w:rPr>
        <w:t xml:space="preserve">Theoretical Population Biology</w:t>
      </w:r>
      <w:r>
        <w:t xml:space="preserve"> </w:t>
      </w:r>
      <w:r>
        <w:t xml:space="preserve">52 (1): 78–90.</w:t>
      </w:r>
      <w:r>
        <w:t xml:space="preserve"> </w:t>
      </w:r>
      <w:hyperlink r:id="rId51">
        <w:r>
          <w:rPr>
            <w:rStyle w:val="Hyperlink"/>
          </w:rPr>
          <w:t xml:space="preserve">https://doi.org/10.1006/tpbi.1997.1319</w:t>
        </w:r>
      </w:hyperlink>
      <w:r>
        <w:t xml:space="preserve">.</w:t>
      </w:r>
    </w:p>
    <w:bookmarkEnd w:id="52"/>
    <w:bookmarkStart w:id="54" w:name="ref-brockhurst2014"/>
    <w:p>
      <w:pPr>
        <w:pStyle w:val="Bibliography"/>
      </w:pPr>
      <w:r>
        <w:t xml:space="preserve">Brockhurst, Michael A., Tracey Chapman, Kayla C. King, Judith E. Mank, Steve Paterson, and Gregory D. D. Hurst. 2014.</w:t>
      </w:r>
      <w:r>
        <w:t xml:space="preserve"> </w:t>
      </w:r>
      <w:r>
        <w:t xml:space="preserve">“Running with the</w:t>
      </w:r>
      <w:r>
        <w:t xml:space="preserve"> </w:t>
      </w:r>
      <w:r>
        <w:t xml:space="preserve">Red Queen</w:t>
      </w:r>
      <w:r>
        <w:t xml:space="preserve">:</w:t>
      </w:r>
      <w:r>
        <w:t xml:space="preserve"> </w:t>
      </w:r>
      <w:r>
        <w:t xml:space="preserve">The Role</w:t>
      </w:r>
      <w:r>
        <w:t xml:space="preserve"> </w:t>
      </w:r>
      <w:r>
        <w:t xml:space="preserve">of</w:t>
      </w:r>
      <w:r>
        <w:t xml:space="preserve"> </w:t>
      </w:r>
      <w:r>
        <w:t xml:space="preserve">Biotic Conflicts in Evolution</w:t>
      </w:r>
      <w:r>
        <w:t xml:space="preserve">.”</w:t>
      </w:r>
      <w:r>
        <w:t xml:space="preserve"> </w:t>
      </w:r>
      <w:r>
        <w:rPr>
          <w:iCs/>
          <w:i/>
        </w:rPr>
        <w:t xml:space="preserve">Proceedings of the Royal Society B: Biological Sciences</w:t>
      </w:r>
      <w:r>
        <w:t xml:space="preserve"> </w:t>
      </w:r>
      <w:r>
        <w:t xml:space="preserve">281 (1797): 20141382.</w:t>
      </w:r>
      <w:r>
        <w:t xml:space="preserve"> </w:t>
      </w:r>
      <w:hyperlink r:id="rId53">
        <w:r>
          <w:rPr>
            <w:rStyle w:val="Hyperlink"/>
          </w:rPr>
          <w:t xml:space="preserve">https://doi.org/10.1098/rspb.2014.1382</w:t>
        </w:r>
      </w:hyperlink>
      <w:r>
        <w:t xml:space="preserve">.</w:t>
      </w:r>
    </w:p>
    <w:bookmarkEnd w:id="54"/>
    <w:bookmarkStart w:id="56" w:name="ref-bro-jorgensen2013"/>
    <w:p>
      <w:pPr>
        <w:pStyle w:val="Bibliography"/>
      </w:pPr>
      <w:r>
        <w:t xml:space="preserve">Bro-Jørgensen, Jakob. 2013.</w:t>
      </w:r>
      <w:r>
        <w:t xml:space="preserve"> </w:t>
      </w:r>
      <w:r>
        <w:t xml:space="preserve">“Evolution of</w:t>
      </w:r>
      <w:r>
        <w:t xml:space="preserve"> </w:t>
      </w:r>
      <w:r>
        <w:t xml:space="preserve">Sprint Speed</w:t>
      </w:r>
      <w:r>
        <w:t xml:space="preserve"> </w:t>
      </w:r>
      <w:r>
        <w:t xml:space="preserve">in</w:t>
      </w:r>
      <w:r>
        <w:t xml:space="preserve"> </w:t>
      </w:r>
      <w:r>
        <w:t xml:space="preserve">African Savannah Herbivores</w:t>
      </w:r>
      <w:r>
        <w:t xml:space="preserve"> </w:t>
      </w:r>
      <w:r>
        <w:t xml:space="preserve">in</w:t>
      </w:r>
      <w:r>
        <w:t xml:space="preserve"> </w:t>
      </w:r>
      <w:r>
        <w:t xml:space="preserve">Relation</w:t>
      </w:r>
      <w:r>
        <w:t xml:space="preserve"> </w:t>
      </w:r>
      <w:r>
        <w:t xml:space="preserve">to</w:t>
      </w:r>
      <w:r>
        <w:t xml:space="preserve"> </w:t>
      </w:r>
      <w:r>
        <w:t xml:space="preserve">Predation</w:t>
      </w:r>
      <w:r>
        <w:t xml:space="preserve">.”</w:t>
      </w:r>
      <w:r>
        <w:t xml:space="preserve"> </w:t>
      </w:r>
      <w:r>
        <w:rPr>
          <w:iCs/>
          <w:i/>
        </w:rPr>
        <w:t xml:space="preserve">Evolution</w:t>
      </w:r>
      <w:r>
        <w:t xml:space="preserve"> </w:t>
      </w:r>
      <w:r>
        <w:t xml:space="preserve">67 (11): 3371–76.</w:t>
      </w:r>
      <w:r>
        <w:t xml:space="preserve"> </w:t>
      </w:r>
      <w:hyperlink r:id="rId55">
        <w:r>
          <w:rPr>
            <w:rStyle w:val="Hyperlink"/>
          </w:rPr>
          <w:t xml:space="preserve">https://doi.org/10.1111/evo.12233</w:t>
        </w:r>
      </w:hyperlink>
      <w:r>
        <w:t xml:space="preserve">.</w:t>
      </w:r>
    </w:p>
    <w:bookmarkEnd w:id="56"/>
    <w:bookmarkStart w:id="58"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7">
        <w:r>
          <w:rPr>
            <w:rStyle w:val="Hyperlink"/>
          </w:rPr>
          <w:t xml:space="preserve">https://doi.org/10.18637/jss.v080.i01</w:t>
        </w:r>
      </w:hyperlink>
      <w:r>
        <w:t xml:space="preserve">.</w:t>
      </w:r>
    </w:p>
    <w:bookmarkEnd w:id="58"/>
    <w:bookmarkStart w:id="60" w:name="ref-cleasby.etal2015"/>
    <w:p>
      <w:pPr>
        <w:pStyle w:val="Bibliography"/>
      </w:pPr>
      <w:r>
        <w:t xml:space="preserve">Cleasby, Ian R., Shinichi Nakagawa, and Holger Schielzeth. 2015.</w:t>
      </w:r>
      <w:r>
        <w:t xml:space="preserve"> </w:t>
      </w:r>
      <w:r>
        <w:t xml:space="preserve">“Quantifying the</w:t>
      </w:r>
      <w:r>
        <w:t xml:space="preserve"> </w:t>
      </w:r>
      <w:r>
        <w:t xml:space="preserve">Predictability</w:t>
      </w:r>
      <w:r>
        <w:t xml:space="preserve"> </w:t>
      </w:r>
      <w:r>
        <w:t xml:space="preserve">of</w:t>
      </w:r>
      <w:r>
        <w:t xml:space="preserve"> </w:t>
      </w:r>
      <w:r>
        <w:t xml:space="preserve">Behaviour</w:t>
      </w:r>
      <w:r>
        <w:t xml:space="preserve">:</w:t>
      </w:r>
      <w:r>
        <w:t xml:space="preserve"> </w:t>
      </w:r>
      <w:r>
        <w:t xml:space="preserve">Statistical Approaches</w:t>
      </w:r>
      <w:r>
        <w:t xml:space="preserve"> </w:t>
      </w:r>
      <w:r>
        <w:t xml:space="preserve">for the</w:t>
      </w:r>
      <w:r>
        <w:t xml:space="preserve"> </w:t>
      </w:r>
      <w:r>
        <w:t xml:space="preserve">Study</w:t>
      </w:r>
      <w:r>
        <w:t xml:space="preserve"> </w:t>
      </w:r>
      <w:r>
        <w:t xml:space="preserve">of</w:t>
      </w:r>
      <w:r>
        <w:t xml:space="preserve"> </w:t>
      </w:r>
      <w:r>
        <w:t xml:space="preserve">Between-Individual Variation</w:t>
      </w:r>
      <w:r>
        <w:t xml:space="preserve"> </w:t>
      </w:r>
      <w:r>
        <w:t xml:space="preserve">in the</w:t>
      </w:r>
      <w:r>
        <w:t xml:space="preserve"> </w:t>
      </w:r>
      <w:r>
        <w:t xml:space="preserve">Within-Individual Variance</w:t>
      </w:r>
      <w:r>
        <w:t xml:space="preserve">.”</w:t>
      </w:r>
      <w:r>
        <w:t xml:space="preserve"> </w:t>
      </w:r>
      <w:r>
        <w:rPr>
          <w:iCs/>
          <w:i/>
        </w:rPr>
        <w:t xml:space="preserve">Methods in Ecology and Evolution</w:t>
      </w:r>
      <w:r>
        <w:t xml:space="preserve"> </w:t>
      </w:r>
      <w:r>
        <w:t xml:space="preserve">6 (1): 27–37.</w:t>
      </w:r>
      <w:r>
        <w:t xml:space="preserve"> </w:t>
      </w:r>
      <w:hyperlink r:id="rId59">
        <w:r>
          <w:rPr>
            <w:rStyle w:val="Hyperlink"/>
          </w:rPr>
          <w:t xml:space="preserve">https://doi.org/10.1111/2041-210X.12281</w:t>
        </w:r>
      </w:hyperlink>
      <w:r>
        <w:t xml:space="preserve">.</w:t>
      </w:r>
    </w:p>
    <w:bookmarkEnd w:id="60"/>
    <w:bookmarkStart w:id="62" w:name="ref-courbin.etal2018"/>
    <w:p>
      <w:pPr>
        <w:pStyle w:val="Bibliography"/>
      </w:pPr>
      <w:r>
        <w:t xml:space="preserve">Courbin, Nicolas, Aurélien Besnard, Clara Péron, Claire Saraux, Jérôme Fort, Samuel Perret, Jérémy Tornos, and David Grémillet. 2018.</w:t>
      </w:r>
      <w:r>
        <w:t xml:space="preserve"> </w:t>
      </w:r>
      <w:r>
        <w:t xml:space="preserve">“Short-</w:t>
      </w:r>
      <w:r>
        <w:t xml:space="preserve">Term Prey Field Lability Constrains Individual Specialisation</w:t>
      </w:r>
      <w:r>
        <w:t xml:space="preserve"> </w:t>
      </w:r>
      <w:r>
        <w:t xml:space="preserve">in</w:t>
      </w:r>
      <w:r>
        <w:t xml:space="preserve"> </w:t>
      </w:r>
      <w:r>
        <w:t xml:space="preserve">Resource Selection</w:t>
      </w:r>
      <w:r>
        <w:t xml:space="preserve"> </w:t>
      </w:r>
      <w:r>
        <w:t xml:space="preserve">and</w:t>
      </w:r>
      <w:r>
        <w:t xml:space="preserve"> </w:t>
      </w:r>
      <w:r>
        <w:t xml:space="preserve">Foraging Site Fidelity</w:t>
      </w:r>
      <w:r>
        <w:t xml:space="preserve"> </w:t>
      </w:r>
      <w:r>
        <w:t xml:space="preserve">in a</w:t>
      </w:r>
      <w:r>
        <w:t xml:space="preserve"> </w:t>
      </w:r>
      <w:r>
        <w:t xml:space="preserve">Marine Predator</w:t>
      </w:r>
      <w:r>
        <w:t xml:space="preserve">.”</w:t>
      </w:r>
      <w:r>
        <w:t xml:space="preserve"> </w:t>
      </w:r>
      <w:r>
        <w:rPr>
          <w:iCs/>
          <w:i/>
        </w:rPr>
        <w:t xml:space="preserve">Ecology Letters</w:t>
      </w:r>
      <w:r>
        <w:t xml:space="preserve"> </w:t>
      </w:r>
      <w:r>
        <w:t xml:space="preserve">21 (7): 1043–54.</w:t>
      </w:r>
      <w:r>
        <w:t xml:space="preserve"> </w:t>
      </w:r>
      <w:hyperlink r:id="rId61">
        <w:r>
          <w:rPr>
            <w:rStyle w:val="Hyperlink"/>
          </w:rPr>
          <w:t xml:space="preserve">https://doi.org/10.1111/ele.12970</w:t>
        </w:r>
      </w:hyperlink>
      <w:r>
        <w:t xml:space="preserve">.</w:t>
      </w:r>
    </w:p>
    <w:bookmarkEnd w:id="62"/>
    <w:bookmarkStart w:id="63" w:name="ref-dall2010"/>
    <w:p>
      <w:pPr>
        <w:pStyle w:val="Bibliography"/>
      </w:pPr>
      <w:r>
        <w:t xml:space="preserve">Dall, Sasha R. X. 2010.</w:t>
      </w:r>
      <w:r>
        <w:t xml:space="preserve"> </w:t>
      </w:r>
      <w:r>
        <w:t xml:space="preserve">“Managing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w:t>
      </w:r>
      <w:r>
        <w:t xml:space="preserve"> </w:t>
      </w:r>
      <w:r>
        <w:t xml:space="preserve">In</w:t>
      </w:r>
      <w:r>
        <w:t xml:space="preserve"> </w:t>
      </w:r>
      <w:r>
        <w:rPr>
          <w:iCs/>
          <w:i/>
        </w:rPr>
        <w:t xml:space="preserve">Evolutionary</w:t>
      </w:r>
      <w:r>
        <w:rPr>
          <w:iCs/>
          <w:i/>
        </w:rPr>
        <w:t xml:space="preserve"> </w:t>
      </w:r>
      <w:r>
        <w:rPr>
          <w:iCs/>
          <w:i/>
        </w:rPr>
        <w:t xml:space="preserve">Behavioral Ecology</w:t>
      </w:r>
      <w:r>
        <w:t xml:space="preserve">, edited by David F. Westneat and Charles W. Fox, 194–206.</w:t>
      </w:r>
      <w:r>
        <w:t xml:space="preserve"> </w:t>
      </w:r>
      <w:r>
        <w:t xml:space="preserve">Oxford, New York</w:t>
      </w:r>
      <w:r>
        <w:t xml:space="preserve">:</w:t>
      </w:r>
      <w:r>
        <w:t xml:space="preserve"> </w:t>
      </w:r>
      <w:r>
        <w:t xml:space="preserve">Oxford University Press</w:t>
      </w:r>
      <w:r>
        <w:t xml:space="preserve">.</w:t>
      </w:r>
    </w:p>
    <w:bookmarkEnd w:id="63"/>
    <w:bookmarkStart w:id="65" w:name="ref-dukas2019"/>
    <w:p>
      <w:pPr>
        <w:pStyle w:val="Bibliography"/>
      </w:pPr>
      <w:r>
        <w:t xml:space="preserve">Dukas, Reuven.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4">
        <w:r>
          <w:rPr>
            <w:rStyle w:val="Hyperlink"/>
          </w:rPr>
          <w:t xml:space="preserve">https://doi.org/10.1016/j.anbehav.2018.05.010</w:t>
        </w:r>
      </w:hyperlink>
      <w:r>
        <w:t xml:space="preserve">.</w:t>
      </w:r>
    </w:p>
    <w:bookmarkEnd w:id="65"/>
    <w:bookmarkStart w:id="67" w:name="ref-edgell.rochette2009"/>
    <w:p>
      <w:pPr>
        <w:pStyle w:val="Bibliography"/>
      </w:pPr>
      <w:r>
        <w:t xml:space="preserve">Edgell, Timothy C., and Rémy Rochette. 2009.</w:t>
      </w:r>
      <w:r>
        <w:t xml:space="preserve"> </w:t>
      </w:r>
      <w:r>
        <w:t xml:space="preserve">“Prey-</w:t>
      </w:r>
      <w:r>
        <w:t xml:space="preserve">Induced Changes</w:t>
      </w:r>
      <w:r>
        <w:t xml:space="preserve"> </w:t>
      </w:r>
      <w:r>
        <w:t xml:space="preserve">to a</w:t>
      </w:r>
      <w:r>
        <w:t xml:space="preserve"> </w:t>
      </w:r>
      <w:r>
        <w:t xml:space="preserve">Predator</w:t>
      </w:r>
      <w:r>
        <w:t xml:space="preserve">’s</w:t>
      </w:r>
      <w:r>
        <w:t xml:space="preserve"> </w:t>
      </w:r>
      <w:r>
        <w:t xml:space="preserve">Behaviour</w:t>
      </w:r>
      <w:r>
        <w:t xml:space="preserve"> </w:t>
      </w:r>
      <w:r>
        <w:t xml:space="preserve">and</w:t>
      </w:r>
      <w:r>
        <w:t xml:space="preserve"> </w:t>
      </w:r>
      <w:r>
        <w:t xml:space="preserve">Morphology</w:t>
      </w:r>
      <w:r>
        <w:t xml:space="preserve">:</w:t>
      </w:r>
      <w:r>
        <w:t xml:space="preserve"> </w:t>
      </w:r>
      <w:r>
        <w:t xml:space="preserve">Implications</w:t>
      </w:r>
      <w:r>
        <w:t xml:space="preserve"> </w:t>
      </w:r>
      <w:r>
        <w:t xml:space="preserve">for</w:t>
      </w:r>
      <w:r>
        <w:t xml:space="preserve"> </w:t>
      </w:r>
      <w:r>
        <w:t xml:space="preserve">Shell</w:t>
      </w:r>
      <w:r>
        <w:t xml:space="preserve"> </w:t>
      </w:r>
      <w:r>
        <w:t xml:space="preserve">in the</w:t>
      </w:r>
      <w:r>
        <w:t xml:space="preserve"> </w:t>
      </w:r>
      <w:r>
        <w:t xml:space="preserve">Northwest Atlantic</w:t>
      </w:r>
      <w:r>
        <w:t xml:space="preserve">.”</w:t>
      </w:r>
      <w:r>
        <w:t xml:space="preserve"> </w:t>
      </w:r>
      <w:r>
        <w:rPr>
          <w:iCs/>
          <w:i/>
        </w:rPr>
        <w:t xml:space="preserve">Journal of Experimental Marine Biology and Ecology</w:t>
      </w:r>
      <w:r>
        <w:t xml:space="preserve"> </w:t>
      </w:r>
      <w:r>
        <w:t xml:space="preserve">382 (1): 1–7.</w:t>
      </w:r>
      <w:r>
        <w:t xml:space="preserve"> </w:t>
      </w:r>
      <w:hyperlink r:id="rId66">
        <w:r>
          <w:rPr>
            <w:rStyle w:val="Hyperlink"/>
          </w:rPr>
          <w:t xml:space="preserve">https://doi.org/10.1016/j.jembe.2009.10.004</w:t>
        </w:r>
      </w:hyperlink>
      <w:r>
        <w:t xml:space="preserve">.</w:t>
      </w:r>
    </w:p>
    <w:bookmarkEnd w:id="67"/>
    <w:bookmarkStart w:id="68"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8"/>
    <w:bookmarkStart w:id="70" w:name="ref-estes.etal2003"/>
    <w:p>
      <w:pPr>
        <w:pStyle w:val="Bibliography"/>
      </w:pPr>
      <w:r>
        <w:t xml:space="preserve">Estes, J. A., M. L. Riedman, M. M. Staedler, M. T. Tinker, and B. E. Lyon. 2003.</w:t>
      </w:r>
      <w:r>
        <w:t xml:space="preserve"> </w:t>
      </w:r>
      <w:r>
        <w:t xml:space="preserve">“Individual</w:t>
      </w:r>
      <w:r>
        <w:t xml:space="preserve"> </w:t>
      </w:r>
      <w:r>
        <w:t xml:space="preserve">Variation</w:t>
      </w:r>
      <w:r>
        <w:t xml:space="preserve"> </w:t>
      </w:r>
      <w:r>
        <w:t xml:space="preserve">in</w:t>
      </w:r>
      <w:r>
        <w:t xml:space="preserve"> </w:t>
      </w:r>
      <w:r>
        <w:t xml:space="preserve">Prey Selection</w:t>
      </w:r>
      <w:r>
        <w:t xml:space="preserve"> </w:t>
      </w:r>
      <w:r>
        <w:t xml:space="preserve">by</w:t>
      </w:r>
      <w:r>
        <w:t xml:space="preserve"> </w:t>
      </w:r>
      <w:r>
        <w:t xml:space="preserve">Sea Otters</w:t>
      </w:r>
      <w:r>
        <w:t xml:space="preserve">:</w:t>
      </w:r>
      <w:r>
        <w:t xml:space="preserve"> </w:t>
      </w:r>
      <w:r>
        <w:t xml:space="preserve">Patterns</w:t>
      </w:r>
      <w:r>
        <w:t xml:space="preserve">,</w:t>
      </w:r>
      <w:r>
        <w:t xml:space="preserve"> </w:t>
      </w:r>
      <w:r>
        <w:t xml:space="preserve">Causes</w:t>
      </w:r>
      <w:r>
        <w:t xml:space="preserve"> </w:t>
      </w:r>
      <w:r>
        <w:t xml:space="preserve">and</w:t>
      </w:r>
      <w:r>
        <w:t xml:space="preserve"> </w:t>
      </w:r>
      <w:r>
        <w:t xml:space="preserve">Implications</w:t>
      </w:r>
      <w:r>
        <w:t xml:space="preserve">.”</w:t>
      </w:r>
      <w:r>
        <w:t xml:space="preserve"> </w:t>
      </w:r>
      <w:r>
        <w:rPr>
          <w:iCs/>
          <w:i/>
        </w:rPr>
        <w:t xml:space="preserve">Journal of Animal Ecology</w:t>
      </w:r>
      <w:r>
        <w:t xml:space="preserve"> </w:t>
      </w:r>
      <w:r>
        <w:t xml:space="preserve">72 (1): 144–55.</w:t>
      </w:r>
      <w:r>
        <w:t xml:space="preserve"> </w:t>
      </w:r>
      <w:hyperlink r:id="rId69">
        <w:r>
          <w:rPr>
            <w:rStyle w:val="Hyperlink"/>
          </w:rPr>
          <w:t xml:space="preserve">https://doi.org/10.1046/j.1365-2656.2003.00690.x</w:t>
        </w:r>
      </w:hyperlink>
      <w:r>
        <w:t xml:space="preserve">.</w:t>
      </w:r>
    </w:p>
    <w:bookmarkEnd w:id="70"/>
    <w:bookmarkStart w:id="72"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1">
        <w:r>
          <w:rPr>
            <w:rStyle w:val="Hyperlink"/>
          </w:rPr>
          <w:t xml:space="preserve">https://doi.org/10.1093/beheco/arac063</w:t>
        </w:r>
      </w:hyperlink>
      <w:r>
        <w:t xml:space="preserve">.</w:t>
      </w:r>
    </w:p>
    <w:bookmarkEnd w:id="72"/>
    <w:bookmarkStart w:id="74" w:name="ref-fraserfranco.etal2024"/>
    <w:p>
      <w:pPr>
        <w:pStyle w:val="Bibliography"/>
      </w:pPr>
      <w:r>
        <w:t xml:space="preserve">Fraser Franco, Maxime, Francesca Santostefano, Julien G. A. Martin, Clint D. Kelly, and Pierre-Olivier Montiglio. 2024.</w:t>
      </w:r>
      <w:r>
        <w:t xml:space="preserve"> </w:t>
      </w:r>
      <w:r>
        <w:t xml:space="preserve">“Prey Movement Shapes the Acquisition of Predator Expertise in a Virtual Bi-Trophic System.”</w:t>
      </w:r>
      <w:r>
        <w:t xml:space="preserve"> </w:t>
      </w:r>
      <w:r>
        <w:rPr>
          <w:iCs/>
          <w:i/>
        </w:rPr>
        <w:t xml:space="preserve">bioRxiv</w:t>
      </w:r>
      <w:r>
        <w:t xml:space="preserve">.</w:t>
      </w:r>
      <w:r>
        <w:t xml:space="preserve"> </w:t>
      </w:r>
      <w:hyperlink r:id="rId73">
        <w:r>
          <w:rPr>
            <w:rStyle w:val="Hyperlink"/>
          </w:rPr>
          <w:t xml:space="preserve">https://doi.org/10.1101/2024.11.15.621573</w:t>
        </w:r>
      </w:hyperlink>
      <w:r>
        <w:t xml:space="preserve">.</w:t>
      </w:r>
    </w:p>
    <w:bookmarkEnd w:id="74"/>
    <w:bookmarkStart w:id="75"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5"/>
    <w:bookmarkStart w:id="77" w:name="ref-healy1992"/>
    <w:p>
      <w:pPr>
        <w:pStyle w:val="Bibliography"/>
      </w:pPr>
      <w:r>
        <w:t xml:space="preserve">Healy, Sue. 1992.</w:t>
      </w:r>
      <w:r>
        <w:t xml:space="preserve"> </w:t>
      </w:r>
      <w:r>
        <w:t xml:space="preserve">“Optimal</w:t>
      </w:r>
      <w:r>
        <w:t xml:space="preserve"> </w:t>
      </w:r>
      <w:r>
        <w:t xml:space="preserve">Memory</w:t>
      </w:r>
      <w:r>
        <w:t xml:space="preserve">:</w:t>
      </w:r>
      <w:r>
        <w:t xml:space="preserve"> </w:t>
      </w:r>
      <w:r>
        <w:t xml:space="preserve">Toward</w:t>
      </w:r>
      <w:r>
        <w:t xml:space="preserve"> </w:t>
      </w:r>
      <w:r>
        <w:t xml:space="preserve">an</w:t>
      </w:r>
      <w:r>
        <w:t xml:space="preserve"> </w:t>
      </w:r>
      <w:r>
        <w:t xml:space="preserve">Evolutionary Ecology</w:t>
      </w:r>
      <w:r>
        <w:t xml:space="preserve"> </w:t>
      </w:r>
      <w:r>
        <w:t xml:space="preserve">of</w:t>
      </w:r>
      <w:r>
        <w:t xml:space="preserve"> </w:t>
      </w:r>
      <w:r>
        <w:t xml:space="preserve">Animal Cognition</w:t>
      </w:r>
      <w:r>
        <w:t xml:space="preserve">?”</w:t>
      </w:r>
      <w:r>
        <w:t xml:space="preserve"> </w:t>
      </w:r>
      <w:r>
        <w:rPr>
          <w:iCs/>
          <w:i/>
        </w:rPr>
        <w:t xml:space="preserve">Trends in Ecology &amp; Evolution</w:t>
      </w:r>
      <w:r>
        <w:t xml:space="preserve"> </w:t>
      </w:r>
      <w:r>
        <w:t xml:space="preserve">7 (12): 399–400.</w:t>
      </w:r>
      <w:r>
        <w:t xml:space="preserve"> </w:t>
      </w:r>
      <w:hyperlink r:id="rId76">
        <w:r>
          <w:rPr>
            <w:rStyle w:val="Hyperlink"/>
          </w:rPr>
          <w:t xml:space="preserve">https://doi.org/10.1016/0169-5347(92)90019-8</w:t>
        </w:r>
      </w:hyperlink>
      <w:r>
        <w:t xml:space="preserve">.</w:t>
      </w:r>
    </w:p>
    <w:bookmarkEnd w:id="77"/>
    <w:bookmarkStart w:id="79" w:name="ref-ishii.shimada2010"/>
    <w:p>
      <w:pPr>
        <w:pStyle w:val="Bibliography"/>
      </w:pPr>
      <w:r>
        <w:t xml:space="preserve">Ishii, Yumiko, and Masakazu Shimada. 2010.</w:t>
      </w:r>
      <w:r>
        <w:t xml:space="preserve"> </w:t>
      </w:r>
      <w:r>
        <w:t xml:space="preserve">“The</w:t>
      </w:r>
      <w:r>
        <w:t xml:space="preserve"> </w:t>
      </w:r>
      <w:r>
        <w:t xml:space="preserve">Effect</w:t>
      </w:r>
      <w:r>
        <w:t xml:space="preserve"> </w:t>
      </w:r>
      <w:r>
        <w:t xml:space="preserve">of</w:t>
      </w:r>
      <w:r>
        <w:t xml:space="preserve"> </w:t>
      </w:r>
      <w:r>
        <w:t xml:space="preserve">Learning</w:t>
      </w:r>
      <w:r>
        <w:t xml:space="preserve"> </w:t>
      </w:r>
      <w:r>
        <w:t xml:space="preserve">and</w:t>
      </w:r>
      <w:r>
        <w:t xml:space="preserve"> </w:t>
      </w:r>
      <w:r>
        <w:t xml:space="preserve">Search Images</w:t>
      </w:r>
      <w:r>
        <w:t xml:space="preserve"> </w:t>
      </w:r>
      <w:r>
        <w:t xml:space="preserve">on</w:t>
      </w:r>
      <w:r>
        <w:t xml:space="preserve"> </w:t>
      </w:r>
      <w:r>
        <w:t xml:space="preserve">Predator-Prey Interactions</w:t>
      </w:r>
      <w:r>
        <w:t xml:space="preserve">.”</w:t>
      </w:r>
      <w:r>
        <w:t xml:space="preserve"> </w:t>
      </w:r>
      <w:r>
        <w:rPr>
          <w:iCs/>
          <w:i/>
        </w:rPr>
        <w:t xml:space="preserve">Population Ecology</w:t>
      </w:r>
      <w:r>
        <w:t xml:space="preserve"> </w:t>
      </w:r>
      <w:r>
        <w:t xml:space="preserve">52 (1): 27–35.</w:t>
      </w:r>
      <w:r>
        <w:t xml:space="preserve"> </w:t>
      </w:r>
      <w:hyperlink r:id="rId78">
        <w:r>
          <w:rPr>
            <w:rStyle w:val="Hyperlink"/>
          </w:rPr>
          <w:t xml:space="preserve">https://doi.org/10.1007/s10144-009-0185-x</w:t>
        </w:r>
      </w:hyperlink>
      <w:r>
        <w:t xml:space="preserve">.</w:t>
      </w:r>
    </w:p>
    <w:bookmarkEnd w:id="79"/>
    <w:bookmarkStart w:id="81" w:name="ref-kelley2003"/>
    <w:p>
      <w:pPr>
        <w:pStyle w:val="Bibliography"/>
      </w:pPr>
      <w:r>
        <w:t xml:space="preserve">Kelley, Jennifer L, and Anne E Magurran. 2003.</w:t>
      </w:r>
      <w:r>
        <w:t xml:space="preserve"> </w:t>
      </w:r>
      <w:r>
        <w:t xml:space="preserve">“</w:t>
      </w:r>
      <w:r>
        <w:t xml:space="preserve">Learned Predator Recognition</w:t>
      </w:r>
      <w:r>
        <w:t xml:space="preserve"> </w:t>
      </w:r>
      <w:r>
        <w:t xml:space="preserve">and</w:t>
      </w:r>
      <w:r>
        <w:t xml:space="preserve"> </w:t>
      </w:r>
      <w:r>
        <w:t xml:space="preserve">Antipredator Responses</w:t>
      </w:r>
      <w:r>
        <w:t xml:space="preserve"> </w:t>
      </w:r>
      <w:r>
        <w:t xml:space="preserve">in</w:t>
      </w:r>
      <w:r>
        <w:t xml:space="preserve"> </w:t>
      </w:r>
      <w:r>
        <w:t xml:space="preserve">Fishes</w:t>
      </w:r>
      <w:r>
        <w:t xml:space="preserve">.”</w:t>
      </w:r>
      <w:r>
        <w:t xml:space="preserve"> </w:t>
      </w:r>
      <w:r>
        <w:rPr>
          <w:iCs/>
          <w:i/>
        </w:rPr>
        <w:t xml:space="preserve">Fish and Fisheries</w:t>
      </w:r>
      <w:r>
        <w:t xml:space="preserve"> </w:t>
      </w:r>
      <w:r>
        <w:t xml:space="preserve">4 (3): 216–26.</w:t>
      </w:r>
      <w:r>
        <w:t xml:space="preserve"> </w:t>
      </w:r>
      <w:hyperlink r:id="rId80">
        <w:r>
          <w:rPr>
            <w:rStyle w:val="Hyperlink"/>
          </w:rPr>
          <w:t xml:space="preserve">https://doi.org/10.1046/j.1467-2979.2003.00126.x</w:t>
        </w:r>
      </w:hyperlink>
      <w:r>
        <w:t xml:space="preserve">.</w:t>
      </w:r>
    </w:p>
    <w:bookmarkEnd w:id="81"/>
    <w:bookmarkStart w:id="83"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82">
        <w:r>
          <w:rPr>
            <w:rStyle w:val="Hyperlink"/>
          </w:rPr>
          <w:t xml:space="preserve">https://doi.org/10.1002/9781444342536.ch3</w:t>
        </w:r>
      </w:hyperlink>
      <w:r>
        <w:t xml:space="preserve">.</w:t>
      </w:r>
    </w:p>
    <w:bookmarkEnd w:id="83"/>
    <w:bookmarkStart w:id="85" w:name="ref-kishida.etal2006"/>
    <w:p>
      <w:pPr>
        <w:pStyle w:val="Bibliography"/>
      </w:pPr>
      <w:r>
        <w:t xml:space="preserve">Kishida, Osamu, Yuuki Mizuta, and Kinya Nishimura. 2006.</w:t>
      </w:r>
      <w:r>
        <w:t xml:space="preserve"> </w:t>
      </w:r>
      <w:r>
        <w:t xml:space="preserve">“Reciprocal</w:t>
      </w:r>
      <w:r>
        <w:t xml:space="preserve"> </w:t>
      </w:r>
      <w:r>
        <w:t xml:space="preserve">Phenotypic Plasticity</w:t>
      </w:r>
      <w:r>
        <w:t xml:space="preserve"> </w:t>
      </w:r>
      <w:r>
        <w:t xml:space="preserve">in a</w:t>
      </w:r>
      <w:r>
        <w:t xml:space="preserve"> </w:t>
      </w:r>
      <w:r>
        <w:t xml:space="preserve">Predator-Prey Interaction Between Larval Amphibians</w:t>
      </w:r>
      <w:r>
        <w:t xml:space="preserve">.”</w:t>
      </w:r>
      <w:r>
        <w:t xml:space="preserve"> </w:t>
      </w:r>
      <w:r>
        <w:rPr>
          <w:iCs/>
          <w:i/>
        </w:rPr>
        <w:t xml:space="preserve">Ecology</w:t>
      </w:r>
      <w:r>
        <w:t xml:space="preserve"> </w:t>
      </w:r>
      <w:r>
        <w:t xml:space="preserve">87 (6): 1599–1604.</w:t>
      </w:r>
      <w:r>
        <w:t xml:space="preserve"> </w:t>
      </w:r>
      <w:hyperlink r:id="rId84">
        <w:r>
          <w:rPr>
            <w:rStyle w:val="Hyperlink"/>
          </w:rPr>
          <w:t xml:space="preserve">https://doi.org/10.1890/0012-9658(2006)87[1599:RPPIAP]2.0.CO;2</w:t>
        </w:r>
      </w:hyperlink>
      <w:r>
        <w:t xml:space="preserve">.</w:t>
      </w:r>
    </w:p>
    <w:bookmarkEnd w:id="85"/>
    <w:bookmarkStart w:id="87" w:name="ref-kishida.etal2009"/>
    <w:p>
      <w:pPr>
        <w:pStyle w:val="Bibliography"/>
      </w:pPr>
      <w:r>
        <w:t xml:space="preserve">Kishida, Osamu, Geoffrey C. Trussell, and Kinya Nishimura. 2009.</w:t>
      </w:r>
      <w:r>
        <w:t xml:space="preserve"> </w:t>
      </w:r>
      <w:r>
        <w:t xml:space="preserve">“Top-</w:t>
      </w:r>
      <w:r>
        <w:t xml:space="preserve">Down Effects</w:t>
      </w:r>
      <w:r>
        <w:t xml:space="preserve"> </w:t>
      </w:r>
      <w:r>
        <w:t xml:space="preserve">on</w:t>
      </w:r>
      <w:r>
        <w:t xml:space="preserve"> </w:t>
      </w:r>
      <w:r>
        <w:t xml:space="preserve">Antagonistic Inducible Defense</w:t>
      </w:r>
      <w:r>
        <w:t xml:space="preserve"> </w:t>
      </w:r>
      <w:r>
        <w:t xml:space="preserve">and</w:t>
      </w:r>
      <w:r>
        <w:t xml:space="preserve"> </w:t>
      </w:r>
      <w:r>
        <w:t xml:space="preserve">Offense</w:t>
      </w:r>
      <w:r>
        <w:t xml:space="preserve">.”</w:t>
      </w:r>
      <w:r>
        <w:t xml:space="preserve"> </w:t>
      </w:r>
      <w:r>
        <w:rPr>
          <w:iCs/>
          <w:i/>
        </w:rPr>
        <w:t xml:space="preserve">Ecology</w:t>
      </w:r>
      <w:r>
        <w:t xml:space="preserve"> </w:t>
      </w:r>
      <w:r>
        <w:t xml:space="preserve">90 (5): 1217–26.</w:t>
      </w:r>
      <w:r>
        <w:t xml:space="preserve"> </w:t>
      </w:r>
      <w:hyperlink r:id="rId86">
        <w:r>
          <w:rPr>
            <w:rStyle w:val="Hyperlink"/>
          </w:rPr>
          <w:t xml:space="preserve">https://doi.org/10.1890/08-0238.1</w:t>
        </w:r>
      </w:hyperlink>
      <w:r>
        <w:t xml:space="preserve">.</w:t>
      </w:r>
    </w:p>
    <w:bookmarkEnd w:id="87"/>
    <w:bookmarkStart w:id="89" w:name="ref-lee.nelder2006"/>
    <w:p>
      <w:pPr>
        <w:pStyle w:val="Bibliography"/>
      </w:pPr>
      <w:r>
        <w:t xml:space="preserve">Lee, Youngjo, and John A. Nelder. 2006.</w:t>
      </w:r>
      <w:r>
        <w:t xml:space="preserve"> </w:t>
      </w:r>
      <w:r>
        <w:t xml:space="preserve">“Double</w:t>
      </w:r>
      <w:r>
        <w:t xml:space="preserve"> </w:t>
      </w:r>
      <w:r>
        <w:t xml:space="preserve">Hierarchical Generalized Linear Models</w:t>
      </w:r>
      <w:r>
        <w:t xml:space="preserve"> </w:t>
      </w:r>
      <w:r>
        <w:t xml:space="preserve">(</w:t>
      </w:r>
      <w:r>
        <w:t xml:space="preserve">With Discussion</w:t>
      </w:r>
      <w:r>
        <w:t xml:space="preserve">).”</w:t>
      </w:r>
      <w:r>
        <w:t xml:space="preserve"> </w:t>
      </w:r>
      <w:r>
        <w:rPr>
          <w:iCs/>
          <w:i/>
        </w:rPr>
        <w:t xml:space="preserve">Journal of the Royal Statistical Society: Series C (Applied Statistics)</w:t>
      </w:r>
      <w:r>
        <w:t xml:space="preserve"> </w:t>
      </w:r>
      <w:r>
        <w:t xml:space="preserve">55 (2): 139–85.</w:t>
      </w:r>
      <w:r>
        <w:t xml:space="preserve"> </w:t>
      </w:r>
      <w:hyperlink r:id="rId88">
        <w:r>
          <w:rPr>
            <w:rStyle w:val="Hyperlink"/>
          </w:rPr>
          <w:t xml:space="preserve">https://doi.org/10.1111/j.1467-9876.2006.00538.x</w:t>
        </w:r>
      </w:hyperlink>
      <w:r>
        <w:t xml:space="preserve">.</w:t>
      </w:r>
    </w:p>
    <w:bookmarkEnd w:id="89"/>
    <w:bookmarkStart w:id="91" w:name="ref-manlick.etal2021"/>
    <w:p>
      <w:pPr>
        <w:pStyle w:val="Bibliography"/>
      </w:pPr>
      <w:r>
        <w:t xml:space="preserve">Manlick, Philip J., Karin Maldonado, and Seth D. Newsome. 2021.</w:t>
      </w:r>
      <w:r>
        <w:t xml:space="preserve"> </w:t>
      </w:r>
      <w:r>
        <w:t xml:space="preserve">“Competition</w:t>
      </w:r>
      <w:r>
        <w:t xml:space="preserve"> </w:t>
      </w:r>
      <w:r>
        <w:t xml:space="preserve">Shapes Individual Foraging</w:t>
      </w:r>
      <w:r>
        <w:t xml:space="preserve"> </w:t>
      </w:r>
      <w:r>
        <w:t xml:space="preserve">and</w:t>
      </w:r>
      <w:r>
        <w:t xml:space="preserve"> </w:t>
      </w:r>
      <w:r>
        <w:t xml:space="preserve">Survival</w:t>
      </w:r>
      <w:r>
        <w:t xml:space="preserve"> </w:t>
      </w:r>
      <w:r>
        <w:t xml:space="preserve">in a</w:t>
      </w:r>
      <w:r>
        <w:t xml:space="preserve"> </w:t>
      </w:r>
      <w:r>
        <w:t xml:space="preserve">Desert Rodent Ensemble</w:t>
      </w:r>
      <w:r>
        <w:t xml:space="preserve">.”</w:t>
      </w:r>
      <w:r>
        <w:t xml:space="preserve"> </w:t>
      </w:r>
      <w:r>
        <w:rPr>
          <w:iCs/>
          <w:i/>
        </w:rPr>
        <w:t xml:space="preserve">Journal of Animal Ecology</w:t>
      </w:r>
      <w:r>
        <w:t xml:space="preserve"> </w:t>
      </w:r>
      <w:r>
        <w:t xml:space="preserve">90 (12): 2806–18.</w:t>
      </w:r>
      <w:r>
        <w:t xml:space="preserve"> </w:t>
      </w:r>
      <w:hyperlink r:id="rId90">
        <w:r>
          <w:rPr>
            <w:rStyle w:val="Hyperlink"/>
          </w:rPr>
          <w:t xml:space="preserve">https://doi.org/10.1111/1365-2656.13583</w:t>
        </w:r>
      </w:hyperlink>
      <w:r>
        <w:t xml:space="preserve">.</w:t>
      </w:r>
    </w:p>
    <w:bookmarkEnd w:id="91"/>
    <w:bookmarkStart w:id="93" w:name="ref-mathot.etal2012"/>
    <w:p>
      <w:pPr>
        <w:pStyle w:val="Bibliography"/>
      </w:pPr>
      <w:r>
        <w:t xml:space="preserve">Mathot, Kimberley J., J. Wright, B. Kempenaers, and N. J. Dingemanse. 2012.</w:t>
      </w:r>
      <w:r>
        <w:t xml:space="preserve"> </w:t>
      </w:r>
      <w:r>
        <w:t xml:space="preserve">“Adaptive Strategies for Managing Uncertainty May Explain Personality-Related Differences in Behavioural Plasticity.”</w:t>
      </w:r>
      <w:r>
        <w:t xml:space="preserve"> </w:t>
      </w:r>
      <w:r>
        <w:rPr>
          <w:iCs/>
          <w:i/>
        </w:rPr>
        <w:t xml:space="preserve">Oikos</w:t>
      </w:r>
      <w:r>
        <w:t xml:space="preserve"> </w:t>
      </w:r>
      <w:r>
        <w:t xml:space="preserve">121 (7): 1009–20.</w:t>
      </w:r>
      <w:r>
        <w:t xml:space="preserve"> </w:t>
      </w:r>
      <w:hyperlink r:id="rId92">
        <w:r>
          <w:rPr>
            <w:rStyle w:val="Hyperlink"/>
          </w:rPr>
          <w:t xml:space="preserve">https://doi.org/10.1111/j.1600-0706.2012.20339.x</w:t>
        </w:r>
      </w:hyperlink>
      <w:r>
        <w:t xml:space="preserve">.</w:t>
      </w:r>
    </w:p>
    <w:bookmarkEnd w:id="93"/>
    <w:bookmarkStart w:id="95" w:name="ref-mccomb2011"/>
    <w:p>
      <w:pPr>
        <w:pStyle w:val="Bibliography"/>
      </w:pPr>
      <w:r>
        <w:t xml:space="preserve">McComb, Karen, Graeme Shannon, Sarah M. Durant, Katito Sayialel, Rob Slotow, Joyce Poole, and Cynthia Moss. 2011.</w:t>
      </w:r>
      <w:r>
        <w:t xml:space="preserve"> </w:t>
      </w:r>
      <w:r>
        <w:t xml:space="preserve">“Leadership in</w:t>
      </w:r>
      <w:r>
        <w:t xml:space="preserve"> </w:t>
      </w:r>
      <w:r>
        <w:t xml:space="preserve">Elephants</w:t>
      </w:r>
      <w:r>
        <w:t xml:space="preserve">:</w:t>
      </w:r>
      <w:r>
        <w:t xml:space="preserve"> </w:t>
      </w:r>
      <w:r>
        <w:t xml:space="preserve">The Adaptive Value</w:t>
      </w:r>
      <w:r>
        <w:t xml:space="preserve"> </w:t>
      </w:r>
      <w:r>
        <w:t xml:space="preserve">of</w:t>
      </w:r>
      <w:r>
        <w:t xml:space="preserve"> </w:t>
      </w:r>
      <w:r>
        <w:t xml:space="preserve">Age</w:t>
      </w:r>
      <w:r>
        <w:t xml:space="preserve">.”</w:t>
      </w:r>
      <w:r>
        <w:t xml:space="preserve"> </w:t>
      </w:r>
      <w:r>
        <w:rPr>
          <w:iCs/>
          <w:i/>
        </w:rPr>
        <w:t xml:space="preserve">Proceedings of the Royal Society B: Biological Sciences</w:t>
      </w:r>
      <w:r>
        <w:t xml:space="preserve"> </w:t>
      </w:r>
      <w:r>
        <w:t xml:space="preserve">278 (1722): 3270–76.</w:t>
      </w:r>
      <w:r>
        <w:t xml:space="preserve"> </w:t>
      </w:r>
      <w:hyperlink r:id="rId94">
        <w:r>
          <w:rPr>
            <w:rStyle w:val="Hyperlink"/>
          </w:rPr>
          <w:t xml:space="preserve">https://doi.org/10.1098/rspb.2011.0168</w:t>
        </w:r>
      </w:hyperlink>
      <w:r>
        <w:t xml:space="preserve">.</w:t>
      </w:r>
    </w:p>
    <w:bookmarkEnd w:id="95"/>
    <w:bookmarkStart w:id="97" w:name="ref-mcghee.etal2013"/>
    <w:p>
      <w:pPr>
        <w:pStyle w:val="Bibliography"/>
      </w:pPr>
      <w:r>
        <w:t xml:space="preserve">McGhee, Katie E., Lauren M. Pintor, and Alison M. Bell. 2013.</w:t>
      </w:r>
      <w:r>
        <w:t xml:space="preserve"> </w:t>
      </w:r>
      <w:r>
        <w:t xml:space="preserve">“Reciprocal</w:t>
      </w:r>
      <w:r>
        <w:t xml:space="preserve"> </w:t>
      </w:r>
      <w:r>
        <w:t xml:space="preserve">Behavioral Plasticity</w:t>
      </w:r>
      <w:r>
        <w:t xml:space="preserve"> </w:t>
      </w:r>
      <w:r>
        <w:t xml:space="preserve">and</w:t>
      </w:r>
      <w:r>
        <w:t xml:space="preserve"> </w:t>
      </w:r>
      <w:r>
        <w:t xml:space="preserve">Behavioral Types</w:t>
      </w:r>
      <w:r>
        <w:t xml:space="preserve"> </w:t>
      </w:r>
      <w:r>
        <w:t xml:space="preserve">During</w:t>
      </w:r>
      <w:r>
        <w:t xml:space="preserve"> </w:t>
      </w:r>
      <w:r>
        <w:t xml:space="preserve">Predator-Prey Interactions</w:t>
      </w:r>
      <w:r>
        <w:t xml:space="preserve">.”</w:t>
      </w:r>
      <w:r>
        <w:t xml:space="preserve"> </w:t>
      </w:r>
      <w:r>
        <w:rPr>
          <w:iCs/>
          <w:i/>
        </w:rPr>
        <w:t xml:space="preserve">The American Naturalist</w:t>
      </w:r>
      <w:r>
        <w:t xml:space="preserve"> </w:t>
      </w:r>
      <w:r>
        <w:t xml:space="preserve">182 (6): 704–17.</w:t>
      </w:r>
      <w:r>
        <w:t xml:space="preserve"> </w:t>
      </w:r>
      <w:hyperlink r:id="rId96">
        <w:r>
          <w:rPr>
            <w:rStyle w:val="Hyperlink"/>
          </w:rPr>
          <w:t xml:space="preserve">https://doi.org/10.1086/673526</w:t>
        </w:r>
      </w:hyperlink>
      <w:r>
        <w:t xml:space="preserve">.</w:t>
      </w:r>
    </w:p>
    <w:bookmarkEnd w:id="97"/>
    <w:bookmarkStart w:id="99" w:name="ref-mitchell.etal2016"/>
    <w:p>
      <w:pPr>
        <w:pStyle w:val="Bibliography"/>
      </w:pPr>
      <w:r>
        <w:t xml:space="preserve">Mitchell, David J., Benjamin G. Fanson, Christa Beckmann, and Peter A. Biro. 2016.</w:t>
      </w:r>
      <w:r>
        <w:t xml:space="preserve"> </w:t>
      </w:r>
      <w:r>
        <w:t xml:space="preserve">“</w:t>
      </w:r>
      <w:r>
        <w:t xml:space="preserve">Towards Powerful Experimental</w:t>
      </w:r>
      <w:r>
        <w:t xml:space="preserve"> </w:t>
      </w:r>
      <w:r>
        <w:t xml:space="preserve">and</w:t>
      </w:r>
      <w:r>
        <w:t xml:space="preserve"> </w:t>
      </w:r>
      <w:r>
        <w:t xml:space="preserve">Statistical Approaches</w:t>
      </w:r>
      <w:r>
        <w:t xml:space="preserve"> </w:t>
      </w:r>
      <w:r>
        <w:t xml:space="preserve">to</w:t>
      </w:r>
      <w:r>
        <w:t xml:space="preserve"> </w:t>
      </w:r>
      <w:r>
        <w:t xml:space="preserve">Study Intraindividual Variability</w:t>
      </w:r>
      <w:r>
        <w:t xml:space="preserve"> </w:t>
      </w:r>
      <w:r>
        <w:t xml:space="preserve">in</w:t>
      </w:r>
      <w:r>
        <w:t xml:space="preserve"> </w:t>
      </w:r>
      <w:r>
        <w:t xml:space="preserve">Labile Traits</w:t>
      </w:r>
      <w:r>
        <w:t xml:space="preserve">.”</w:t>
      </w:r>
      <w:r>
        <w:t xml:space="preserve"> </w:t>
      </w:r>
      <w:r>
        <w:rPr>
          <w:iCs/>
          <w:i/>
        </w:rPr>
        <w:t xml:space="preserve">Royal Society Open Science</w:t>
      </w:r>
      <w:r>
        <w:t xml:space="preserve"> </w:t>
      </w:r>
      <w:r>
        <w:t xml:space="preserve">3 (10): 160352.</w:t>
      </w:r>
      <w:r>
        <w:t xml:space="preserve"> </w:t>
      </w:r>
      <w:hyperlink r:id="rId98">
        <w:r>
          <w:rPr>
            <w:rStyle w:val="Hyperlink"/>
          </w:rPr>
          <w:t xml:space="preserve">https://doi.org/10.1098/rsos.160352</w:t>
        </w:r>
      </w:hyperlink>
      <w:r>
        <w:t xml:space="preserve">.</w:t>
      </w:r>
    </w:p>
    <w:bookmarkEnd w:id="99"/>
    <w:bookmarkStart w:id="101" w:name="ref-montiglio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0 (0).</w:t>
      </w:r>
      <w:r>
        <w:t xml:space="preserve"> </w:t>
      </w:r>
      <w:hyperlink r:id="rId100">
        <w:r>
          <w:rPr>
            <w:rStyle w:val="Hyperlink"/>
          </w:rPr>
          <w:t xml:space="preserve">https://doi.org/10.1016/j.tree.2025.02.003</w:t>
        </w:r>
      </w:hyperlink>
      <w:r>
        <w:t xml:space="preserve">.</w:t>
      </w:r>
    </w:p>
    <w:bookmarkEnd w:id="101"/>
    <w:bookmarkStart w:id="103" w:name="ref-mougi.kishida2009"/>
    <w:p>
      <w:pPr>
        <w:pStyle w:val="Bibliography"/>
      </w:pPr>
      <w:r>
        <w:t xml:space="preserve">Mougi, Akihiko, and Osamu Kishida. 2009.</w:t>
      </w:r>
      <w:r>
        <w:t xml:space="preserve"> </w:t>
      </w:r>
      <w:r>
        <w:t xml:space="preserve">“Reciprocal</w:t>
      </w:r>
      <w:r>
        <w:t xml:space="preserve"> </w:t>
      </w:r>
      <w:r>
        <w:t xml:space="preserve">Phenotypic Plasticity Can Lead</w:t>
      </w:r>
      <w:r>
        <w:t xml:space="preserve"> </w:t>
      </w:r>
      <w:r>
        <w:t xml:space="preserve">to</w:t>
      </w:r>
      <w:r>
        <w:t xml:space="preserve"> </w:t>
      </w:r>
      <w:r>
        <w:t xml:space="preserve">Stable Predator</w:t>
      </w:r>
      <w:r>
        <w:t xml:space="preserve">.”</w:t>
      </w:r>
      <w:r>
        <w:t xml:space="preserve"> </w:t>
      </w:r>
      <w:r>
        <w:rPr>
          <w:iCs/>
          <w:i/>
        </w:rPr>
        <w:t xml:space="preserve">Journal of Animal Ecology</w:t>
      </w:r>
      <w:r>
        <w:t xml:space="preserve"> </w:t>
      </w:r>
      <w:r>
        <w:t xml:space="preserve">78 (6): 1172–81.</w:t>
      </w:r>
      <w:r>
        <w:t xml:space="preserve"> </w:t>
      </w:r>
      <w:hyperlink r:id="rId102">
        <w:r>
          <w:rPr>
            <w:rStyle w:val="Hyperlink"/>
          </w:rPr>
          <w:t xml:space="preserve">https://doi.org/10.1111/j.1365-2656.2009.01600.x</w:t>
        </w:r>
      </w:hyperlink>
      <w:r>
        <w:t xml:space="preserve">.</w:t>
      </w:r>
    </w:p>
    <w:bookmarkEnd w:id="103"/>
    <w:bookmarkStart w:id="105" w:name="ref-patrick.weimerskirch2014a"/>
    <w:p>
      <w:pPr>
        <w:pStyle w:val="Bibliography"/>
      </w:pPr>
      <w:r>
        <w:t xml:space="preserve">Patrick, Samantha C., and Henri Weimerskirch. 2014a.</w:t>
      </w:r>
      <w:r>
        <w:t xml:space="preserve"> </w:t>
      </w:r>
      <w:r>
        <w:t xml:space="preserve">“Personality,</w:t>
      </w:r>
      <w:r>
        <w:t xml:space="preserve"> </w:t>
      </w:r>
      <w:r>
        <w:t xml:space="preserve">Foraging</w:t>
      </w:r>
      <w:r>
        <w:t xml:space="preserve"> </w:t>
      </w:r>
      <w:r>
        <w:t xml:space="preserve">and</w:t>
      </w:r>
      <w:r>
        <w:t xml:space="preserve"> </w:t>
      </w:r>
      <w:r>
        <w:t xml:space="preserve">Fitness Consequences</w:t>
      </w:r>
      <w:r>
        <w:t xml:space="preserve"> </w:t>
      </w:r>
      <w:r>
        <w:t xml:space="preserve">in a</w:t>
      </w:r>
      <w:r>
        <w:t xml:space="preserve"> </w:t>
      </w:r>
      <w:r>
        <w:t xml:space="preserve">Long Lived Seabird</w:t>
      </w:r>
      <w:r>
        <w:t xml:space="preserve">.”</w:t>
      </w:r>
      <w:r>
        <w:t xml:space="preserve"> </w:t>
      </w:r>
      <w:r>
        <w:rPr>
          <w:iCs/>
          <w:i/>
        </w:rPr>
        <w:t xml:space="preserve">PLOS ONE</w:t>
      </w:r>
      <w:r>
        <w:t xml:space="preserve"> </w:t>
      </w:r>
      <w:r>
        <w:t xml:space="preserve">9 (2): e87269.</w:t>
      </w:r>
      <w:r>
        <w:t xml:space="preserve"> </w:t>
      </w:r>
      <w:hyperlink r:id="rId104">
        <w:r>
          <w:rPr>
            <w:rStyle w:val="Hyperlink"/>
          </w:rPr>
          <w:t xml:space="preserve">https://doi.org/10.1371/journal.pone.0087269</w:t>
        </w:r>
      </w:hyperlink>
      <w:r>
        <w:t xml:space="preserve">.</w:t>
      </w:r>
    </w:p>
    <w:bookmarkEnd w:id="105"/>
    <w:bookmarkStart w:id="107" w:name="ref-patrick.weimerskirch2014b"/>
    <w:p>
      <w:pPr>
        <w:pStyle w:val="Bibliography"/>
      </w:pPr>
      <w:r>
        <w:t xml:space="preserve">———. 2014b.</w:t>
      </w:r>
      <w:r>
        <w:t xml:space="preserve"> </w:t>
      </w:r>
      <w:r>
        <w:t xml:space="preserve">“Consistency</w:t>
      </w:r>
      <w:r>
        <w:t xml:space="preserve"> </w:t>
      </w:r>
      <w:r>
        <w:t xml:space="preserve">Pays</w:t>
      </w:r>
      <w:r>
        <w:t xml:space="preserve">:</w:t>
      </w:r>
      <w:r>
        <w:t xml:space="preserve"> </w:t>
      </w:r>
      <w:r>
        <w:t xml:space="preserve">Sex Differences</w:t>
      </w:r>
      <w:r>
        <w:t xml:space="preserve"> </w:t>
      </w:r>
      <w:r>
        <w:t xml:space="preserve">and</w:t>
      </w:r>
      <w:r>
        <w:t xml:space="preserve"> </w:t>
      </w:r>
      <w:r>
        <w:t xml:space="preserve">Fitness Consequences</w:t>
      </w:r>
      <w:r>
        <w:t xml:space="preserve"> </w:t>
      </w:r>
      <w:r>
        <w:t xml:space="preserve">of</w:t>
      </w:r>
      <w:r>
        <w:t xml:space="preserve"> </w:t>
      </w:r>
      <w:r>
        <w:t xml:space="preserve">Behavioural Specialization</w:t>
      </w:r>
      <w:r>
        <w:t xml:space="preserve"> </w:t>
      </w:r>
      <w:r>
        <w:t xml:space="preserve">in a</w:t>
      </w:r>
      <w:r>
        <w:t xml:space="preserve"> </w:t>
      </w:r>
      <w:r>
        <w:t xml:space="preserve">Wide-Ranging Seabird</w:t>
      </w:r>
      <w:r>
        <w:t xml:space="preserve">.”</w:t>
      </w:r>
      <w:r>
        <w:t xml:space="preserve"> </w:t>
      </w:r>
      <w:r>
        <w:rPr>
          <w:iCs/>
          <w:i/>
        </w:rPr>
        <w:t xml:space="preserve">Biology Letters</w:t>
      </w:r>
      <w:r>
        <w:t xml:space="preserve"> </w:t>
      </w:r>
      <w:r>
        <w:t xml:space="preserve">10 (10): 20140630.</w:t>
      </w:r>
      <w:r>
        <w:t xml:space="preserve"> </w:t>
      </w:r>
      <w:hyperlink r:id="rId106">
        <w:r>
          <w:rPr>
            <w:rStyle w:val="Hyperlink"/>
          </w:rPr>
          <w:t xml:space="preserve">https://doi.org/10.1098/rsbl.2014.0630</w:t>
        </w:r>
      </w:hyperlink>
      <w:r>
        <w:t xml:space="preserve">.</w:t>
      </w:r>
    </w:p>
    <w:bookmarkEnd w:id="107"/>
    <w:bookmarkStart w:id="109" w:name="ref-phillips.etal2017"/>
    <w:p>
      <w:pPr>
        <w:pStyle w:val="Bibliography"/>
      </w:pPr>
      <w:r>
        <w:t xml:space="preserve">Phillips, Richard A., Sue Lewis, Jacob González-Solís, and Francis Daunt. 2017.</w:t>
      </w:r>
      <w:r>
        <w:t xml:space="preserve"> </w:t>
      </w:r>
      <w:r>
        <w:t xml:space="preserve">“Causes and</w:t>
      </w:r>
      <w:r>
        <w:t xml:space="preserve"> </w:t>
      </w:r>
      <w:r>
        <w:t xml:space="preserve">Consequences</w:t>
      </w:r>
      <w:r>
        <w:t xml:space="preserve"> </w:t>
      </w:r>
      <w:r>
        <w:t xml:space="preserve">of</w:t>
      </w:r>
      <w:r>
        <w:t xml:space="preserve"> </w:t>
      </w:r>
      <w:r>
        <w:t xml:space="preserve">Individual Variability</w:t>
      </w:r>
      <w:r>
        <w:t xml:space="preserve"> </w:t>
      </w:r>
      <w:r>
        <w:t xml:space="preserve">and</w:t>
      </w:r>
      <w:r>
        <w:t xml:space="preserve"> </w:t>
      </w:r>
      <w:r>
        <w:t xml:space="preserve">Specialization</w:t>
      </w:r>
      <w:r>
        <w:t xml:space="preserve"> </w:t>
      </w:r>
      <w:r>
        <w:t xml:space="preserve">in</w:t>
      </w:r>
      <w:r>
        <w:t xml:space="preserve"> </w:t>
      </w:r>
      <w:r>
        <w:t xml:space="preserve">Foraging</w:t>
      </w:r>
      <w:r>
        <w:t xml:space="preserve"> </w:t>
      </w:r>
      <w:r>
        <w:t xml:space="preserve">and</w:t>
      </w:r>
      <w:r>
        <w:t xml:space="preserve"> </w:t>
      </w:r>
      <w:r>
        <w:t xml:space="preserve">Migration Strategies</w:t>
      </w:r>
      <w:r>
        <w:t xml:space="preserve"> </w:t>
      </w:r>
      <w:r>
        <w:t xml:space="preserve">of</w:t>
      </w:r>
      <w:r>
        <w:t xml:space="preserve"> </w:t>
      </w:r>
      <w:r>
        <w:t xml:space="preserve">Seabirds</w:t>
      </w:r>
      <w:r>
        <w:t xml:space="preserve">.”</w:t>
      </w:r>
      <w:r>
        <w:t xml:space="preserve"> </w:t>
      </w:r>
      <w:r>
        <w:rPr>
          <w:iCs/>
          <w:i/>
        </w:rPr>
        <w:t xml:space="preserve">Marine Ecology Progress Series</w:t>
      </w:r>
      <w:r>
        <w:t xml:space="preserve"> </w:t>
      </w:r>
      <w:r>
        <w:t xml:space="preserve">578: 117–50.</w:t>
      </w:r>
      <w:r>
        <w:t xml:space="preserve"> </w:t>
      </w:r>
      <w:hyperlink r:id="rId108">
        <w:r>
          <w:rPr>
            <w:rStyle w:val="Hyperlink"/>
          </w:rPr>
          <w:t xml:space="preserve">https://doi.org/10.3354/meps12217</w:t>
        </w:r>
      </w:hyperlink>
      <w:r>
        <w:t xml:space="preserve">.</w:t>
      </w:r>
    </w:p>
    <w:bookmarkEnd w:id="109"/>
    <w:bookmarkStart w:id="111" w:name="ref-pintor.etal2014"/>
    <w:p>
      <w:pPr>
        <w:pStyle w:val="Bibliography"/>
      </w:pPr>
      <w:r>
        <w:t xml:space="preserve">Pintor, Lauren M., Katie E. McGhee, Daniel P. Roche, and Alison M. Bell. 2014.</w:t>
      </w:r>
      <w:r>
        <w:t xml:space="preserve"> </w:t>
      </w:r>
      <w:r>
        <w:t xml:space="preserve">“Individual</w:t>
      </w:r>
      <w:r>
        <w:t xml:space="preserve"> </w:t>
      </w:r>
      <w:r>
        <w:t xml:space="preserve">Variation</w:t>
      </w:r>
      <w:r>
        <w:t xml:space="preserve"> </w:t>
      </w:r>
      <w:r>
        <w:t xml:space="preserve">in</w:t>
      </w:r>
      <w:r>
        <w:t xml:space="preserve"> </w:t>
      </w:r>
      <w:r>
        <w:t xml:space="preserve">Foraging Behavior Reveals</w:t>
      </w:r>
      <w:r>
        <w:t xml:space="preserve"> </w:t>
      </w:r>
      <w:r>
        <w:t xml:space="preserve">a</w:t>
      </w:r>
      <w:r>
        <w:t xml:space="preserve"> </w:t>
      </w:r>
      <w:r>
        <w:t xml:space="preserve">Trade-Off Between Flexibility</w:t>
      </w:r>
      <w:r>
        <w:t xml:space="preserve"> </w:t>
      </w:r>
      <w:r>
        <w:t xml:space="preserve">and</w:t>
      </w:r>
      <w:r>
        <w:t xml:space="preserve"> </w:t>
      </w:r>
      <w:r>
        <w:t xml:space="preserve">Performance</w:t>
      </w:r>
      <w:r>
        <w:t xml:space="preserve"> </w:t>
      </w:r>
      <w:r>
        <w:t xml:space="preserve">of a</w:t>
      </w:r>
      <w:r>
        <w:t xml:space="preserve"> </w:t>
      </w:r>
      <w:r>
        <w:t xml:space="preserve">Top Predator</w:t>
      </w:r>
      <w:r>
        <w:t xml:space="preserve">.”</w:t>
      </w:r>
      <w:r>
        <w:t xml:space="preserve"> </w:t>
      </w:r>
      <w:r>
        <w:rPr>
          <w:iCs/>
          <w:i/>
        </w:rPr>
        <w:t xml:space="preserve">Behavioral Ecology and Sociobiology</w:t>
      </w:r>
      <w:r>
        <w:t xml:space="preserve"> </w:t>
      </w:r>
      <w:r>
        <w:t xml:space="preserve">68 (10): 1711–22.</w:t>
      </w:r>
      <w:r>
        <w:t xml:space="preserve"> </w:t>
      </w:r>
      <w:hyperlink r:id="rId110">
        <w:r>
          <w:rPr>
            <w:rStyle w:val="Hyperlink"/>
          </w:rPr>
          <w:t xml:space="preserve">https://doi.org/10.1007/s00265-014-1779-7</w:t>
        </w:r>
      </w:hyperlink>
      <w:r>
        <w:t xml:space="preserve">.</w:t>
      </w:r>
    </w:p>
    <w:bookmarkEnd w:id="111"/>
    <w:bookmarkStart w:id="113" w:name="ref-potier.etal2015"/>
    <w:p>
      <w:pPr>
        <w:pStyle w:val="Bibliography"/>
      </w:pPr>
      <w:r>
        <w:t xml:space="preserve">Potier, Simon, Alexandre Carpentier, David Grémillet, Boris Leroy, and Amélie Lescroël. 2015.</w:t>
      </w:r>
      <w:r>
        <w:t xml:space="preserve"> </w:t>
      </w:r>
      <w:r>
        <w:t xml:space="preserve">“Individual</w:t>
      </w:r>
      <w:r>
        <w:t xml:space="preserve"> </w:t>
      </w:r>
      <w:r>
        <w:t xml:space="preserve">Repeatability</w:t>
      </w:r>
      <w:r>
        <w:t xml:space="preserve"> </w:t>
      </w:r>
      <w:r>
        <w:t xml:space="preserve">of</w:t>
      </w:r>
      <w:r>
        <w:t xml:space="preserve"> </w:t>
      </w:r>
      <w:r>
        <w:t xml:space="preserve">Foraging Behaviour</w:t>
      </w:r>
      <w:r>
        <w:t xml:space="preserve"> </w:t>
      </w:r>
      <w:r>
        <w:t xml:space="preserve">in a</w:t>
      </w:r>
      <w:r>
        <w:t xml:space="preserve"> </w:t>
      </w:r>
      <w:r>
        <w:t xml:space="preserve">Marine Predator</w:t>
      </w:r>
      <w:r>
        <w:t xml:space="preserve">, the</w:t>
      </w:r>
      <w:r>
        <w:t xml:space="preserve"> </w:t>
      </w:r>
      <w:r>
        <w:t xml:space="preserve">Great Cormorant</w:t>
      </w:r>
      <w:r>
        <w:t xml:space="preserve">,</w:t>
      </w:r>
      <w:r>
        <w:t xml:space="preserve"> </w:t>
      </w:r>
      <w:r>
        <w:t xml:space="preserve">Phalacrocorax</w:t>
      </w:r>
      <w:r>
        <w:t xml:space="preserve"> </w:t>
      </w:r>
      <w:r>
        <w:t xml:space="preserve">Carbo.”</w:t>
      </w:r>
      <w:r>
        <w:t xml:space="preserve"> </w:t>
      </w:r>
      <w:r>
        <w:rPr>
          <w:iCs/>
          <w:i/>
        </w:rPr>
        <w:t xml:space="preserve">Animal Behaviour</w:t>
      </w:r>
      <w:r>
        <w:t xml:space="preserve"> </w:t>
      </w:r>
      <w:r>
        <w:t xml:space="preserve">103: 83–90.</w:t>
      </w:r>
      <w:r>
        <w:t xml:space="preserve"> </w:t>
      </w:r>
      <w:hyperlink r:id="rId112">
        <w:r>
          <w:rPr>
            <w:rStyle w:val="Hyperlink"/>
          </w:rPr>
          <w:t xml:space="preserve">https://doi.org/10.1016/j.anbehav.2015.02.008</w:t>
        </w:r>
      </w:hyperlink>
      <w:r>
        <w:t xml:space="preserve">.</w:t>
      </w:r>
    </w:p>
    <w:bookmarkEnd w:id="113"/>
    <w:bookmarkStart w:id="115" w:name="ref-santoro.etal2019"/>
    <w:p>
      <w:pPr>
        <w:pStyle w:val="Bibliography"/>
      </w:pPr>
      <w:r>
        <w:t xml:space="preserve">Santoro, Davide, Stephen Hartley, and Philip J. Lester. 2019.</w:t>
      </w:r>
      <w:r>
        <w:t xml:space="preserve"> </w:t>
      </w:r>
      <w:r>
        <w:t xml:space="preserve">“Behaviourally</w:t>
      </w:r>
      <w:r>
        <w:t xml:space="preserve"> </w:t>
      </w:r>
      <w:r>
        <w:t xml:space="preserve">Specialized Foragers</w:t>
      </w:r>
      <w:r>
        <w:t xml:space="preserve"> </w:t>
      </w:r>
      <w:r>
        <w:t xml:space="preserve">Are</w:t>
      </w:r>
      <w:r>
        <w:t xml:space="preserve"> </w:t>
      </w:r>
      <w:r>
        <w:t xml:space="preserve">Less Efficient</w:t>
      </w:r>
      <w:r>
        <w:t xml:space="preserve"> </w:t>
      </w:r>
      <w:r>
        <w:t xml:space="preserve">and</w:t>
      </w:r>
      <w:r>
        <w:t xml:space="preserve"> </w:t>
      </w:r>
      <w:r>
        <w:t xml:space="preserve">Live Shorter Lives Than Generalists</w:t>
      </w:r>
      <w:r>
        <w:t xml:space="preserve"> </w:t>
      </w:r>
      <w:r>
        <w:t xml:space="preserve">in</w:t>
      </w:r>
      <w:r>
        <w:t xml:space="preserve"> </w:t>
      </w:r>
      <w:r>
        <w:t xml:space="preserve">Wasp Colonies</w:t>
      </w:r>
      <w:r>
        <w:t xml:space="preserve">.”</w:t>
      </w:r>
      <w:r>
        <w:t xml:space="preserve"> </w:t>
      </w:r>
      <w:r>
        <w:rPr>
          <w:iCs/>
          <w:i/>
        </w:rPr>
        <w:t xml:space="preserve">Scientific Reports</w:t>
      </w:r>
      <w:r>
        <w:t xml:space="preserve"> </w:t>
      </w:r>
      <w:r>
        <w:t xml:space="preserve">9 (1): 5366.</w:t>
      </w:r>
      <w:r>
        <w:t xml:space="preserve"> </w:t>
      </w:r>
      <w:hyperlink r:id="rId114">
        <w:r>
          <w:rPr>
            <w:rStyle w:val="Hyperlink"/>
          </w:rPr>
          <w:t xml:space="preserve">https://doi.org/10.1038/s41598-019-41791-0</w:t>
        </w:r>
      </w:hyperlink>
      <w:r>
        <w:t xml:space="preserve">.</w:t>
      </w:r>
    </w:p>
    <w:bookmarkEnd w:id="115"/>
    <w:bookmarkStart w:id="117" w:name="ref-stephens1993"/>
    <w:p>
      <w:pPr>
        <w:pStyle w:val="Bibliography"/>
      </w:pPr>
      <w:r>
        <w:t xml:space="preserve">Stephens, David W. 1993.</w:t>
      </w:r>
      <w:r>
        <w:t xml:space="preserve"> </w:t>
      </w:r>
      <w:r>
        <w:t xml:space="preserve">“Learning and</w:t>
      </w:r>
      <w:r>
        <w:t xml:space="preserve"> </w:t>
      </w:r>
      <w:r>
        <w:t xml:space="preserve">Behavioral Ecology</w:t>
      </w:r>
      <w:r>
        <w:t xml:space="preserve">:</w:t>
      </w:r>
      <w:r>
        <w:t xml:space="preserve"> </w:t>
      </w:r>
      <w:r>
        <w:t xml:space="preserve">Incomplete Information</w:t>
      </w:r>
      <w:r>
        <w:t xml:space="preserve"> </w:t>
      </w:r>
      <w:r>
        <w:t xml:space="preserve">and</w:t>
      </w:r>
      <w:r>
        <w:t xml:space="preserve"> </w:t>
      </w:r>
      <w:r>
        <w:t xml:space="preserve">Environmental Predictability</w:t>
      </w:r>
      <w:r>
        <w:t xml:space="preserve">.”</w:t>
      </w:r>
      <w:r>
        <w:t xml:space="preserve"> </w:t>
      </w:r>
      <w:r>
        <w:t xml:space="preserve">In</w:t>
      </w:r>
      <w:r>
        <w:t xml:space="preserve"> </w:t>
      </w:r>
      <w:r>
        <w:rPr>
          <w:iCs/>
          <w:i/>
        </w:rPr>
        <w:t xml:space="preserve">Insect</w:t>
      </w:r>
      <w:r>
        <w:rPr>
          <w:iCs/>
          <w:i/>
        </w:rPr>
        <w:t xml:space="preserve"> </w:t>
      </w:r>
      <w:r>
        <w:rPr>
          <w:iCs/>
          <w:i/>
        </w:rPr>
        <w:t xml:space="preserve">Learning</w:t>
      </w:r>
      <w:r>
        <w:rPr>
          <w:iCs/>
          <w:i/>
        </w:rPr>
        <w:t xml:space="preserve">:</w:t>
      </w:r>
      <w:r>
        <w:rPr>
          <w:iCs/>
          <w:i/>
        </w:rPr>
        <w:t xml:space="preserve"> </w:t>
      </w:r>
      <w:r>
        <w:rPr>
          <w:iCs/>
          <w:i/>
        </w:rPr>
        <w:t xml:space="preserve">Ecology</w:t>
      </w:r>
      <w:r>
        <w:rPr>
          <w:iCs/>
          <w:i/>
        </w:rPr>
        <w:t xml:space="preserve"> </w:t>
      </w:r>
      <w:r>
        <w:rPr>
          <w:iCs/>
          <w:i/>
        </w:rPr>
        <w:t xml:space="preserve">and</w:t>
      </w:r>
      <w:r>
        <w:rPr>
          <w:iCs/>
          <w:i/>
        </w:rPr>
        <w:t xml:space="preserve"> </w:t>
      </w:r>
      <w:r>
        <w:rPr>
          <w:iCs/>
          <w:i/>
        </w:rPr>
        <w:t xml:space="preserve">Evolutionary Perspectives</w:t>
      </w:r>
      <w:r>
        <w:t xml:space="preserve">, edited by Daniel R. Papaj and Alcinda C. Lewis, 195–218.</w:t>
      </w:r>
      <w:r>
        <w:t xml:space="preserve"> </w:t>
      </w:r>
      <w:r>
        <w:t xml:space="preserve">Boston, MA</w:t>
      </w:r>
      <w:r>
        <w:t xml:space="preserve">:</w:t>
      </w:r>
      <w:r>
        <w:t xml:space="preserve"> </w:t>
      </w:r>
      <w:r>
        <w:t xml:space="preserve">Springer US</w:t>
      </w:r>
      <w:r>
        <w:t xml:space="preserve">.</w:t>
      </w:r>
      <w:r>
        <w:t xml:space="preserve"> </w:t>
      </w:r>
      <w:hyperlink r:id="rId116">
        <w:r>
          <w:rPr>
            <w:rStyle w:val="Hyperlink"/>
          </w:rPr>
          <w:t xml:space="preserve">https://doi.org/10.1007/978-1-4615-2814-2_8</w:t>
        </w:r>
      </w:hyperlink>
      <w:r>
        <w:t xml:space="preserve">.</w:t>
      </w:r>
    </w:p>
    <w:bookmarkEnd w:id="117"/>
    <w:bookmarkStart w:id="119" w:name="ref-stephens1986"/>
    <w:p>
      <w:pPr>
        <w:pStyle w:val="Bibliography"/>
      </w:pPr>
      <w:r>
        <w:t xml:space="preserve">Stephens, David W., and John R. Krebs. 1986.</w:t>
      </w:r>
      <w:r>
        <w:t xml:space="preserve"> </w:t>
      </w:r>
      <w:r>
        <w:rPr>
          <w:iCs/>
          <w:i/>
        </w:rPr>
        <w:t xml:space="preserve">Foraging</w:t>
      </w:r>
      <w:r>
        <w:rPr>
          <w:iCs/>
          <w:i/>
        </w:rPr>
        <w:t xml:space="preserve"> </w:t>
      </w:r>
      <w:r>
        <w:rPr>
          <w:iCs/>
          <w:i/>
        </w:rPr>
        <w:t xml:space="preserve">Theory</w:t>
      </w:r>
      <w:r>
        <w:t xml:space="preserve">. Vol. 1.</w:t>
      </w:r>
      <w:r>
        <w:t xml:space="preserve"> </w:t>
      </w:r>
      <w:r>
        <w:t xml:space="preserve">Princeton University Press</w:t>
      </w:r>
      <w:r>
        <w:t xml:space="preserve">.</w:t>
      </w:r>
      <w:r>
        <w:t xml:space="preserve"> </w:t>
      </w:r>
      <w:hyperlink r:id="rId118">
        <w:r>
          <w:rPr>
            <w:rStyle w:val="Hyperlink"/>
          </w:rPr>
          <w:t xml:space="preserve">https://doi.org/10.2307/j.ctvs32s6b</w:t>
        </w:r>
      </w:hyperlink>
      <w:r>
        <w:t xml:space="preserve">.</w:t>
      </w:r>
    </w:p>
    <w:bookmarkEnd w:id="119"/>
    <w:bookmarkStart w:id="121" w:name="ref-szopa-comley.ioannou2022"/>
    <w:p>
      <w:pPr>
        <w:pStyle w:val="Bibliography"/>
      </w:pPr>
      <w:r>
        <w:t xml:space="preserve">Szopa-Comley, Andrew W., and Christos C. Ioannou. 2022.</w:t>
      </w:r>
      <w:r>
        <w:t xml:space="preserve"> </w:t>
      </w:r>
      <w:r>
        <w:t xml:space="preserve">“Responsive</w:t>
      </w:r>
      <w:r>
        <w:t xml:space="preserve"> </w:t>
      </w:r>
      <w:r>
        <w:t xml:space="preserve">Robotic Prey Reveal How Predators Adapt</w:t>
      </w:r>
      <w:r>
        <w:t xml:space="preserve"> </w:t>
      </w:r>
      <w:r>
        <w:t xml:space="preserve">to</w:t>
      </w:r>
      <w:r>
        <w:t xml:space="preserve"> </w:t>
      </w:r>
      <w:r>
        <w:t xml:space="preserve">Predictability</w:t>
      </w:r>
      <w:r>
        <w:t xml:space="preserve"> </w:t>
      </w:r>
      <w:r>
        <w:t xml:space="preserve">in</w:t>
      </w:r>
      <w:r>
        <w:t xml:space="preserve"> </w:t>
      </w:r>
      <w:r>
        <w:t xml:space="preserve">Escape Tactics</w:t>
      </w:r>
      <w:r>
        <w:t xml:space="preserve">.”</w:t>
      </w:r>
      <w:r>
        <w:t xml:space="preserve"> </w:t>
      </w:r>
      <w:r>
        <w:rPr>
          <w:iCs/>
          <w:i/>
        </w:rPr>
        <w:t xml:space="preserve">Proceedings of the National Academy of Sciences</w:t>
      </w:r>
      <w:r>
        <w:t xml:space="preserve"> </w:t>
      </w:r>
      <w:r>
        <w:t xml:space="preserve">119 (23): e2117858119.</w:t>
      </w:r>
      <w:r>
        <w:t xml:space="preserve"> </w:t>
      </w:r>
      <w:hyperlink r:id="rId120">
        <w:r>
          <w:rPr>
            <w:rStyle w:val="Hyperlink"/>
          </w:rPr>
          <w:t xml:space="preserve">https://doi.org/10.1073/pnas.2117858119</w:t>
        </w:r>
      </w:hyperlink>
      <w:r>
        <w:t xml:space="preserve">.</w:t>
      </w:r>
    </w:p>
    <w:bookmarkEnd w:id="121"/>
    <w:bookmarkStart w:id="122" w:name="ref-StanDevelopmentTeam2023"/>
    <w:p>
      <w:pPr>
        <w:pStyle w:val="Bibliography"/>
      </w:pPr>
      <w:r>
        <w:t xml:space="preserve">Team, Stan Development.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22"/>
    <w:bookmarkStart w:id="124" w:name="ref-tinker.etal2008"/>
    <w:p>
      <w:pPr>
        <w:pStyle w:val="Bibliography"/>
      </w:pPr>
      <w:r>
        <w:t xml:space="preserve">Tinker, M. Tim, Gena Bentall, and James A. Estes. 2008.</w:t>
      </w:r>
      <w:r>
        <w:t xml:space="preserve"> </w:t>
      </w:r>
      <w:r>
        <w:t xml:space="preserve">“Food</w:t>
      </w:r>
      <w:r>
        <w:t xml:space="preserve"> </w:t>
      </w:r>
      <w:r>
        <w:t xml:space="preserve">Limitation Leads</w:t>
      </w:r>
      <w:r>
        <w:t xml:space="preserve"> </w:t>
      </w:r>
      <w:r>
        <w:t xml:space="preserve">to</w:t>
      </w:r>
      <w:r>
        <w:t xml:space="preserve"> </w:t>
      </w:r>
      <w:r>
        <w:t xml:space="preserve">Behavioral Diversification</w:t>
      </w:r>
      <w:r>
        <w:t xml:space="preserve"> </w:t>
      </w:r>
      <w:r>
        <w:t xml:space="preserve">and</w:t>
      </w:r>
      <w:r>
        <w:t xml:space="preserve"> </w:t>
      </w:r>
      <w:r>
        <w:t xml:space="preserve">Dietary Specialization</w:t>
      </w:r>
      <w:r>
        <w:t xml:space="preserve"> </w:t>
      </w:r>
      <w:r>
        <w:t xml:space="preserve">in</w:t>
      </w:r>
      <w:r>
        <w:t xml:space="preserve"> </w:t>
      </w:r>
      <w:r>
        <w:t xml:space="preserve">Sea Otters</w:t>
      </w:r>
      <w:r>
        <w:t xml:space="preserve">.”</w:t>
      </w:r>
      <w:r>
        <w:t xml:space="preserve"> </w:t>
      </w:r>
      <w:r>
        <w:rPr>
          <w:iCs/>
          <w:i/>
        </w:rPr>
        <w:t xml:space="preserve">Proceedings of the National Academy of Sciences</w:t>
      </w:r>
      <w:r>
        <w:t xml:space="preserve"> </w:t>
      </w:r>
      <w:r>
        <w:t xml:space="preserve">105 (2): 560–65.</w:t>
      </w:r>
      <w:r>
        <w:t xml:space="preserve"> </w:t>
      </w:r>
      <w:hyperlink r:id="rId123">
        <w:r>
          <w:rPr>
            <w:rStyle w:val="Hyperlink"/>
          </w:rPr>
          <w:t xml:space="preserve">https://doi.org/10.1073/pnas.0709263105</w:t>
        </w:r>
      </w:hyperlink>
      <w:r>
        <w:t xml:space="preserve">.</w:t>
      </w:r>
    </w:p>
    <w:bookmarkEnd w:id="124"/>
    <w:bookmarkStart w:id="125" w:name="ref-tinker.etal2009"/>
    <w:p>
      <w:pPr>
        <w:pStyle w:val="Bibliography"/>
      </w:pPr>
      <w:r>
        <w:t xml:space="preserve">Tinker, M. Tim, Marc Mangel, and James A. Estes. 2009.</w:t>
      </w:r>
      <w:r>
        <w:t xml:space="preserve"> </w:t>
      </w:r>
      <w:r>
        <w:t xml:space="preserve">“Learning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w:t>
      </w:r>
      <w:r>
        <w:t xml:space="preserve"> </w:t>
      </w:r>
      <w:r>
        <w:rPr>
          <w:iCs/>
          <w:i/>
        </w:rPr>
        <w:t xml:space="preserve">Evolutionary Ecology Research</w:t>
      </w:r>
      <w:r>
        <w:t xml:space="preserve"> </w:t>
      </w:r>
      <w:r>
        <w:t xml:space="preserve">11 (6): 841–69.</w:t>
      </w:r>
    </w:p>
    <w:bookmarkEnd w:id="125"/>
    <w:bookmarkStart w:id="127" w:name="ref-toscano.etal2016"/>
    <w:p>
      <w:pPr>
        <w:pStyle w:val="Bibliography"/>
      </w:pPr>
      <w:r>
        <w:t xml:space="preserve">Toscano, Benjamin J., Natasha J. Gownaris, Sarah M. Heerhartz, and Cristián J. Monaco. 2016.</w:t>
      </w:r>
      <w:r>
        <w:t xml:space="preserve"> </w:t>
      </w:r>
      <w:r>
        <w:t xml:space="preserve">“Personality,</w:t>
      </w:r>
      <w:r>
        <w:t xml:space="preserve"> </w:t>
      </w:r>
      <w:r>
        <w:t xml:space="preserve">Foraging Behavior</w:t>
      </w:r>
      <w:r>
        <w:t xml:space="preserve"> </w:t>
      </w:r>
      <w:r>
        <w:t xml:space="preserve">and</w:t>
      </w:r>
      <w:r>
        <w:t xml:space="preserve"> </w:t>
      </w:r>
      <w:r>
        <w:t xml:space="preserve">Specialization</w:t>
      </w:r>
      <w:r>
        <w:t xml:space="preserve">:</w:t>
      </w:r>
      <w:r>
        <w:t xml:space="preserve"> </w:t>
      </w:r>
      <w:r>
        <w:t xml:space="preserve">Integrating Behavioral</w:t>
      </w:r>
      <w:r>
        <w:t xml:space="preserve"> </w:t>
      </w:r>
      <w:r>
        <w:t xml:space="preserve">and</w:t>
      </w:r>
      <w:r>
        <w:t xml:space="preserve"> </w:t>
      </w:r>
      <w:r>
        <w:t xml:space="preserve">Food Web Ecology</w:t>
      </w:r>
      <w:r>
        <w:t xml:space="preserve"> </w:t>
      </w:r>
      <w:r>
        <w:t xml:space="preserve">at the</w:t>
      </w:r>
      <w:r>
        <w:t xml:space="preserve"> </w:t>
      </w:r>
      <w:r>
        <w:t xml:space="preserve">Individual Level</w:t>
      </w:r>
      <w:r>
        <w:t xml:space="preserve">.”</w:t>
      </w:r>
      <w:r>
        <w:t xml:space="preserve"> </w:t>
      </w:r>
      <w:r>
        <w:rPr>
          <w:iCs/>
          <w:i/>
        </w:rPr>
        <w:t xml:space="preserve">Oecologia</w:t>
      </w:r>
      <w:r>
        <w:t xml:space="preserve"> </w:t>
      </w:r>
      <w:r>
        <w:t xml:space="preserve">182 (1): 55–69.</w:t>
      </w:r>
      <w:r>
        <w:t xml:space="preserve"> </w:t>
      </w:r>
      <w:hyperlink r:id="rId126">
        <w:r>
          <w:rPr>
            <w:rStyle w:val="Hyperlink"/>
          </w:rPr>
          <w:t xml:space="preserve">https://doi.org/10.1007/s00442-016-3648-8</w:t>
        </w:r>
      </w:hyperlink>
      <w:r>
        <w:t xml:space="preserve">.</w:t>
      </w:r>
    </w:p>
    <w:bookmarkEnd w:id="127"/>
    <w:bookmarkStart w:id="129" w:name="ref-toscano2014"/>
    <w:p>
      <w:pPr>
        <w:pStyle w:val="Bibliography"/>
      </w:pPr>
      <w:r>
        <w:t xml:space="preserve">Toscano, Benjamin J., and Blaine D. Griffen. 2014.</w:t>
      </w:r>
      <w:r>
        <w:t xml:space="preserve"> </w:t>
      </w:r>
      <w:r>
        <w:t xml:space="preserve">“Trait-</w:t>
      </w:r>
      <w:r>
        <w:t xml:space="preserve">Mediated Functional Responses</w:t>
      </w:r>
      <w:r>
        <w:t xml:space="preserve">:</w:t>
      </w:r>
      <w:r>
        <w:t xml:space="preserve"> </w:t>
      </w:r>
      <w:r>
        <w:t xml:space="preserve">Predator Behavioural Type Mediates Prey Consumption</w:t>
      </w:r>
      <w:r>
        <w:t xml:space="preserve">.”</w:t>
      </w:r>
      <w:r>
        <w:t xml:space="preserve"> </w:t>
      </w:r>
      <w:r>
        <w:rPr>
          <w:iCs/>
          <w:i/>
        </w:rPr>
        <w:t xml:space="preserve">Journal of Animal Ecology</w:t>
      </w:r>
      <w:r>
        <w:t xml:space="preserve"> </w:t>
      </w:r>
      <w:r>
        <w:t xml:space="preserve">83 (6): 1469–77.</w:t>
      </w:r>
      <w:r>
        <w:t xml:space="preserve"> </w:t>
      </w:r>
      <w:hyperlink r:id="rId128">
        <w:r>
          <w:rPr>
            <w:rStyle w:val="Hyperlink"/>
          </w:rPr>
          <w:t xml:space="preserve">https://doi.org/10.1111/1365-2656.12236</w:t>
        </w:r>
      </w:hyperlink>
      <w:r>
        <w:t xml:space="preserve">.</w:t>
      </w:r>
    </w:p>
    <w:bookmarkEnd w:id="129"/>
    <w:bookmarkStart w:id="131"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30">
        <w:r>
          <w:rPr>
            <w:rStyle w:val="Hyperlink"/>
          </w:rPr>
          <w:t xml:space="preserve">https://doi.org/10.1016/j.anbehav.2006.05.010</w:t>
        </w:r>
      </w:hyperlink>
      <w:r>
        <w:t xml:space="preserve">.</w:t>
      </w:r>
    </w:p>
    <w:bookmarkEnd w:id="131"/>
    <w:bookmarkStart w:id="133" w:name="ref-vandenbosch.etal2019"/>
    <w:p>
      <w:pPr>
        <w:pStyle w:val="Bibliography"/>
      </w:pPr>
      <w:r>
        <w:t xml:space="preserve">van den Bosch, Merijn, Jan M Baert, Wendt Müller, Luc Lens, and Eric W M Stienen. 2019.</w:t>
      </w:r>
      <w:r>
        <w:t xml:space="preserve"> </w:t>
      </w:r>
      <w:r>
        <w:t xml:space="preserve">“Specialization</w:t>
      </w:r>
      <w:r>
        <w:t xml:space="preserve"> </w:t>
      </w:r>
      <w:r>
        <w:t xml:space="preserve">Reduces Foraging Effort</w:t>
      </w:r>
      <w:r>
        <w:t xml:space="preserve"> </w:t>
      </w:r>
      <w:r>
        <w:t xml:space="preserve">and</w:t>
      </w:r>
      <w:r>
        <w:t xml:space="preserve"> </w:t>
      </w:r>
      <w:r>
        <w:t xml:space="preserve">Improves Breeding Performance</w:t>
      </w:r>
      <w:r>
        <w:t xml:space="preserve"> </w:t>
      </w:r>
      <w:r>
        <w:t xml:space="preserve">in a</w:t>
      </w:r>
      <w:r>
        <w:t xml:space="preserve"> </w:t>
      </w:r>
      <w:r>
        <w:t xml:space="preserve">Generalist Bird</w:t>
      </w:r>
      <w:r>
        <w:t xml:space="preserve">.”</w:t>
      </w:r>
      <w:r>
        <w:t xml:space="preserve"> </w:t>
      </w:r>
      <w:r>
        <w:rPr>
          <w:iCs/>
          <w:i/>
        </w:rPr>
        <w:t xml:space="preserve">Behavioral Ecology</w:t>
      </w:r>
      <w:r>
        <w:t xml:space="preserve"> </w:t>
      </w:r>
      <w:r>
        <w:t xml:space="preserve">30 (3): 792–800.</w:t>
      </w:r>
      <w:r>
        <w:t xml:space="preserve"> </w:t>
      </w:r>
      <w:hyperlink r:id="rId132">
        <w:r>
          <w:rPr>
            <w:rStyle w:val="Hyperlink"/>
          </w:rPr>
          <w:t xml:space="preserve">https://doi.org/10.1093/beheco/arz016</w:t>
        </w:r>
      </w:hyperlink>
      <w:r>
        <w:t xml:space="preserve">.</w:t>
      </w:r>
    </w:p>
    <w:bookmarkEnd w:id="133"/>
    <w:bookmarkStart w:id="135"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4">
        <w:r>
          <w:rPr>
            <w:rStyle w:val="Hyperlink"/>
          </w:rPr>
          <w:t xml:space="preserve">https://doi.org/10.1214/20-BA1221</w:t>
        </w:r>
      </w:hyperlink>
      <w:r>
        <w:t xml:space="preserve">.</w:t>
      </w:r>
    </w:p>
    <w:bookmarkEnd w:id="135"/>
    <w:bookmarkStart w:id="137" w:name="ref-weimerskirch2007"/>
    <w:p>
      <w:pPr>
        <w:pStyle w:val="Bibliography"/>
      </w:pPr>
      <w:r>
        <w:t xml:space="preserve">Weimerskirch, Henri. 2007.</w:t>
      </w:r>
      <w:r>
        <w:t xml:space="preserve"> </w:t>
      </w:r>
      <w:r>
        <w:t xml:space="preserve">“Are</w:t>
      </w:r>
      <w:r>
        <w:t xml:space="preserve"> </w:t>
      </w:r>
      <w:r>
        <w:t xml:space="preserve">Seabirds Foraging</w:t>
      </w:r>
      <w:r>
        <w:t xml:space="preserve"> </w:t>
      </w:r>
      <w:r>
        <w:t xml:space="preserve">for</w:t>
      </w:r>
      <w:r>
        <w:t xml:space="preserve"> </w:t>
      </w:r>
      <w:r>
        <w:t xml:space="preserve">Unpredictable Resources</w:t>
      </w:r>
      <w:r>
        <w:t xml:space="preserve">?”</w:t>
      </w:r>
      <w:r>
        <w:t xml:space="preserve"> </w:t>
      </w:r>
      <w:r>
        <w:rPr>
          <w:iCs/>
          <w:i/>
        </w:rPr>
        <w:t xml:space="preserve">Deep Sea Research Part II: Topical Studies in Oceanography</w:t>
      </w:r>
      <w:r>
        <w:t xml:space="preserve">, Bio-logging</w:t>
      </w:r>
      <w:r>
        <w:t xml:space="preserve"> </w:t>
      </w:r>
      <w:r>
        <w:t xml:space="preserve">Science</w:t>
      </w:r>
      <w:r>
        <w:t xml:space="preserve">:</w:t>
      </w:r>
      <w:r>
        <w:t xml:space="preserve"> </w:t>
      </w:r>
      <w:r>
        <w:t xml:space="preserve">Logging</w:t>
      </w:r>
      <w:r>
        <w:t xml:space="preserve"> </w:t>
      </w:r>
      <w:r>
        <w:t xml:space="preserve">and</w:t>
      </w:r>
      <w:r>
        <w:t xml:space="preserve"> </w:t>
      </w:r>
      <w:r>
        <w:t xml:space="preserve">Relaying Physical</w:t>
      </w:r>
      <w:r>
        <w:t xml:space="preserve"> </w:t>
      </w:r>
      <w:r>
        <w:t xml:space="preserve">and</w:t>
      </w:r>
      <w:r>
        <w:t xml:space="preserve"> </w:t>
      </w:r>
      <w:r>
        <w:t xml:space="preserve">Biological Data Using Animal-Attached Tags</w:t>
      </w:r>
      <w:r>
        <w:t xml:space="preserve">, 54 (3): 211–23.</w:t>
      </w:r>
      <w:r>
        <w:t xml:space="preserve"> </w:t>
      </w:r>
      <w:hyperlink r:id="rId136">
        <w:r>
          <w:rPr>
            <w:rStyle w:val="Hyperlink"/>
          </w:rPr>
          <w:t xml:space="preserve">https://doi.org/10.1016/j.dsr2.2006.11.013</w:t>
        </w:r>
      </w:hyperlink>
      <w:r>
        <w:t xml:space="preserve">.</w:t>
      </w:r>
    </w:p>
    <w:bookmarkEnd w:id="137"/>
    <w:bookmarkStart w:id="139" w:name="ref-wilson.etal2018"/>
    <w:p>
      <w:pPr>
        <w:pStyle w:val="Bibliography"/>
      </w:pPr>
      <w:r>
        <w:t xml:space="preserve">Wilson, Alan M., Tatjana Y. Hubel, Simon D. Wilshin, John C. Lowe, Maja Lorenc, Oliver P. Dewhirst, Hattie L. A. Bartlam-Brooks, et al. 2018.</w:t>
      </w:r>
      <w:r>
        <w:t xml:space="preserve"> </w:t>
      </w:r>
      <w:r>
        <w:t xml:space="preserve">“Biomechanics of</w:t>
      </w:r>
      <w:r>
        <w:t xml:space="preserve"> </w:t>
      </w:r>
      <w:r>
        <w:t xml:space="preserve">Predator-Prey Arms Race</w:t>
      </w:r>
      <w:r>
        <w:t xml:space="preserve"> </w:t>
      </w:r>
      <w:r>
        <w:t xml:space="preserve">in</w:t>
      </w:r>
      <w:r>
        <w:t xml:space="preserve"> </w:t>
      </w:r>
      <w:r>
        <w:t xml:space="preserve">Lion</w:t>
      </w:r>
      <w:r>
        <w:t xml:space="preserve">,</w:t>
      </w:r>
      <w:r>
        <w:t xml:space="preserve"> </w:t>
      </w:r>
      <w:r>
        <w:t xml:space="preserve">Zebra</w:t>
      </w:r>
      <w:r>
        <w:t xml:space="preserve">,</w:t>
      </w:r>
      <w:r>
        <w:t xml:space="preserve"> </w:t>
      </w:r>
      <w:r>
        <w:t xml:space="preserve">Cheetah</w:t>
      </w:r>
      <w:r>
        <w:t xml:space="preserve"> </w:t>
      </w:r>
      <w:r>
        <w:t xml:space="preserve">and</w:t>
      </w:r>
      <w:r>
        <w:t xml:space="preserve"> </w:t>
      </w:r>
      <w:r>
        <w:t xml:space="preserve">Impala</w:t>
      </w:r>
      <w:r>
        <w:t xml:space="preserve">.”</w:t>
      </w:r>
      <w:r>
        <w:t xml:space="preserve"> </w:t>
      </w:r>
      <w:r>
        <w:rPr>
          <w:iCs/>
          <w:i/>
        </w:rPr>
        <w:t xml:space="preserve">Nature</w:t>
      </w:r>
      <w:r>
        <w:t xml:space="preserve"> </w:t>
      </w:r>
      <w:r>
        <w:t xml:space="preserve">554 (7691): 183–88.</w:t>
      </w:r>
      <w:r>
        <w:t xml:space="preserve"> </w:t>
      </w:r>
      <w:hyperlink r:id="rId138">
        <w:r>
          <w:rPr>
            <w:rStyle w:val="Hyperlink"/>
          </w:rPr>
          <w:t xml:space="preserve">https://doi.org/10.1038/nature25479</w:t>
        </w:r>
      </w:hyperlink>
      <w:r>
        <w:t xml:space="preserve">.</w:t>
      </w:r>
    </w:p>
    <w:bookmarkEnd w:id="139"/>
    <w:bookmarkStart w:id="141"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0">
        <w:r>
          <w:rPr>
            <w:rStyle w:val="Hyperlink"/>
          </w:rPr>
          <w:t xml:space="preserve">https://doi.org/10.1111/j.1365-2656.2008.01429.x</w:t>
        </w:r>
      </w:hyperlink>
      <w:r>
        <w:t xml:space="preserve">.</w:t>
      </w:r>
    </w:p>
    <w:bookmarkEnd w:id="141"/>
    <w:bookmarkStart w:id="143"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2">
        <w:r>
          <w:rPr>
            <w:rStyle w:val="Hyperlink"/>
          </w:rPr>
          <w:t xml:space="preserve">https://doi.org/10.1016/j.tree.2023.09.012</w:t>
        </w:r>
      </w:hyperlink>
      <w:r>
        <w:t xml:space="preserve">.</w:t>
      </w:r>
    </w:p>
    <w:bookmarkEnd w:id="143"/>
    <w:bookmarkEnd w:id="144"/>
    <w:bookmarkEnd w:id="145"/>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26"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0"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36"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2"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38"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3"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2"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28"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0"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4"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26"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0"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36"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2"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38"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3"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2"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28"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0"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4"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specialization and success change across experience in a virtual predator-prey system</dc:title>
  <dc:creator/>
  <cp:keywords/>
  <dcterms:created xsi:type="dcterms:W3CDTF">2025-03-17T02:05:12Z</dcterms:created>
  <dcterms:modified xsi:type="dcterms:W3CDTF">2025-03-17T02:05:12Z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