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Prey</w:t>
      </w:r>
      <w:r>
        <w:t xml:space="preserve"> </w:t>
      </w:r>
      <w:r>
        <w:t xml:space="preserve">skill</w:t>
      </w:r>
      <w:r>
        <w:t xml:space="preserve"> </w:t>
      </w:r>
      <w:r>
        <w:t xml:space="preserve">and</w:t>
      </w:r>
      <w:r>
        <w:t xml:space="preserve"> </w:t>
      </w:r>
      <w:r>
        <w:t xml:space="preserve">behaviour</w:t>
      </w:r>
      <w:r>
        <w:t xml:space="preserve"> </w:t>
      </w:r>
      <w:r>
        <w:t xml:space="preserve">in</w:t>
      </w:r>
      <w:r>
        <w:t xml:space="preserve"> </w:t>
      </w:r>
      <w:r>
        <w:t xml:space="preserve">predator</w:t>
      </w:r>
      <w:r>
        <w:t xml:space="preserve"> </w:t>
      </w:r>
      <w:r>
        <w:t xml:space="preserve">expertise</w:t>
      </w:r>
      <w:r>
        <w:t xml:space="preserve"> </w:t>
      </w:r>
      <w:r>
        <w:t xml:space="preserve">acquisition:</w:t>
      </w:r>
      <w:r>
        <w:t xml:space="preserve"> </w:t>
      </w:r>
      <w:r>
        <w:t xml:space="preserve">insights</w:t>
      </w:r>
      <w:r>
        <w:t xml:space="preserve"> </w:t>
      </w:r>
      <w:r>
        <w:t xml:space="preserve">from</w:t>
      </w:r>
      <w:r>
        <w:t xml:space="preserve"> </w:t>
      </w:r>
      <w:r>
        <w:t xml:space="preserve">a</w:t>
      </w:r>
      <w:r>
        <w:t xml:space="preserve"> </w:t>
      </w:r>
      <w:r>
        <w:t xml:space="preserve">virtual</w:t>
      </w:r>
      <w:r>
        <w:t xml:space="preserve"> </w:t>
      </w:r>
      <w:r>
        <w:t xml:space="preserve">ecosystem</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360"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5943600"/>
            <wp:effectExtent b="0" l="0" r="0" t="0"/>
            <wp:docPr descr="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 title="" id="21" name="Picture"/>
            <a:graphic>
              <a:graphicData uri="http://schemas.openxmlformats.org/drawingml/2006/picture">
                <pic:pic>
                  <pic:nvPicPr>
                    <pic:cNvPr descr="C:/Users/User/Documents/GitHub/Chapter2/outputs/outputs_figures/figureS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S1</w:t>
      </w:r>
      <w:r>
        <w:t xml:space="preserve">.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w:t>
      </w:r>
    </w:p>
    <w:p>
      <w:pPr>
        <w:pStyle w:val="CaptionedFigure"/>
      </w:pPr>
      <w:r>
        <w:drawing>
          <wp:inline>
            <wp:extent cx="5943600" cy="2377440"/>
            <wp:effectExtent b="0" l="0" r="0" t="0"/>
            <wp:docPr descr="Figure S2.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 title="" id="24" name="Picture"/>
            <a:graphic>
              <a:graphicData uri="http://schemas.openxmlformats.org/drawingml/2006/picture">
                <pic:pic>
                  <pic:nvPicPr>
                    <pic:cNvPr descr="C:/Users/User/Documents/GitHub/Chapter2/outputs/outputs_figures/figureS2.png" id="25" name="Picture"/>
                    <pic:cNvPicPr>
                      <a:picLocks noChangeArrowheads="1" noChangeAspect="1"/>
                    </pic:cNvPicPr>
                  </pic:nvPicPr>
                  <pic:blipFill>
                    <a:blip r:embed="rId2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S2</w:t>
      </w:r>
      <w:r>
        <w:t xml:space="preserve">.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skill and behaviour in predator expertise acquisition: insights from a virtual ecosystem Appendix</dc:title>
  <dc:creator/>
  <cp:keywords/>
  <dcterms:created xsi:type="dcterms:W3CDTF">2025-08-22T22:30:31Z</dcterms:created>
  <dcterms:modified xsi:type="dcterms:W3CDTF">2025-08-22T22:30:31Z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