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Prey</w:t>
      </w:r>
      <w:r>
        <w:t xml:space="preserve"> </w:t>
      </w:r>
      <w:r>
        <w:t xml:space="preserve">movement</w:t>
      </w:r>
      <w:r>
        <w:t xml:space="preserve"> </w:t>
      </w:r>
      <w:r>
        <w:t xml:space="preserve">shapes</w:t>
      </w:r>
      <w:r>
        <w:t xml:space="preserve"> </w:t>
      </w:r>
      <w:r>
        <w:t xml:space="preserve">the</w:t>
      </w:r>
      <w:r>
        <w:t xml:space="preserve"> </w:t>
      </w:r>
      <w:r>
        <w:t xml:space="preserve">development</w:t>
      </w:r>
      <w:r>
        <w:t xml:space="preserve"> </w:t>
      </w:r>
      <w:r>
        <w:t xml:space="preserve">of</w:t>
      </w:r>
      <w:r>
        <w:t xml:space="preserve"> </w:t>
      </w:r>
      <w:r>
        <w:t xml:space="preserve">predator</w:t>
      </w:r>
      <w:r>
        <w:t xml:space="preserve"> </w:t>
      </w:r>
      <w:r>
        <w:t xml:space="preserve">expertise</w:t>
      </w:r>
      <w:r>
        <w:t xml:space="preserve"> </w:t>
      </w:r>
      <w:r>
        <w:t xml:space="preserve">in</w:t>
      </w:r>
      <w:r>
        <w:t xml:space="preserve"> </w:t>
      </w:r>
      <w:r>
        <w:t xml:space="preserve">a</w:t>
      </w:r>
      <w:r>
        <w:t xml:space="preserve"> </w:t>
      </w:r>
      <w:r>
        <w:t xml:space="preserve">virtual</w:t>
      </w:r>
      <w:r>
        <w:t xml:space="preserve"> </w:t>
      </w:r>
      <w:r>
        <w:t xml:space="preserve">bi-trophic</w:t>
      </w:r>
      <w:r>
        <w:t xml:space="preserve"> </w:t>
      </w:r>
      <w:r>
        <w:t xml:space="preserve">system:</w:t>
      </w:r>
      <w:r>
        <w:br/>
      </w:r>
      <w:r>
        <w:t xml:space="preserve">Appendix</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Fixed effects table comparing the success of random groups of players with different amounts of matches played to the group presented in the main text.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47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lower 89%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upper 89% CI</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game duration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r>
      <w:tr>
        <w:trPr>
          <w:trHeight w:val="360"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Group 1: &lt;50 matches, Group 2: between 50 and 99 matches, Group 3: between 100 and 299 matches, Group 4: &gt; 299 (i.e. group in the main text)</w:t>
            </w:r>
          </w:p>
        </w:tc>
      </w:tr>
    </w:tbl>
    <w:p>
      <w:r>
        <w:br w:type="page"/>
      </w:r>
    </w:p>
    <w:p>
      <w:pPr>
        <w:pStyle w:val="CaptionedFigure"/>
      </w:pPr>
      <w:r>
        <w:drawing>
          <wp:inline>
            <wp:extent cx="5943600" cy="5943600"/>
            <wp:effectExtent b="0" l="0" r="0" t="0"/>
            <wp:docPr descr="Figure S1. Posterior distributions of the median hunting success per group of players. The values were back transformed to probability scale and can be interpreted as the probability of capturing the four prey. Group 1: &lt;50 matches, Group 2: between 50 and 99 matches, Group 3: between 100 and 299 matches, Group 4: &gt; 299 (i.e. group in the main text)." title="" id="21" name="Picture"/>
            <a:graphic>
              <a:graphicData uri="http://schemas.openxmlformats.org/drawingml/2006/picture">
                <pic:pic>
                  <pic:nvPicPr>
                    <pic:cNvPr descr="../outputs/outputs_figures/figureS1.png" id="22" name="Picture"/>
                    <pic:cNvPicPr>
                      <a:picLocks noChangeArrowheads="1" noChangeAspect="1"/>
                    </pic:cNvPicPr>
                  </pic:nvPicPr>
                  <pic:blipFill>
                    <a:blip r:embed="rId2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S1. Posterior distributions of the median hunting success per group of players. The values were back transformed to probability scale and can be interpreted as the probability of capturing the four prey. Group 1: &lt;50 matches, Group 2: between 50 and 99 matches, Group 3: between 100 and 299 matches, Group 4: &gt; 299 (i.e. group in the main text).</w:t>
      </w:r>
    </w:p>
    <w:p>
      <w:pPr>
        <w:pStyle w:val="CaptionedFigure"/>
      </w:pPr>
      <w:r>
        <w:drawing>
          <wp:inline>
            <wp:extent cx="5943600" cy="5943600"/>
            <wp:effectExtent b="0" l="0" r="0" t="0"/>
            <wp:docPr descr="Figure S2. Median posterior predictions of the relationship between hunting success (i.e. the probability of capturing the four prey) and the average speed of the prey group. The black line represents the median posterior predictions, and the gray band the the 89% compatibility interval. The predictions are from the model with the highest predictive accuracy (see Table 1 in main text)." title="" id="24" name="Picture"/>
            <a:graphic>
              <a:graphicData uri="http://schemas.openxmlformats.org/drawingml/2006/picture">
                <pic:pic>
                  <pic:nvPicPr>
                    <pic:cNvPr descr="../outputs/outputs_figures/figureS2.png" id="25" name="Picture"/>
                    <pic:cNvPicPr>
                      <a:picLocks noChangeArrowheads="1" noChangeAspect="1"/>
                    </pic:cNvPicPr>
                  </pic:nvPicPr>
                  <pic:blipFill>
                    <a:blip r:embed="rId2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S2. Median posterior predictions of the relationship between hunting success (i.e. the probability of capturing the four prey) and the average speed of the prey group. The black line represents the median posterior predictions, and the gray band the the 89% compatibility interval. The predictions are from the model with the highest predictive accuracy (see Table 1 in main text).</w:t>
      </w:r>
    </w:p>
    <w:sectPr w:rsidR="009D37A7" w:rsidSect="00185AC2">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Prey movement shapes the development of predator expertise in a virtual bi-trophic system: Appendix</dc:title>
  <dc:creator/>
  <cp:keywords/>
  <dcterms:created xsi:type="dcterms:W3CDTF">2024-07-10T12:02:15Z</dcterms:created>
  <dcterms:modified xsi:type="dcterms:W3CDTF">2024-07-10T12:02:15Z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chicago-author-date.csl</vt:lpwstr>
  </property>
  <property fmtid="{D5CDD505-2E9C-101B-9397-08002B2CF9AE}" pid="3" name="output">
    <vt:lpwstr/>
  </property>
</Properties>
</file>