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Implications</w:t>
      </w:r>
      <w:r>
        <w:t xml:space="preserve"> </w:t>
      </w:r>
      <w:r>
        <w:t xml:space="preserve">of</w:t>
      </w:r>
      <w:r>
        <w:t xml:space="preserve"> </w:t>
      </w:r>
      <w:r>
        <w:t xml:space="preserve">prey</w:t>
      </w:r>
      <w:r>
        <w:t xml:space="preserve"> </w:t>
      </w:r>
      <w:r>
        <w:t xml:space="preserve">skill</w:t>
      </w:r>
      <w:r>
        <w:t xml:space="preserve"> </w:t>
      </w:r>
      <w:r>
        <w:t xml:space="preserve">and</w:t>
      </w:r>
      <w:r>
        <w:t xml:space="preserve"> </w:t>
      </w:r>
      <w:r>
        <w:t xml:space="preserve">antipredator</w:t>
      </w:r>
      <w:r>
        <w:t xml:space="preserve"> </w:t>
      </w:r>
      <w:r>
        <w:t xml:space="preserve">behaviour</w:t>
      </w:r>
      <w:r>
        <w:t xml:space="preserve"> </w:t>
      </w:r>
      <w:r>
        <w:t xml:space="preserve">in</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a</w:t>
      </w:r>
      <w:r>
        <w:t xml:space="preserve"> </w:t>
      </w:r>
      <w:r>
        <w:t xml:space="preserve">virtual</w:t>
      </w:r>
      <w:r>
        <w:t xml:space="preserve"> </w:t>
      </w:r>
      <w:r>
        <w:t xml:space="preserve">ecological</w:t>
      </w:r>
      <w:r>
        <w:t xml:space="preserve"> </w:t>
      </w:r>
      <w:r>
        <w:t xml:space="preserve">study</w:t>
      </w:r>
      <w:r>
        <w:br/>
      </w:r>
      <w:r>
        <w:t xml:space="preserve">Appendix</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comparing the success of random groups of players with different amounts of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89%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89%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360"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5943600"/>
            <wp:effectExtent b="0" l="0" r="0" t="0"/>
            <wp:docPr descr="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 title="" id="21" name="Picture"/>
            <a:graphic>
              <a:graphicData uri="http://schemas.openxmlformats.org/drawingml/2006/picture">
                <pic:pic>
                  <pic:nvPicPr>
                    <pic:cNvPr descr="C:/Users/User/Documents/GitHub/Chapter2/outputs/outputs_figures/figureS1.png" id="22"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S1</w:t>
      </w:r>
      <w:r>
        <w:t xml:space="preserve">.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w:t>
      </w:r>
    </w:p>
    <w:p>
      <w:pPr>
        <w:pStyle w:val="CaptionedFigure"/>
      </w:pPr>
      <w:r>
        <w:drawing>
          <wp:inline>
            <wp:extent cx="5943600" cy="2377440"/>
            <wp:effectExtent b="0" l="0" r="0" t="0"/>
            <wp:docPr descr="Figure S2. Median posterior predictions of the acquisition of predator hunting expertise for model I where we control for the game duration exclusively (no prey features). The predators’ hunting success (i.e., the probability of consuming the four prey) is on the y-axis, and the predators’ cumulative experience (i.e., the number of matches played before each observation) is on the x-axis. Panel A shows the acquisition of expertise for the average individual. Panel B shows among individual differences in the acquisition of expertise, with each curve representing an individual predator." title="" id="24" name="Picture"/>
            <a:graphic>
              <a:graphicData uri="http://schemas.openxmlformats.org/drawingml/2006/picture">
                <pic:pic>
                  <pic:nvPicPr>
                    <pic:cNvPr descr="C:/Users/User/Documents/GitHub/Chapter2/outputs/outputs_figures/figureS2.png" id="25" name="Picture"/>
                    <pic:cNvPicPr>
                      <a:picLocks noChangeArrowheads="1" noChangeAspect="1"/>
                    </pic:cNvPicPr>
                  </pic:nvPicPr>
                  <pic:blipFill>
                    <a:blip r:embed="rId23"/>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S2</w:t>
      </w:r>
      <w:r>
        <w:t xml:space="preserve">. Median posterior predictions of the acquisition of predator hunting expertise for model I where we control for the game duration exclusively (no prey features). The predators’ hunting success (i.e., the probability of consuming the four prey) is on the y-axis, and the predators’ cumulative experience (i.e., the number of matches played before each observation) is on the x-axis. Panel A shows the acquisition of expertise for the average individual. Panel B shows among individual differences in the acquisition of expertise, with each curve representing an individual predator.</w:t>
      </w:r>
    </w:p>
    <w:p>
      <w:pPr>
        <w:pStyle w:val="CaptionedFigure"/>
      </w:pPr>
      <w:r>
        <w:drawing>
          <wp:inline>
            <wp:extent cx="5943600" cy="2377440"/>
            <wp:effectExtent b="0" l="0" r="0" t="0"/>
            <wp:docPr descr="Figure S3. Median posterior predictions of the relationship between hunting success (i.e. the probability of capturing the four prey) and the average speed (A) and average space coverage (B) of the prey group. The black line represents the median posterior predictions, and the gray band the the 89% compatibility interval. The predictions are from the model with the highest predictive accuracy (see Table 1 in main text)." title="" id="27" name="Picture"/>
            <a:graphic>
              <a:graphicData uri="http://schemas.openxmlformats.org/drawingml/2006/picture">
                <pic:pic>
                  <pic:nvPicPr>
                    <pic:cNvPr descr="C:/Users/User/Documents/GitHub/Chapter2/outputs/outputs_figures/figureS3.png" id="28" name="Picture"/>
                    <pic:cNvPicPr>
                      <a:picLocks noChangeArrowheads="1" noChangeAspect="1"/>
                    </pic:cNvPicPr>
                  </pic:nvPicPr>
                  <pic:blipFill>
                    <a:blip r:embed="rId26"/>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S3</w:t>
      </w:r>
      <w:r>
        <w:t xml:space="preserve">. Median posterior predictions of the relationship between hunting success (i.e. the probability of capturing the four prey) and the average speed (A) and average space coverage (B) of the prey group. The black line represents the median posterior predictions, and the gray band the the 89% compatibility interval. The predictions are from the model with the highest predictive accuracy (see Table 1 in main text).</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prey skill and antipredator behaviour in the acquisition of predator expertise: a virtual ecological study Appendix</dc:title>
  <dc:creator/>
  <cp:keywords/>
  <dcterms:created xsi:type="dcterms:W3CDTF">2025-08-20T15:58:07Z</dcterms:created>
  <dcterms:modified xsi:type="dcterms:W3CDTF">2025-08-20T15:58:07Z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output">
    <vt:lpwstr/>
  </property>
</Properties>
</file>