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do so, predators need to hone their skills and acquire knowledge through repeated and extensive practice. Recent studies suggest that such acquisition of expertise may not follow expected patterns when prey use antipredator tactics to evade detection and pursuit. Such tactics may even impair the acquisition of predator expertise.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Predation is a fundamental biological process driving ecosystem functioning. Recent advances in our understanding of the mechanisms (e.g. foraging mode, reciprocal plasticity, size-dependent foraging) driving predator foraging success at the individual and population level have allowed ecologists to predict their consequences on prey behaviour and population dynamics</w:t>
      </w:r>
      <w:r>
        <w:t xml:space="preserve"> </w:t>
      </w:r>
      <w:r>
        <w:t xml:space="preserve">(Peckarsky et al. 2008; Gravel et al. 2013; Wirsing et al. 2021)</w:t>
      </w:r>
      <w:r>
        <w:t xml:space="preserve">. Prey typically respond to predation by managing tradeoffs between vigilance and foraging depending on the type of predation regime</w:t>
      </w:r>
      <w:r>
        <w:t xml:space="preserve"> </w:t>
      </w:r>
      <w:r>
        <w:t xml:space="preserve">(Preisser, Orrock, and Schmitz 2007)</w:t>
      </w:r>
      <w:r>
        <w:t xml:space="preserve">. Such prey antipredator resonses are hypothesized to drive differences among predators in their hunting success by disrupting the acquisition of hunting expertise</w:t>
      </w:r>
      <w:r>
        <w:t xml:space="preserve"> </w:t>
      </w:r>
      <w:r>
        <w:t xml:space="preserve">(Wooster et al. 2023)</w:t>
      </w:r>
      <w:r>
        <w:t xml:space="preserve">, which is deemed essential for many predators to reach adulthood and survive</w:t>
      </w:r>
      <w:r>
        <w:t xml:space="preserve"> </w:t>
      </w:r>
      <w:r>
        <w:t xml:space="preserve">(Woo et al. 2008; Wooster et al. 2023)</w:t>
      </w:r>
      <w:r>
        <w:t xml:space="preserve">.</w:t>
      </w:r>
    </w:p>
    <w:p>
      <w:pPr>
        <w:pStyle w:val="BodyText"/>
      </w:pPr>
      <w:r>
        <w:t xml:space="preserve">Expertise can be defined as the characteristics, skills, and knowledge allowing individuals with extensive practice to outperform novices on complex tasks</w:t>
      </w:r>
      <w:r>
        <w:t xml:space="preserve"> </w:t>
      </w:r>
      <w:r>
        <w:t xml:space="preserve">(Dukas 2017)</w:t>
      </w:r>
      <w:r>
        <w:t xml:space="preserve">. In the context of hunting, predators need to acquire expertise by practicing and learning the proper skills to successfully locate, select, and capture their prey.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with potential consequences for predator-prey dynamics</w:t>
      </w:r>
      <w:r>
        <w:t xml:space="preserve"> </w:t>
      </w:r>
      <w:r>
        <w:t xml:space="preserve">(Wooster et al. 2023)</w:t>
      </w:r>
      <w:r>
        <w:t xml:space="preserve">.</w:t>
      </w:r>
    </w:p>
    <w:p>
      <w:pPr>
        <w:pStyle w:val="BodyText"/>
      </w:pPr>
      <w:r>
        <w:t xml:space="preserve">Prey are known to use evasive tactics such as rapid escapes and movements to avoid being captured</w:t>
      </w:r>
      <w:r>
        <w:t xml:space="preserve"> </w:t>
      </w:r>
      <w:r>
        <w:t xml:space="preserve">(Walker et al. 2005; Kelley and Magurran 2011; Herbert-Read et al. 2017)</w:t>
      </w:r>
      <w:r>
        <w:t xml:space="preserve">, compelling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There is only scarce evidence showing links between prey antipredator strategies and the development of expertise in human and nonhuman predators. Experimental studies have shown that certain camouflage strategies in prey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coloration interfered with the formation of search images in human subjects, hindering improvement in detection times after repeated attempts. Given these examples, antipredator behaviour may also hold the potential to hinder the development of predator expertise.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need to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the predator population develops its hunting expertise.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t xml:space="preserve">Predators usually optimize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due to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Encountering faster prey led to more difficult encounters for predators.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could explain why the relationship was concave in the model where we did not account for prey speed, because the prey were probably increasing their speed as they gained experience. Because the matchmaking algorithm pairs players based on their skill, experienced predators were probably encountering prey moving at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Individual predator players probably differed in their capacity to adjust to difficult prey. Animals are expected to have limited attention that constrain diet choice and image search formation</w:t>
      </w:r>
      <w:r>
        <w:t xml:space="preserve"> </w:t>
      </w:r>
      <w:r>
        <w:t xml:space="preserve">(Dukas and Kamil 2001)</w:t>
      </w:r>
      <w:r>
        <w:t xml:space="preserve">. Moreover, hunting faster prey requires specialized cognitive abilities and coordination that are energetically costly</w:t>
      </w:r>
      <w:r>
        <w:t xml:space="preserve"> </w:t>
      </w:r>
      <w:r>
        <w:t xml:space="preserve">(Kelley and Magurran 2011)</w:t>
      </w:r>
      <w:r>
        <w:t xml:space="preserve">. Thus, predators that couldn’t develop counter-strategies to detect or chase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suggest that prey antipredator behaviour can also impair predator expertise acquisition, with potential implications for predator-prey dynamics.</w:t>
      </w:r>
    </w:p>
    <w:p>
      <w:pPr>
        <w:pStyle w:val="BodyText"/>
      </w:pPr>
      <w:r>
        <w:t xml:space="preserve">Despite adjusting for the prey’s speed, discernible variations in expertise acquisition among predator players persisted, indicating the possible influence of other factors. It is hypothesized that longer time intervals between hunting events can hinder or delay the acquisition of expertise because individuals may forget information when delays are longer</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 Another potential reason why differences among individuals persisted is that the life of neither the predator nor the prey players are at stake in</w:t>
      </w:r>
      <w:r>
        <w:t xml:space="preserve"> </w:t>
      </w:r>
      <w:r>
        <w:rPr>
          <w:iCs/>
          <w:i/>
        </w:rPr>
        <w:t xml:space="preserve">DBD</w:t>
      </w:r>
      <w:r>
        <w:t xml:space="preserve">, such that emerging patterns could be driven by their motivation to win and not</w:t>
      </w:r>
      <w:r>
        <w:t xml:space="preserve"> </w:t>
      </w:r>
      <w:r>
        <w:t xml:space="preserve">“</w:t>
      </w:r>
      <w:r>
        <w:t xml:space="preserve">true</w:t>
      </w:r>
      <w:r>
        <w:t xml:space="preserve">”</w:t>
      </w:r>
      <w:r>
        <w:t xml:space="preserve"> </w:t>
      </w:r>
      <w:r>
        <w:t xml:space="preserve">survival. For example, some players could experiment with the game out of boredom, which could impede ecologically realistic interpretations of our data. Lastly, the prey can be consumed in a match but carry that experience on to the next round without any penalty. Thus, interpretations of our results must be made with these caveats in mind.</w:t>
      </w:r>
      <w:r>
        <w:t xml:space="preserve"> </w:t>
      </w:r>
      <w:r>
        <w:rPr>
          <w:bCs/>
          <w:b/>
        </w:rPr>
        <w:t xml:space="preserve">inclure l’idée du prédateur qui peut aussi driver ça</w:t>
      </w:r>
    </w:p>
    <w:bookmarkStart w:id="44" w:name="conclusions"/>
    <w:p>
      <w:pPr>
        <w:pStyle w:val="Heading2"/>
      </w:pPr>
      <w:r>
        <w:t xml:space="preserve">Conclusions</w:t>
      </w:r>
    </w:p>
    <w:p>
      <w:pPr>
        <w:pStyle w:val="FirstParagraph"/>
      </w:pPr>
      <w:r>
        <w:t xml:space="preserve">We found support of our hypothesis that prey antipredator behaviour was driving individual differences in expertise in a predator population. Our results suggest that predators gained expertise, as their success increased wit extensive practice, but that prey speed impaired expertise acquisition. Future analyses should investigate how efficient antipredator tactics are associated with prey experience, as this may reveal important insights on the eco-evolutionary dynamics of predator prey interactions. Lastly, virtual systems are increasingly used as systems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4"/>
    <w:bookmarkEnd w:id="45"/>
    <w:bookmarkStart w:id="120" w:name="references"/>
    <w:p>
      <w:pPr>
        <w:pStyle w:val="Heading1"/>
      </w:pPr>
      <w:r>
        <w:t xml:space="preserve">REFERENCES</w:t>
      </w:r>
    </w:p>
    <w:bookmarkStart w:id="11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4">
        <w:r>
          <w:rPr>
            <w:rStyle w:val="Hyperlink"/>
          </w:rPr>
          <w:t xml:space="preserve">https://doi.org/10.1098/rstb.2016.0427</w:t>
        </w:r>
      </w:hyperlink>
      <w:r>
        <w:t xml:space="preserve">.</w:t>
      </w:r>
    </w:p>
    <w:bookmarkEnd w:id="55"/>
    <w:bookmarkStart w:id="57"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w:t>
      </w:r>
      <w:r>
        <w:t xml:space="preserve"> </w:t>
      </w:r>
      <w:r>
        <w:t xml:space="preserve">“</w:t>
      </w:r>
      <w:r>
        <w:t xml:space="preserve">Limited attention: the constraint underlying search image</w:t>
      </w:r>
      <w:r>
        <w:t xml:space="preserve">.”</w:t>
      </w:r>
      <w:r>
        <w:t xml:space="preserve"> </w:t>
      </w:r>
      <w:r>
        <w:rPr>
          <w:iCs/>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2"/>
    <w:bookmarkStart w:id="64"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5"/>
    <w:bookmarkStart w:id="67"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66">
        <w:r>
          <w:rPr>
            <w:rStyle w:val="Hyperlink"/>
          </w:rPr>
          <w:t xml:space="preserve">https://doi.org/10.1111/2041-210X.12103</w:t>
        </w:r>
      </w:hyperlink>
      <w:r>
        <w:t xml:space="preserve">.</w:t>
      </w:r>
    </w:p>
    <w:bookmarkEnd w:id="67"/>
    <w:bookmarkStart w:id="69"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8">
        <w:r>
          <w:rPr>
            <w:rStyle w:val="Hyperlink"/>
          </w:rPr>
          <w:t xml:space="preserve">https://doi.org/10.1242/jeb.154534</w:t>
        </w:r>
      </w:hyperlink>
      <w:r>
        <w:t xml:space="preserve">.</w:t>
      </w:r>
    </w:p>
    <w:bookmarkEnd w:id="69"/>
    <w:bookmarkStart w:id="71"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0">
        <w:r>
          <w:rPr>
            <w:rStyle w:val="Hyperlink"/>
          </w:rPr>
          <w:t xml:space="preserve">https://doi.org/10.1098/rspb.2017.2182</w:t>
        </w:r>
      </w:hyperlink>
      <w:r>
        <w:t xml:space="preserve">.</w:t>
      </w:r>
    </w:p>
    <w:bookmarkEnd w:id="71"/>
    <w:bookmarkStart w:id="73"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2">
        <w:r>
          <w:rPr>
            <w:rStyle w:val="Hyperlink"/>
          </w:rPr>
          <w:t xml:space="preserve">https://doi.org/10.1002/9781444342536.ch3</w:t>
        </w:r>
      </w:hyperlink>
      <w:r>
        <w:t xml:space="preserve">.</w:t>
      </w:r>
    </w:p>
    <w:bookmarkEnd w:id="73"/>
    <w:bookmarkStart w:id="75"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4">
        <w:r>
          <w:rPr>
            <w:rStyle w:val="Hyperlink"/>
          </w:rPr>
          <w:t xml:space="preserve">https://doi.org/10.1073/pnas.2217973120</w:t>
        </w:r>
      </w:hyperlink>
      <w:r>
        <w:t xml:space="preserve">.</w:t>
      </w:r>
    </w:p>
    <w:bookmarkEnd w:id="75"/>
    <w:bookmarkStart w:id="77"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6">
        <w:r>
          <w:rPr>
            <w:rStyle w:val="Hyperlink"/>
          </w:rPr>
          <w:t xml:space="preserve">https://doi.org/10.1007/s12110-007-9019-8</w:t>
        </w:r>
      </w:hyperlink>
      <w:r>
        <w:t xml:space="preserve">.</w:t>
      </w:r>
    </w:p>
    <w:bookmarkEnd w:id="77"/>
    <w:bookmarkStart w:id="79"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78">
        <w:r>
          <w:rPr>
            <w:rStyle w:val="Hyperlink"/>
          </w:rPr>
          <w:t xml:space="preserve">https://doi.org/10.1111/oik.08143</w:t>
        </w:r>
      </w:hyperlink>
      <w:r>
        <w:t xml:space="preserve">.</w:t>
      </w:r>
    </w:p>
    <w:bookmarkEnd w:id="79"/>
    <w:bookmarkStart w:id="81"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0">
        <w:r>
          <w:rPr>
            <w:rStyle w:val="Hyperlink"/>
          </w:rPr>
          <w:t xml:space="preserve">https://doi.org/10.1006/anbe.2000.1546</w:t>
        </w:r>
      </w:hyperlink>
      <w:r>
        <w:t xml:space="preserve">.</w:t>
      </w:r>
    </w:p>
    <w:bookmarkEnd w:id="81"/>
    <w:bookmarkStart w:id="83"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82">
        <w:r>
          <w:rPr>
            <w:rStyle w:val="Hyperlink"/>
          </w:rPr>
          <w:t xml:space="preserve">https://doi.org/10.1890/07-1131.1</w:t>
        </w:r>
      </w:hyperlink>
      <w:r>
        <w:t xml:space="preserve">.</w:t>
      </w:r>
    </w:p>
    <w:bookmarkEnd w:id="83"/>
    <w:bookmarkStart w:id="85"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4">
        <w:r>
          <w:rPr>
            <w:rStyle w:val="Hyperlink"/>
          </w:rPr>
          <w:t xml:space="preserve">https://doi.org/10.7717/peerj.6876</w:t>
        </w:r>
      </w:hyperlink>
      <w:r>
        <w:t xml:space="preserve">.</w:t>
      </w:r>
    </w:p>
    <w:bookmarkEnd w:id="85"/>
    <w:bookmarkStart w:id="87"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6">
        <w:r>
          <w:rPr>
            <w:rStyle w:val="Hyperlink"/>
          </w:rPr>
          <w:t xml:space="preserve">https://doi.org/10.1007/s11222-016-9649-y</w:t>
        </w:r>
      </w:hyperlink>
      <w:r>
        <w:t xml:space="preserve">.</w:t>
      </w:r>
    </w:p>
    <w:bookmarkEnd w:id="87"/>
    <w:bookmarkStart w:id="89"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88">
        <w:r>
          <w:rPr>
            <w:rStyle w:val="Hyperlink"/>
          </w:rPr>
          <w:t xml:space="preserve">https://doi.org/10.1890/07-0260.1</w:t>
        </w:r>
      </w:hyperlink>
      <w:r>
        <w:t xml:space="preserve">.</w:t>
      </w:r>
    </w:p>
    <w:bookmarkEnd w:id="89"/>
    <w:bookmarkStart w:id="91"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0">
        <w:r>
          <w:rPr>
            <w:rStyle w:val="Hyperlink"/>
          </w:rPr>
          <w:t xml:space="preserve">https://doi.org/10.1163/000579509X12512871386137</w:t>
        </w:r>
      </w:hyperlink>
      <w:r>
        <w:t xml:space="preserve">.</w:t>
      </w:r>
    </w:p>
    <w:bookmarkEnd w:id="91"/>
    <w:bookmarkStart w:id="93"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2">
        <w:r>
          <w:rPr>
            <w:rStyle w:val="Hyperlink"/>
          </w:rPr>
          <w:t xml:space="preserve">https://doi.org/10.1093/jeb/voae055</w:t>
        </w:r>
      </w:hyperlink>
      <w:r>
        <w:t xml:space="preserve">.</w:t>
      </w:r>
    </w:p>
    <w:bookmarkEnd w:id="93"/>
    <w:bookmarkStart w:id="95"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4">
        <w:r>
          <w:rPr>
            <w:rStyle w:val="Hyperlink"/>
          </w:rPr>
          <w:t xml:space="preserve">https://doi.org/10.1093/beheco/ars156</w:t>
        </w:r>
      </w:hyperlink>
      <w:r>
        <w:t xml:space="preserve">.</w:t>
      </w:r>
    </w:p>
    <w:bookmarkEnd w:id="95"/>
    <w:bookmarkStart w:id="96"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6"/>
    <w:bookmarkStart w:id="98"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7">
        <w:r>
          <w:rPr>
            <w:rStyle w:val="Hyperlink"/>
          </w:rPr>
          <w:t xml:space="preserve">https://doi.org/10.1371/journal.pone.0073733</w:t>
        </w:r>
      </w:hyperlink>
      <w:r>
        <w:t xml:space="preserve">.</w:t>
      </w:r>
    </w:p>
    <w:bookmarkEnd w:id="98"/>
    <w:bookmarkStart w:id="100"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99">
        <w:r>
          <w:rPr>
            <w:rStyle w:val="Hyperlink"/>
          </w:rPr>
          <w:t xml:space="preserve">https://doi.org/10.1098/rspb.2018.1386</w:t>
        </w:r>
      </w:hyperlink>
      <w:r>
        <w:t xml:space="preserve">.</w:t>
      </w:r>
    </w:p>
    <w:bookmarkEnd w:id="100"/>
    <w:bookmarkStart w:id="102"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1">
        <w:r>
          <w:rPr>
            <w:rStyle w:val="Hyperlink"/>
          </w:rPr>
          <w:t xml:space="preserve">https://doi.org/10.1007/s11222-016-9696-4</w:t>
        </w:r>
      </w:hyperlink>
      <w:r>
        <w:t xml:space="preserve">.</w:t>
      </w:r>
    </w:p>
    <w:bookmarkEnd w:id="102"/>
    <w:bookmarkStart w:id="104"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3">
        <w:r>
          <w:rPr>
            <w:rStyle w:val="Hyperlink"/>
          </w:rPr>
          <w:t xml:space="preserve">https://doi.org/10.1214/20-BA1221</w:t>
        </w:r>
      </w:hyperlink>
      <w:r>
        <w:t xml:space="preserve">.</w:t>
      </w:r>
    </w:p>
    <w:bookmarkEnd w:id="104"/>
    <w:bookmarkStart w:id="106"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5">
        <w:r>
          <w:rPr>
            <w:rStyle w:val="Hyperlink"/>
          </w:rPr>
          <w:t xml:space="preserve">https://doi.org/10.48550/arXiv.1507.02646</w:t>
        </w:r>
      </w:hyperlink>
      <w:r>
        <w:t xml:space="preserve">.</w:t>
      </w:r>
    </w:p>
    <w:bookmarkEnd w:id="106"/>
    <w:bookmarkStart w:id="108"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7">
        <w:r>
          <w:rPr>
            <w:rStyle w:val="Hyperlink"/>
          </w:rPr>
          <w:t xml:space="preserve">https://doi.org/10.1111/j.1365-2435.2005.01033.x</w:t>
        </w:r>
      </w:hyperlink>
      <w:r>
        <w:t xml:space="preserve">.</w:t>
      </w:r>
    </w:p>
    <w:bookmarkEnd w:id="108"/>
    <w:bookmarkStart w:id="110"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09">
        <w:r>
          <w:rPr>
            <w:rStyle w:val="Hyperlink"/>
          </w:rPr>
          <w:t xml:space="preserve">https://doi.org/10.1007/s00265-014-1861-1</w:t>
        </w:r>
      </w:hyperlink>
      <w:r>
        <w:t xml:space="preserve">.</w:t>
      </w:r>
    </w:p>
    <w:bookmarkEnd w:id="110"/>
    <w:bookmarkStart w:id="112"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11">
        <w:r>
          <w:rPr>
            <w:rStyle w:val="Hyperlink"/>
          </w:rPr>
          <w:t xml:space="preserve">https://doi.org/10.1111/ele.13614</w:t>
        </w:r>
      </w:hyperlink>
      <w:r>
        <w:t xml:space="preserve">.</w:t>
      </w:r>
    </w:p>
    <w:bookmarkEnd w:id="112"/>
    <w:bookmarkStart w:id="114"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3">
        <w:r>
          <w:rPr>
            <w:rStyle w:val="Hyperlink"/>
          </w:rPr>
          <w:t xml:space="preserve">https://doi.org/10.1111/j.1365-2656.2008.01429.x</w:t>
        </w:r>
      </w:hyperlink>
      <w:r>
        <w:t xml:space="preserve">.</w:t>
      </w:r>
    </w:p>
    <w:bookmarkEnd w:id="114"/>
    <w:bookmarkStart w:id="11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5">
        <w:r>
          <w:rPr>
            <w:rStyle w:val="Hyperlink"/>
          </w:rPr>
          <w:t xml:space="preserve">https://doi.org/10.1016/j.tree.2023.09.012</w:t>
        </w:r>
      </w:hyperlink>
      <w:r>
        <w:t xml:space="preserve">.</w:t>
      </w:r>
    </w:p>
    <w:bookmarkEnd w:id="116"/>
    <w:bookmarkStart w:id="11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7">
        <w:r>
          <w:rPr>
            <w:rStyle w:val="Hyperlink"/>
          </w:rPr>
          <w:t xml:space="preserve">https://doi.org/10.1111/brv.12879</w:t>
        </w:r>
      </w:hyperlink>
      <w:r>
        <w:t xml:space="preserve">.</w:t>
      </w:r>
    </w:p>
    <w:bookmarkEnd w:id="118"/>
    <w:bookmarkEnd w:id="119"/>
    <w:bookmarkEnd w:id="12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2" Target="https://doi.org/10.1002/9781444342536.ch3" TargetMode="External" /><Relationship Type="http://schemas.openxmlformats.org/officeDocument/2006/relationships/hyperlink" Id="rId80" Target="https://doi.org/10.1006/anbe.2000.1546" TargetMode="External" /><Relationship Type="http://schemas.openxmlformats.org/officeDocument/2006/relationships/hyperlink" Id="rId109"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6" Target="https://doi.org/10.1007/s11222-016-9649-y" TargetMode="External" /><Relationship Type="http://schemas.openxmlformats.org/officeDocument/2006/relationships/hyperlink" Id="rId101" Target="https://doi.org/10.1007/s11222-016-9696-4" TargetMode="External" /><Relationship Type="http://schemas.openxmlformats.org/officeDocument/2006/relationships/hyperlink" Id="rId76"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4"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4" Target="https://doi.org/10.1093/beheco/ars156" TargetMode="External" /><Relationship Type="http://schemas.openxmlformats.org/officeDocument/2006/relationships/hyperlink" Id="rId92"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0" Target="https://doi.org/10.1098/rspb.2017.2182" TargetMode="External" /><Relationship Type="http://schemas.openxmlformats.org/officeDocument/2006/relationships/hyperlink" Id="rId99" Target="https://doi.org/10.1098/rspb.2018.1386" TargetMode="External" /><Relationship Type="http://schemas.openxmlformats.org/officeDocument/2006/relationships/hyperlink" Id="rId54" Target="https://doi.org/10.1098/rstb.2016.0427" TargetMode="External" /><Relationship Type="http://schemas.openxmlformats.org/officeDocument/2006/relationships/hyperlink" Id="rId66"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111" Target="https://doi.org/10.1111/ele.13614" TargetMode="External" /><Relationship Type="http://schemas.openxmlformats.org/officeDocument/2006/relationships/hyperlink" Id="rId107" Target="https://doi.org/10.1111/j.1365-2435.2005.01033.x" TargetMode="External" /><Relationship Type="http://schemas.openxmlformats.org/officeDocument/2006/relationships/hyperlink" Id="rId113" Target="https://doi.org/10.1111/j.1365-2656.2008.01429.x" TargetMode="External" /><Relationship Type="http://schemas.openxmlformats.org/officeDocument/2006/relationships/hyperlink" Id="rId78" Target="https://doi.org/10.1111/oik.08143" TargetMode="External" /><Relationship Type="http://schemas.openxmlformats.org/officeDocument/2006/relationships/hyperlink" Id="rId90" Target="https://doi.org/10.1163/000579509X12512871386137" TargetMode="External" /><Relationship Type="http://schemas.openxmlformats.org/officeDocument/2006/relationships/hyperlink" Id="rId103"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97"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88" Target="https://doi.org/10.1890/07-0260.1" TargetMode="External" /><Relationship Type="http://schemas.openxmlformats.org/officeDocument/2006/relationships/hyperlink" Id="rId82" Target="https://doi.org/10.1890/07-1131.1" TargetMode="External" /><Relationship Type="http://schemas.openxmlformats.org/officeDocument/2006/relationships/hyperlink" Id="rId105" Target="https://doi.org/10.48550/arXiv.1507.02646" TargetMode="External" /><Relationship Type="http://schemas.openxmlformats.org/officeDocument/2006/relationships/hyperlink" Id="rId84"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2" Target="https://doi.org/10.1002/9781444342536.ch3" TargetMode="External" /><Relationship Type="http://schemas.openxmlformats.org/officeDocument/2006/relationships/hyperlink" Id="rId80" Target="https://doi.org/10.1006/anbe.2000.1546" TargetMode="External" /><Relationship Type="http://schemas.openxmlformats.org/officeDocument/2006/relationships/hyperlink" Id="rId109"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86" Target="https://doi.org/10.1007/s11222-016-9649-y" TargetMode="External" /><Relationship Type="http://schemas.openxmlformats.org/officeDocument/2006/relationships/hyperlink" Id="rId101" Target="https://doi.org/10.1007/s11222-016-9696-4" TargetMode="External" /><Relationship Type="http://schemas.openxmlformats.org/officeDocument/2006/relationships/hyperlink" Id="rId76"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15" Target="https://doi.org/10.1016/j.tree.2023.09.012" TargetMode="External" /><Relationship Type="http://schemas.openxmlformats.org/officeDocument/2006/relationships/hyperlink" Id="rId74"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94" Target="https://doi.org/10.1093/beheco/ars156" TargetMode="External" /><Relationship Type="http://schemas.openxmlformats.org/officeDocument/2006/relationships/hyperlink" Id="rId92" Target="https://doi.org/10.1093/jeb/voae055" TargetMode="External" /><Relationship Type="http://schemas.openxmlformats.org/officeDocument/2006/relationships/hyperlink" Id="rId48" Target="https://doi.org/10.1098/rspb.2017.2146" TargetMode="External" /><Relationship Type="http://schemas.openxmlformats.org/officeDocument/2006/relationships/hyperlink" Id="rId70" Target="https://doi.org/10.1098/rspb.2017.2182" TargetMode="External" /><Relationship Type="http://schemas.openxmlformats.org/officeDocument/2006/relationships/hyperlink" Id="rId99" Target="https://doi.org/10.1098/rspb.2018.1386" TargetMode="External" /><Relationship Type="http://schemas.openxmlformats.org/officeDocument/2006/relationships/hyperlink" Id="rId54" Target="https://doi.org/10.1098/rstb.2016.0427" TargetMode="External" /><Relationship Type="http://schemas.openxmlformats.org/officeDocument/2006/relationships/hyperlink" Id="rId66" Target="https://doi.org/10.1111/2041-210X.12103" TargetMode="External" /><Relationship Type="http://schemas.openxmlformats.org/officeDocument/2006/relationships/hyperlink" Id="rId117" Target="https://doi.org/10.1111/brv.12879" TargetMode="External" /><Relationship Type="http://schemas.openxmlformats.org/officeDocument/2006/relationships/hyperlink" Id="rId111" Target="https://doi.org/10.1111/ele.13614" TargetMode="External" /><Relationship Type="http://schemas.openxmlformats.org/officeDocument/2006/relationships/hyperlink" Id="rId107" Target="https://doi.org/10.1111/j.1365-2435.2005.01033.x" TargetMode="External" /><Relationship Type="http://schemas.openxmlformats.org/officeDocument/2006/relationships/hyperlink" Id="rId113" Target="https://doi.org/10.1111/j.1365-2656.2008.01429.x" TargetMode="External" /><Relationship Type="http://schemas.openxmlformats.org/officeDocument/2006/relationships/hyperlink" Id="rId78" Target="https://doi.org/10.1111/oik.08143" TargetMode="External" /><Relationship Type="http://schemas.openxmlformats.org/officeDocument/2006/relationships/hyperlink" Id="rId90" Target="https://doi.org/10.1163/000579509X12512871386137" TargetMode="External" /><Relationship Type="http://schemas.openxmlformats.org/officeDocument/2006/relationships/hyperlink" Id="rId103"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97"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88" Target="https://doi.org/10.1890/07-0260.1" TargetMode="External" /><Relationship Type="http://schemas.openxmlformats.org/officeDocument/2006/relationships/hyperlink" Id="rId82" Target="https://doi.org/10.1890/07-1131.1" TargetMode="External" /><Relationship Type="http://schemas.openxmlformats.org/officeDocument/2006/relationships/hyperlink" Id="rId105" Target="https://doi.org/10.48550/arXiv.1507.02646" TargetMode="External" /><Relationship Type="http://schemas.openxmlformats.org/officeDocument/2006/relationships/hyperlink" Id="rId84"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2024-08-02T22:20:15Z</dcterms:created>
  <dcterms:modified xsi:type="dcterms:W3CDTF">2024-08-02T22:20:15Z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