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Antipredation responses by prey are hypothesized to drive differences among predators in their hunting success by disrupting the acquisition of hunting expertise</w:t>
      </w:r>
      <w:r>
        <w:t xml:space="preserve"> </w:t>
      </w:r>
      <w:r>
        <w:t xml:space="preserve">(Wooster et al. 2023)</w:t>
      </w:r>
      <w:r>
        <w:t xml:space="preserve">. Expertise can be defined as the characteristics, skills, and knowledge that provide individuals with the ability to outperform novices on complex tasks</w:t>
      </w:r>
      <w:r>
        <w:t xml:space="preserve"> </w:t>
      </w:r>
      <w:r>
        <w:t xml:space="preserve">(Dukas 2017)</w:t>
      </w:r>
      <w:r>
        <w:t xml:space="preserve">. In the context of hunting, predators need to acquire expertise by practising and learning the proper skills to successfully locate, select, and capture their prey, a process deemed essential for many predators to reach adulthood and survive</w:t>
      </w:r>
      <w:r>
        <w:t xml:space="preserve"> </w:t>
      </w:r>
      <w:r>
        <w:t xml:space="preserve">(Woo et al. 2008; Wooster et al. 2023)</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are known to use evasive tactics such as rapid escapes to avoid being captured</w:t>
      </w:r>
      <w:r>
        <w:t xml:space="preserve"> </w:t>
      </w:r>
      <w:r>
        <w:t xml:space="preserve">(Walker et al. 2005; Kelley and Magurran 2011; Herbert-Read et al. 2017)</w:t>
      </w:r>
      <w:r>
        <w:t xml:space="preserve">, driving predators to develop the motor skills required to capture such prey succesfully. Yet, predators may be limited in their capacity to develop the necessary attributes (e.g. physical, physiological, neurological) for fast-paced hunting, which may impair their acquisition of hunting expertise. To our knowledge, there is no empirical evidence showing links between prey antipredator behaviour and the acquisition of expertise in human and nonhuman predators. However, experimental studies show that certain camouflage strategies of prey can impair expertise acquisition in humans and birds</w:t>
      </w:r>
      <w:r>
        <w:t xml:space="preserve"> </w:t>
      </w:r>
      <w:r>
        <w:t xml:space="preserve">(Stevens et al. 2012; Troscianko et al. 2013)</w:t>
      </w:r>
      <w:r>
        <w:t xml:space="preserve">. For instance,</w:t>
      </w:r>
      <w:r>
        <w:t xml:space="preserve"> </w:t>
      </w:r>
      <w:r>
        <w:t xml:space="preserve">Troscianko, Skelhorn, and Stevens (2018)</w:t>
      </w:r>
      <w:r>
        <w:t xml:space="preserve"> </w:t>
      </w:r>
      <w:r>
        <w:t xml:space="preserve">found that disruptive colouration interfered with the formation of search images in human subjects, hindering improvement in detection times after repeated attempts. Given these examples, antipredator behaviour may also hold the potential to hinder the acquisition of predator expertise. This represents a significant gap in our understanding of predator-prey interactions, as individual differences in predator expertise may structure food webs via changes in foraging behaviour and frequency- or trait-dependent prey selection</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Cs/>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Cs/>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Cs/>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Cs/>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3"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Cs/>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Dead by Daylight</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bookmarkEnd w:id="27"/>
    <w:bookmarkStart w:id="32" w:name="statistical-analyses"/>
    <w:p>
      <w:pPr>
        <w:pStyle w:val="Heading2"/>
      </w:pPr>
      <w:r>
        <w:t xml:space="preserve">Statistical analyses</w:t>
      </w:r>
    </w:p>
    <w:bookmarkStart w:id="29"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fitted all models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28">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0"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30"/>
    <w:bookmarkStart w:id="31" w:name="hypothesis-testing"/>
    <w:p>
      <w:pPr>
        <w:pStyle w:val="Heading3"/>
      </w:pPr>
      <w:r>
        <w:t xml:space="preserve">Hypothesis testing</w:t>
      </w:r>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individual-level parameters of model II and model V. Specifically,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bookmarkEnd w:id="31"/>
    <w:bookmarkEnd w:id="32"/>
    <w:bookmarkEnd w:id="33"/>
    <w:bookmarkStart w:id="42" w:name="results"/>
    <w:p>
      <w:pPr>
        <w:pStyle w:val="Heading1"/>
      </w:pPr>
      <w:r>
        <w:t xml:space="preserve">RESULTS</w:t>
      </w:r>
    </w:p>
    <w:bookmarkStart w:id="34" w:name="X9edc74d60a01534674be9630f403e134646a8ce"/>
    <w:p>
      <w:pPr>
        <w:pStyle w:val="Heading2"/>
      </w:pPr>
      <w:r>
        <w:t xml:space="preserve">Acquisition of expertise at the population level</w:t>
      </w:r>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4"/>
    <w:bookmarkStart w:id="41" w:name="X08fec88f09976b421e81698691671b5a076e106"/>
    <w:p>
      <w:pPr>
        <w:pStyle w:val="Heading2"/>
      </w:pPr>
      <w:r>
        <w:t xml:space="preserve">Acquisition of expertise at the individual level</w:t>
      </w:r>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36" name="Picture"/>
            <a:graphic>
              <a:graphicData uri="http://schemas.openxmlformats.org/drawingml/2006/picture">
                <pic:pic>
                  <pic:nvPicPr>
                    <pic:cNvPr descr="../outputs/outputs_figures/figure1.png" id="37" name="Picture"/>
                    <pic:cNvPicPr>
                      <a:picLocks noChangeArrowheads="1" noChangeAspect="1"/>
                    </pic:cNvPicPr>
                  </pic:nvPicPr>
                  <pic:blipFill>
                    <a:blip r:embed="rId35"/>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39" name="Picture"/>
            <a:graphic>
              <a:graphicData uri="http://schemas.openxmlformats.org/drawingml/2006/picture">
                <pic:pic>
                  <pic:nvPicPr>
                    <pic:cNvPr descr="../outputs/outputs_figures/figure2.png" id="40" name="Picture"/>
                    <pic:cNvPicPr>
                      <a:picLocks noChangeArrowheads="1" noChangeAspect="1"/>
                    </pic:cNvPicPr>
                  </pic:nvPicPr>
                  <pic:blipFill>
                    <a:blip r:embed="rId38"/>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bookmarkEnd w:id="41"/>
    <w:bookmarkEnd w:id="42"/>
    <w:bookmarkStart w:id="44" w:name="discussion"/>
    <w:p>
      <w:pPr>
        <w:pStyle w:val="Heading1"/>
      </w:pPr>
      <w:r>
        <w:t xml:space="preserve">DISCUSSION</w:t>
      </w:r>
    </w:p>
    <w:p>
      <w:pPr>
        <w:pStyle w:val="FirstParagraph"/>
      </w:pPr>
      <w:r>
        <w:t xml:space="preserve">Using a virtual predator-prey system where we monitored hunting success across experience, we provide rare empirical support for the hypothesis that prey antipredator behaviour can impair the acquisition of hunting expertise. Our observations show that the predator population increased their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Cs/>
          <w:i/>
        </w:rPr>
        <w:t xml:space="preserve">Dead by Daylight</w:t>
      </w:r>
      <w:r>
        <w:t xml:space="preserve"> </w:t>
      </w:r>
      <w:r>
        <w:t xml:space="preserve">that faster movement is effective for prey to evade predation</w:t>
      </w:r>
      <w:r>
        <w:t xml:space="preserve"> </w:t>
      </w:r>
      <w:r>
        <w:t xml:space="preserve">(Fraser Franco et al. 2022)</w:t>
      </w:r>
      <w:r>
        <w:t xml:space="preserve">, a finding consistent with studies using other systems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(Dukas and Kamil 2001)</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Cs/>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also contribute in shaping how expertise is honed in this particular system.</w:t>
      </w:r>
    </w:p>
    <w:bookmarkStart w:id="43" w:name="conclusions"/>
    <w:p>
      <w:pPr>
        <w:pStyle w:val="Heading2"/>
      </w:pPr>
      <w:r>
        <w:t xml:space="preserve">Conclusions</w:t>
      </w:r>
    </w:p>
    <w:p>
      <w:pPr>
        <w:pStyle w:val="FirstParagraph"/>
      </w:pPr>
      <w:r>
        <w:t xml:space="preserve">We found support of our hypothesis that prey antipredator behaviour drives individual differences in expertise acquisition in a human predator population in the game</w:t>
      </w:r>
      <w:r>
        <w:t xml:space="preserve"> </w:t>
      </w:r>
      <w:r>
        <w:rPr>
          <w:iCs/>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3"/>
    <w:bookmarkEnd w:id="44"/>
    <w:bookmarkStart w:id="121" w:name="references"/>
    <w:p>
      <w:pPr>
        <w:pStyle w:val="Heading1"/>
      </w:pPr>
      <w:r>
        <w:t xml:space="preserve">REFERENCES</w:t>
      </w:r>
    </w:p>
    <w:bookmarkStart w:id="120" w:name="refs"/>
    <w:bookmarkStart w:id="46" w:name="ref-allen.etal1988"/>
    <w:p>
      <w:pPr>
        <w:pStyle w:val="Bibliography"/>
      </w:pPr>
      <w:r>
        <w:t xml:space="preserve">Allen, J. A., J. J. D. Greenwood, Bryan Campbell Clarke, Linda Partridge, Alan Robertson, Bryan Campbell Clarke, and Linda Partridge. 1988.</w:t>
      </w:r>
      <w:r>
        <w:t xml:space="preserve"> </w:t>
      </w:r>
      <w:r>
        <w:t xml:space="preserve">“Frequency-Dependent Selection by Predators.”</w:t>
      </w:r>
      <w:r>
        <w:t xml:space="preserve"> </w:t>
      </w:r>
      <w:r>
        <w:rPr>
          <w:iCs/>
          <w:i/>
        </w:rPr>
        <w:t xml:space="preserve">Philosophical Transactions of the Royal Society of London. B, Biological Sciences</w:t>
      </w:r>
      <w:r>
        <w:t xml:space="preserve"> </w:t>
      </w:r>
      <w:r>
        <w:t xml:space="preserve">319 (1196): 485–503.</w:t>
      </w:r>
      <w:r>
        <w:t xml:space="preserve"> </w:t>
      </w:r>
      <w:hyperlink r:id="rId45">
        <w:r>
          <w:rPr>
            <w:rStyle w:val="Hyperlink"/>
          </w:rPr>
          <w:t xml:space="preserve">https://doi.org/10.1098/rstb.1988.0061</w:t>
        </w:r>
      </w:hyperlink>
      <w:r>
        <w:t xml:space="preserve">.</w:t>
      </w:r>
    </w:p>
    <w:bookmarkEnd w:id="46"/>
    <w:bookmarkStart w:id="48"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7">
        <w:r>
          <w:rPr>
            <w:rStyle w:val="Hyperlink"/>
          </w:rPr>
          <w:t xml:space="preserve">https://doi.org/10.1007/s00265-020-02833-0</w:t>
        </w:r>
      </w:hyperlink>
      <w:r>
        <w:t xml:space="preserve">.</w:t>
      </w:r>
    </w:p>
    <w:bookmarkEnd w:id="48"/>
    <w:bookmarkStart w:id="50"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9">
        <w:r>
          <w:rPr>
            <w:rStyle w:val="Hyperlink"/>
          </w:rPr>
          <w:t xml:space="preserve">https://doi.org/10.1098/rspb.2017.2146</w:t>
        </w:r>
      </w:hyperlink>
      <w:r>
        <w:t xml:space="preserve">.</w:t>
      </w:r>
    </w:p>
    <w:bookmarkEnd w:id="50"/>
    <w:bookmarkStart w:id="5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1">
        <w:r>
          <w:rPr>
            <w:rStyle w:val="Hyperlink"/>
          </w:rPr>
          <w:t xml:space="preserve">https://doi.org/10.18637/jss.v080.i01</w:t>
        </w:r>
      </w:hyperlink>
      <w:r>
        <w:t xml:space="preserve">.</w:t>
      </w:r>
    </w:p>
    <w:bookmarkEnd w:id="52"/>
    <w:bookmarkStart w:id="54"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3">
        <w:r>
          <w:rPr>
            <w:rStyle w:val="Hyperlink"/>
          </w:rPr>
          <w:t xml:space="preserve">https://doi.org/10.1016/j.anbehav.2021.06.010</w:t>
        </w:r>
      </w:hyperlink>
      <w:r>
        <w:t xml:space="preserve">.</w:t>
      </w:r>
    </w:p>
    <w:bookmarkEnd w:id="54"/>
    <w:bookmarkStart w:id="56" w:name="ref-dukas2017"/>
    <w:p>
      <w:pPr>
        <w:pStyle w:val="Bibliography"/>
      </w:pPr>
      <w:r>
        <w:t xml:space="preserve">Dukas, Reuven. 2017.</w:t>
      </w:r>
      <w:r>
        <w:t xml:space="preserve"> </w:t>
      </w:r>
      <w:r>
        <w:t xml:space="preserve">“Cognitive Innovations and the Evolutionary Biology of Expertise.”</w:t>
      </w:r>
      <w:r>
        <w:t xml:space="preserve"> </w:t>
      </w:r>
      <w:r>
        <w:rPr>
          <w:iCs/>
          <w:i/>
        </w:rPr>
        <w:t xml:space="preserve">Philosophical Transactions of the Royal Society B: Biological Sciences</w:t>
      </w:r>
      <w:r>
        <w:t xml:space="preserve"> </w:t>
      </w:r>
      <w:r>
        <w:t xml:space="preserve">372 (1735): 20160427.</w:t>
      </w:r>
      <w:r>
        <w:t xml:space="preserve"> </w:t>
      </w:r>
      <w:hyperlink r:id="rId55">
        <w:r>
          <w:rPr>
            <w:rStyle w:val="Hyperlink"/>
          </w:rPr>
          <w:t xml:space="preserve">https://doi.org/10.1098/rstb.2016.0427</w:t>
        </w:r>
      </w:hyperlink>
      <w:r>
        <w:t xml:space="preserve">.</w:t>
      </w:r>
    </w:p>
    <w:bookmarkEnd w:id="56"/>
    <w:bookmarkStart w:id="58" w:name="ref-dukas2019"/>
    <w:p>
      <w:pPr>
        <w:pStyle w:val="Bibliography"/>
      </w:pPr>
      <w:r>
        <w:t xml:space="preserve">———.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7">
        <w:r>
          <w:rPr>
            <w:rStyle w:val="Hyperlink"/>
          </w:rPr>
          <w:t xml:space="preserve">https://doi.org/10.1016/j.anbehav.2018.05.010</w:t>
        </w:r>
      </w:hyperlink>
      <w:r>
        <w:t xml:space="preserve">.</w:t>
      </w:r>
    </w:p>
    <w:bookmarkEnd w:id="58"/>
    <w:bookmarkStart w:id="60"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9">
        <w:r>
          <w:rPr>
            <w:rStyle w:val="Hyperlink"/>
          </w:rPr>
          <w:t xml:space="preserve">https://doi.org/10.1093/beheco/12.2.192</w:t>
        </w:r>
      </w:hyperlink>
      <w:r>
        <w:t xml:space="preserve">.</w:t>
      </w:r>
    </w:p>
    <w:bookmarkEnd w:id="60"/>
    <w:bookmarkStart w:id="62"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1">
        <w:r>
          <w:rPr>
            <w:rStyle w:val="Hyperlink"/>
          </w:rPr>
          <w:t xml:space="preserve">https://doi.org/10.1080/03014223.1994.9517994</w:t>
        </w:r>
      </w:hyperlink>
      <w:r>
        <w:t xml:space="preserve">.</w:t>
      </w:r>
    </w:p>
    <w:bookmarkEnd w:id="62"/>
    <w:bookmarkStart w:id="63"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3"/>
    <w:bookmarkStart w:id="65"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4">
        <w:r>
          <w:rPr>
            <w:rStyle w:val="Hyperlink"/>
          </w:rPr>
          <w:t xml:space="preserve">https://doi.org/10.1093/beheco/arac063</w:t>
        </w:r>
      </w:hyperlink>
      <w:r>
        <w:t xml:space="preserve">.</w:t>
      </w:r>
    </w:p>
    <w:bookmarkEnd w:id="65"/>
    <w:bookmarkStart w:id="66"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6"/>
    <w:bookmarkStart w:id="68"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7">
        <w:r>
          <w:rPr>
            <w:rStyle w:val="Hyperlink"/>
          </w:rPr>
          <w:t xml:space="preserve">https://doi.org/10.1242/jeb.154534</w:t>
        </w:r>
      </w:hyperlink>
      <w:r>
        <w:t xml:space="preserve">.</w:t>
      </w:r>
    </w:p>
    <w:bookmarkEnd w:id="68"/>
    <w:bookmarkStart w:id="70" w:name="ref-ishii.shimada2012"/>
    <w:p>
      <w:pPr>
        <w:pStyle w:val="Bibliography"/>
      </w:pPr>
      <w:r>
        <w:t xml:space="preserve">Ishii, Yumiko, and Masakazu Shimada. 2012.</w:t>
      </w:r>
      <w:r>
        <w:t xml:space="preserve"> </w:t>
      </w:r>
      <w:r>
        <w:t xml:space="preserve">“Learning Predator Promotes Coexistence of Prey Species in Host–Parasitoid Systems.”</w:t>
      </w:r>
      <w:r>
        <w:t xml:space="preserve"> </w:t>
      </w:r>
      <w:r>
        <w:rPr>
          <w:iCs/>
          <w:i/>
        </w:rPr>
        <w:t xml:space="preserve">Proceedings of the National Academy of Sciences</w:t>
      </w:r>
      <w:r>
        <w:t xml:space="preserve"> </w:t>
      </w:r>
      <w:r>
        <w:t xml:space="preserve">109 (13): 5116–20.</w:t>
      </w:r>
      <w:r>
        <w:t xml:space="preserve"> </w:t>
      </w:r>
      <w:hyperlink r:id="rId69">
        <w:r>
          <w:rPr>
            <w:rStyle w:val="Hyperlink"/>
          </w:rPr>
          <w:t xml:space="preserve">https://doi.org/10.1073/pnas.1115133109</w:t>
        </w:r>
      </w:hyperlink>
      <w:r>
        <w:t xml:space="preserve">.</w:t>
      </w:r>
    </w:p>
    <w:bookmarkEnd w:id="70"/>
    <w:bookmarkStart w:id="72"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1">
        <w:r>
          <w:rPr>
            <w:rStyle w:val="Hyperlink"/>
          </w:rPr>
          <w:t xml:space="preserve">https://doi.org/10.1098/rspb.2017.2182</w:t>
        </w:r>
      </w:hyperlink>
      <w:r>
        <w:t xml:space="preserve">.</w:t>
      </w:r>
    </w:p>
    <w:bookmarkEnd w:id="72"/>
    <w:bookmarkStart w:id="74"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3">
        <w:r>
          <w:rPr>
            <w:rStyle w:val="Hyperlink"/>
          </w:rPr>
          <w:t xml:space="preserve">https://doi.org/10.1002/9781444342536.ch3</w:t>
        </w:r>
      </w:hyperlink>
      <w:r>
        <w:t xml:space="preserve">.</w:t>
      </w:r>
    </w:p>
    <w:bookmarkEnd w:id="74"/>
    <w:bookmarkStart w:id="76" w:name="ref-kikuchi.etal2023"/>
    <w:p>
      <w:pPr>
        <w:pStyle w:val="Bibliography"/>
      </w:pPr>
      <w:r>
        <w:t xml:space="preserve">Kikuchi, David W., and Margaret W. Simon. 2023.</w:t>
      </w:r>
      <w:r>
        <w:t xml:space="preserve"> </w:t>
      </w:r>
      <w:r>
        <w:t xml:space="preserve">“Social Learning of Innovations in Dynamic Predator-Prey Systems.”</w:t>
      </w:r>
      <w:r>
        <w:t xml:space="preserve"> </w:t>
      </w:r>
      <w:r>
        <w:rPr>
          <w:iCs/>
          <w:i/>
        </w:rPr>
        <w:t xml:space="preserve">The American Naturalist</w:t>
      </w:r>
      <w:r>
        <w:t xml:space="preserve"> </w:t>
      </w:r>
      <w:r>
        <w:t xml:space="preserve">201 (6): 895–907.</w:t>
      </w:r>
      <w:r>
        <w:t xml:space="preserve"> </w:t>
      </w:r>
      <w:hyperlink r:id="rId75">
        <w:r>
          <w:rPr>
            <w:rStyle w:val="Hyperlink"/>
          </w:rPr>
          <w:t xml:space="preserve">https://doi.org/10.1086/724491</w:t>
        </w:r>
      </w:hyperlink>
      <w:r>
        <w:t xml:space="preserve">.</w:t>
      </w:r>
    </w:p>
    <w:bookmarkEnd w:id="76"/>
    <w:bookmarkStart w:id="78" w:name="ref-kondoh2010"/>
    <w:p>
      <w:pPr>
        <w:pStyle w:val="Bibliography"/>
      </w:pPr>
      <w:r>
        <w:t xml:space="preserve">Kondoh, Michio. 2010.</w:t>
      </w:r>
      <w:r>
        <w:t xml:space="preserve"> </w:t>
      </w:r>
      <w:r>
        <w:t xml:space="preserve">“Linking Learning Adaptation to Trophic Interactions: A Brain Size-Based Approach.”</w:t>
      </w:r>
      <w:r>
        <w:t xml:space="preserve"> </w:t>
      </w:r>
      <w:r>
        <w:rPr>
          <w:iCs/>
          <w:i/>
        </w:rPr>
        <w:t xml:space="preserve">Functional Ecology</w:t>
      </w:r>
      <w:r>
        <w:t xml:space="preserve"> </w:t>
      </w:r>
      <w:r>
        <w:t xml:space="preserve">24 (1): 35–43. https://doi.org/</w:t>
      </w:r>
      <w:hyperlink r:id="rId77">
        <w:r>
          <w:rPr>
            <w:rStyle w:val="Hyperlink"/>
          </w:rPr>
          <w:t xml:space="preserve">https://doi.org/10.1111/j.1365-2435.2009.01631.x</w:t>
        </w:r>
      </w:hyperlink>
      <w:r>
        <w:t xml:space="preserve">.</w:t>
      </w:r>
    </w:p>
    <w:bookmarkEnd w:id="78"/>
    <w:bookmarkStart w:id="80"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9">
        <w:r>
          <w:rPr>
            <w:rStyle w:val="Hyperlink"/>
          </w:rPr>
          <w:t xml:space="preserve">https://doi.org/10.1073/pnas.2217973120</w:t>
        </w:r>
      </w:hyperlink>
      <w:r>
        <w:t xml:space="preserve">.</w:t>
      </w:r>
    </w:p>
    <w:bookmarkEnd w:id="80"/>
    <w:bookmarkStart w:id="82"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81">
        <w:r>
          <w:rPr>
            <w:rStyle w:val="Hyperlink"/>
          </w:rPr>
          <w:t xml:space="preserve">https://doi.org/10.1007/s12110-007-9019-8</w:t>
        </w:r>
      </w:hyperlink>
      <w:r>
        <w:t xml:space="preserve">.</w:t>
      </w:r>
    </w:p>
    <w:bookmarkEnd w:id="82"/>
    <w:bookmarkStart w:id="84"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3">
        <w:r>
          <w:rPr>
            <w:rStyle w:val="Hyperlink"/>
          </w:rPr>
          <w:t xml:space="preserve">https://doi.org/10.1111/oik.08143</w:t>
        </w:r>
      </w:hyperlink>
      <w:r>
        <w:t xml:space="preserve">.</w:t>
      </w:r>
    </w:p>
    <w:bookmarkEnd w:id="84"/>
    <w:bookmarkStart w:id="86"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5">
        <w:r>
          <w:rPr>
            <w:rStyle w:val="Hyperlink"/>
          </w:rPr>
          <w:t xml:space="preserve">https://doi.org/10.1006/anbe.2000.1546</w:t>
        </w:r>
      </w:hyperlink>
      <w:r>
        <w:t xml:space="preserve">.</w:t>
      </w:r>
    </w:p>
    <w:bookmarkEnd w:id="86"/>
    <w:bookmarkStart w:id="88"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7">
        <w:r>
          <w:rPr>
            <w:rStyle w:val="Hyperlink"/>
          </w:rPr>
          <w:t xml:space="preserve">https://doi.org/10.7717/peerj.6876</w:t>
        </w:r>
      </w:hyperlink>
      <w:r>
        <w:t xml:space="preserve">.</w:t>
      </w:r>
    </w:p>
    <w:bookmarkEnd w:id="88"/>
    <w:bookmarkStart w:id="90"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9">
        <w:r>
          <w:rPr>
            <w:rStyle w:val="Hyperlink"/>
          </w:rPr>
          <w:t xml:space="preserve">https://doi.org/10.1007/s11222-016-9649-y</w:t>
        </w:r>
      </w:hyperlink>
      <w:r>
        <w:t xml:space="preserve">.</w:t>
      </w:r>
    </w:p>
    <w:bookmarkEnd w:id="90"/>
    <w:bookmarkStart w:id="92"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1">
        <w:r>
          <w:rPr>
            <w:rStyle w:val="Hyperlink"/>
          </w:rPr>
          <w:t xml:space="preserve">https://doi.org/10.1163/000579509X12512871386137</w:t>
        </w:r>
      </w:hyperlink>
      <w:r>
        <w:t xml:space="preserve">.</w:t>
      </w:r>
    </w:p>
    <w:bookmarkEnd w:id="92"/>
    <w:bookmarkStart w:id="94"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3">
        <w:r>
          <w:rPr>
            <w:rStyle w:val="Hyperlink"/>
          </w:rPr>
          <w:t xml:space="preserve">https://doi.org/10.1093/jeb/voae055</w:t>
        </w:r>
      </w:hyperlink>
      <w:r>
        <w:t xml:space="preserve">.</w:t>
      </w:r>
    </w:p>
    <w:bookmarkEnd w:id="94"/>
    <w:bookmarkStart w:id="96" w:name="ref-skelhornandcandy2016"/>
    <w:p>
      <w:pPr>
        <w:pStyle w:val="Bibliography"/>
      </w:pPr>
      <w:r>
        <w:t xml:space="preserve">Skelhorn, John, and Candy Rowe. 2016.</w:t>
      </w:r>
      <w:r>
        <w:t xml:space="preserve"> </w:t>
      </w:r>
      <w:r>
        <w:t xml:space="preserve">“Cognition and the Evolution of Camouflage.”</w:t>
      </w:r>
      <w:r>
        <w:t xml:space="preserve"> </w:t>
      </w:r>
      <w:r>
        <w:rPr>
          <w:iCs/>
          <w:i/>
        </w:rPr>
        <w:t xml:space="preserve">Proceedings of the Royal Society B: Biological Sciences</w:t>
      </w:r>
      <w:r>
        <w:t xml:space="preserve"> </w:t>
      </w:r>
      <w:r>
        <w:t xml:space="preserve">283 (1825): 20152890.</w:t>
      </w:r>
      <w:r>
        <w:t xml:space="preserve"> </w:t>
      </w:r>
      <w:hyperlink r:id="rId95">
        <w:r>
          <w:rPr>
            <w:rStyle w:val="Hyperlink"/>
          </w:rPr>
          <w:t xml:space="preserve">https://doi.org/10.1098/rspb.2015.2890</w:t>
        </w:r>
      </w:hyperlink>
      <w:r>
        <w:t xml:space="preserve">.</w:t>
      </w:r>
    </w:p>
    <w:bookmarkEnd w:id="96"/>
    <w:bookmarkStart w:id="97" w:name="ref-StanDevelopmentTeam2023"/>
    <w:p>
      <w:pPr>
        <w:pStyle w:val="Bibliography"/>
      </w:pPr>
      <w:r>
        <w:t xml:space="preserve">Stan Development Team.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7"/>
    <w:bookmarkStart w:id="99"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8">
        <w:r>
          <w:rPr>
            <w:rStyle w:val="Hyperlink"/>
          </w:rPr>
          <w:t xml:space="preserve">https://doi.org/10.1093/beheco/ars156</w:t>
        </w:r>
      </w:hyperlink>
      <w:r>
        <w:t xml:space="preserve">.</w:t>
      </w:r>
    </w:p>
    <w:bookmarkEnd w:id="99"/>
    <w:bookmarkStart w:id="101"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100">
        <w:r>
          <w:rPr>
            <w:rStyle w:val="Hyperlink"/>
          </w:rPr>
          <w:t xml:space="preserve">https://doi.org/10.1371/journal.pone.0073733</w:t>
        </w:r>
      </w:hyperlink>
      <w:r>
        <w:t xml:space="preserve">.</w:t>
      </w:r>
    </w:p>
    <w:bookmarkEnd w:id="101"/>
    <w:bookmarkStart w:id="103"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2">
        <w:r>
          <w:rPr>
            <w:rStyle w:val="Hyperlink"/>
          </w:rPr>
          <w:t xml:space="preserve">https://doi.org/10.1098/rspb.2018.1386</w:t>
        </w:r>
      </w:hyperlink>
      <w:r>
        <w:t xml:space="preserve">.</w:t>
      </w:r>
    </w:p>
    <w:bookmarkEnd w:id="103"/>
    <w:bookmarkStart w:id="105"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4">
        <w:r>
          <w:rPr>
            <w:rStyle w:val="Hyperlink"/>
          </w:rPr>
          <w:t xml:space="preserve">https://doi.org/10.1007/s11222-016-9696-4</w:t>
        </w:r>
      </w:hyperlink>
      <w:r>
        <w:t xml:space="preserve">.</w:t>
      </w:r>
    </w:p>
    <w:bookmarkEnd w:id="105"/>
    <w:bookmarkStart w:id="107"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6">
        <w:r>
          <w:rPr>
            <w:rStyle w:val="Hyperlink"/>
          </w:rPr>
          <w:t xml:space="preserve">https://doi.org/10.1214/20-BA1221</w:t>
        </w:r>
      </w:hyperlink>
      <w:r>
        <w:t xml:space="preserve">.</w:t>
      </w:r>
    </w:p>
    <w:bookmarkEnd w:id="107"/>
    <w:bookmarkStart w:id="109"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8">
        <w:r>
          <w:rPr>
            <w:rStyle w:val="Hyperlink"/>
          </w:rPr>
          <w:t xml:space="preserve">https://doi.org/10.48550/arXiv.1507.02646</w:t>
        </w:r>
      </w:hyperlink>
      <w:r>
        <w:t xml:space="preserve">.</w:t>
      </w:r>
    </w:p>
    <w:bookmarkEnd w:id="109"/>
    <w:bookmarkStart w:id="111"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10">
        <w:r>
          <w:rPr>
            <w:rStyle w:val="Hyperlink"/>
          </w:rPr>
          <w:t xml:space="preserve">https://doi.org/10.1111/j.1365-2435.2005.01033.x</w:t>
        </w:r>
      </w:hyperlink>
      <w:r>
        <w:t xml:space="preserve">.</w:t>
      </w:r>
    </w:p>
    <w:bookmarkEnd w:id="111"/>
    <w:bookmarkStart w:id="113"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2">
        <w:r>
          <w:rPr>
            <w:rStyle w:val="Hyperlink"/>
          </w:rPr>
          <w:t xml:space="preserve">https://doi.org/10.1007/s00265-014-1861-1</w:t>
        </w:r>
      </w:hyperlink>
      <w:r>
        <w:t xml:space="preserve">.</w:t>
      </w:r>
    </w:p>
    <w:bookmarkEnd w:id="113"/>
    <w:bookmarkStart w:id="115" w:name="ref-woo.etal2008"/>
    <w:p>
      <w:pPr>
        <w:pStyle w:val="Bibliography"/>
      </w:pPr>
      <w:r>
        <w:t xml:space="preserve">Woo, Kerry J., Kyle Hamish Elliott, Melissa Davidson, Anthony J. Gaston, and Gail K. Davoren. 2008.</w:t>
      </w:r>
      <w:r>
        <w:t xml:space="preserve"> </w:t>
      </w:r>
      <w:r>
        <w:t xml:space="preserve">“Individual</w:t>
      </w:r>
      <w:r>
        <w:t xml:space="preserve"> </w:t>
      </w:r>
      <w:r>
        <w:t xml:space="preserve">Specialization</w:t>
      </w:r>
      <w:r>
        <w:t xml:space="preserve"> </w:t>
      </w:r>
      <w:r>
        <w:t xml:space="preserve">in</w:t>
      </w:r>
      <w:r>
        <w:t xml:space="preserve"> </w:t>
      </w:r>
      <w:r>
        <w:t xml:space="preserve">Diet</w:t>
      </w:r>
      <w:r>
        <w:t xml:space="preserve"> </w:t>
      </w:r>
      <w:r>
        <w:t xml:space="preserve">by a</w:t>
      </w:r>
      <w:r>
        <w:t xml:space="preserve"> </w:t>
      </w:r>
      <w:r>
        <w:t xml:space="preserve">Generalist Marine Predator Reflects Specialization</w:t>
      </w:r>
      <w:r>
        <w:t xml:space="preserve"> </w:t>
      </w:r>
      <w:r>
        <w:t xml:space="preserve">in</w:t>
      </w:r>
      <w:r>
        <w:t xml:space="preserve"> </w:t>
      </w:r>
      <w:r>
        <w:t xml:space="preserve">Foraging Behaviour</w:t>
      </w:r>
      <w:r>
        <w:t xml:space="preserve">.”</w:t>
      </w:r>
      <w:r>
        <w:t xml:space="preserve"> </w:t>
      </w:r>
      <w:r>
        <w:rPr>
          <w:iCs/>
          <w:i/>
        </w:rPr>
        <w:t xml:space="preserve">Journal of Animal Ecology</w:t>
      </w:r>
      <w:r>
        <w:t xml:space="preserve"> </w:t>
      </w:r>
      <w:r>
        <w:t xml:space="preserve">77 (6): 1082–91.</w:t>
      </w:r>
      <w:r>
        <w:t xml:space="preserve"> </w:t>
      </w:r>
      <w:hyperlink r:id="rId114">
        <w:r>
          <w:rPr>
            <w:rStyle w:val="Hyperlink"/>
          </w:rPr>
          <w:t xml:space="preserve">https://doi.org/10.1111/j.1365-2656.2008.01429.x</w:t>
        </w:r>
      </w:hyperlink>
      <w:r>
        <w:t xml:space="preserve">.</w:t>
      </w:r>
    </w:p>
    <w:bookmarkEnd w:id="115"/>
    <w:bookmarkStart w:id="117"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6">
        <w:r>
          <w:rPr>
            <w:rStyle w:val="Hyperlink"/>
          </w:rPr>
          <w:t xml:space="preserve">https://doi.org/10.1016/j.tree.2023.09.012</w:t>
        </w:r>
      </w:hyperlink>
      <w:r>
        <w:t xml:space="preserve">.</w:t>
      </w:r>
    </w:p>
    <w:bookmarkEnd w:id="117"/>
    <w:bookmarkStart w:id="119"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8">
        <w:r>
          <w:rPr>
            <w:rStyle w:val="Hyperlink"/>
          </w:rPr>
          <w:t xml:space="preserve">https://doi.org/10.1111/brv.12879</w:t>
        </w:r>
      </w:hyperlink>
      <w:r>
        <w:t xml:space="preserve">.</w:t>
      </w:r>
    </w:p>
    <w:bookmarkEnd w:id="119"/>
    <w:bookmarkEnd w:id="120"/>
    <w:bookmarkEnd w:id="121"/>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3" Target="https://doi.org/10.1002/9781444342536.ch3" TargetMode="External" /><Relationship Type="http://schemas.openxmlformats.org/officeDocument/2006/relationships/hyperlink" Id="rId85" Target="https://doi.org/10.1006/anbe.2000.1546" TargetMode="External" /><Relationship Type="http://schemas.openxmlformats.org/officeDocument/2006/relationships/hyperlink" Id="rId112"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9" Target="https://doi.org/10.1007/s11222-016-9649-y" TargetMode="External" /><Relationship Type="http://schemas.openxmlformats.org/officeDocument/2006/relationships/hyperlink" Id="rId104" Target="https://doi.org/10.1007/s11222-016-9696-4" TargetMode="External" /><Relationship Type="http://schemas.openxmlformats.org/officeDocument/2006/relationships/hyperlink" Id="rId81"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6" Target="https://doi.org/10.1016/j.tree.2023.09.012" TargetMode="External" /><Relationship Type="http://schemas.openxmlformats.org/officeDocument/2006/relationships/hyperlink" Id="rId69" Target="https://doi.org/10.1073/pnas.1115133109" TargetMode="External" /><Relationship Type="http://schemas.openxmlformats.org/officeDocument/2006/relationships/hyperlink" Id="rId79" Target="https://doi.org/10.1073/pnas.2217973120" TargetMode="External" /><Relationship Type="http://schemas.openxmlformats.org/officeDocument/2006/relationships/hyperlink" Id="rId61" Target="https://doi.org/10.1080/03014223.1994.9517994" TargetMode="External" /><Relationship Type="http://schemas.openxmlformats.org/officeDocument/2006/relationships/hyperlink" Id="rId75" Target="https://doi.org/10.1086/724491" TargetMode="External" /><Relationship Type="http://schemas.openxmlformats.org/officeDocument/2006/relationships/hyperlink" Id="rId59" Target="https://doi.org/10.1093/beheco/12.2.192" TargetMode="External" /><Relationship Type="http://schemas.openxmlformats.org/officeDocument/2006/relationships/hyperlink" Id="rId64" Target="https://doi.org/10.1093/beheco/arac063" TargetMode="External" /><Relationship Type="http://schemas.openxmlformats.org/officeDocument/2006/relationships/hyperlink" Id="rId98" Target="https://doi.org/10.1093/beheco/ars156" TargetMode="External" /><Relationship Type="http://schemas.openxmlformats.org/officeDocument/2006/relationships/hyperlink" Id="rId93" Target="https://doi.org/10.1093/jeb/voae055" TargetMode="External" /><Relationship Type="http://schemas.openxmlformats.org/officeDocument/2006/relationships/hyperlink" Id="rId95"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71" Target="https://doi.org/10.1098/rspb.2017.2182" TargetMode="External" /><Relationship Type="http://schemas.openxmlformats.org/officeDocument/2006/relationships/hyperlink" Id="rId102"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8" Target="https://doi.org/10.1111/brv.12879" TargetMode="External" /><Relationship Type="http://schemas.openxmlformats.org/officeDocument/2006/relationships/hyperlink" Id="rId110" Target="https://doi.org/10.1111/j.1365-2435.2005.01033.x" TargetMode="External" /><Relationship Type="http://schemas.openxmlformats.org/officeDocument/2006/relationships/hyperlink" Id="rId77" Target="https://doi.org/10.1111/j.1365-2435.2009.01631.x" TargetMode="External" /><Relationship Type="http://schemas.openxmlformats.org/officeDocument/2006/relationships/hyperlink" Id="rId114" Target="https://doi.org/10.1111/j.1365-2656.2008.01429.x" TargetMode="External" /><Relationship Type="http://schemas.openxmlformats.org/officeDocument/2006/relationships/hyperlink" Id="rId83" Target="https://doi.org/10.1111/oik.08143" TargetMode="External" /><Relationship Type="http://schemas.openxmlformats.org/officeDocument/2006/relationships/hyperlink" Id="rId91" Target="https://doi.org/10.1163/000579509X12512871386137" TargetMode="External" /><Relationship Type="http://schemas.openxmlformats.org/officeDocument/2006/relationships/hyperlink" Id="rId106" Target="https://doi.org/10.1214/20-BA1221" TargetMode="External" /><Relationship Type="http://schemas.openxmlformats.org/officeDocument/2006/relationships/hyperlink" Id="rId67" Target="https://doi.org/10.1242/jeb.154534" TargetMode="External" /><Relationship Type="http://schemas.openxmlformats.org/officeDocument/2006/relationships/hyperlink" Id="rId100"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8" Target="https://doi.org/10.48550/arXiv.1507.02646" TargetMode="External" /><Relationship Type="http://schemas.openxmlformats.org/officeDocument/2006/relationships/hyperlink" Id="rId87" Target="https://doi.org/10.7717/peerj.6876" TargetMode="External" /><Relationship Type="http://schemas.openxmlformats.org/officeDocument/2006/relationships/hyperlink" Id="rId28"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3" Target="https://doi.org/10.1002/9781444342536.ch3" TargetMode="External" /><Relationship Type="http://schemas.openxmlformats.org/officeDocument/2006/relationships/hyperlink" Id="rId85" Target="https://doi.org/10.1006/anbe.2000.1546" TargetMode="External" /><Relationship Type="http://schemas.openxmlformats.org/officeDocument/2006/relationships/hyperlink" Id="rId112"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9" Target="https://doi.org/10.1007/s11222-016-9649-y" TargetMode="External" /><Relationship Type="http://schemas.openxmlformats.org/officeDocument/2006/relationships/hyperlink" Id="rId104" Target="https://doi.org/10.1007/s11222-016-9696-4" TargetMode="External" /><Relationship Type="http://schemas.openxmlformats.org/officeDocument/2006/relationships/hyperlink" Id="rId81"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6" Target="https://doi.org/10.1016/j.tree.2023.09.012" TargetMode="External" /><Relationship Type="http://schemas.openxmlformats.org/officeDocument/2006/relationships/hyperlink" Id="rId69" Target="https://doi.org/10.1073/pnas.1115133109" TargetMode="External" /><Relationship Type="http://schemas.openxmlformats.org/officeDocument/2006/relationships/hyperlink" Id="rId79" Target="https://doi.org/10.1073/pnas.2217973120" TargetMode="External" /><Relationship Type="http://schemas.openxmlformats.org/officeDocument/2006/relationships/hyperlink" Id="rId61" Target="https://doi.org/10.1080/03014223.1994.9517994" TargetMode="External" /><Relationship Type="http://schemas.openxmlformats.org/officeDocument/2006/relationships/hyperlink" Id="rId75" Target="https://doi.org/10.1086/724491" TargetMode="External" /><Relationship Type="http://schemas.openxmlformats.org/officeDocument/2006/relationships/hyperlink" Id="rId59" Target="https://doi.org/10.1093/beheco/12.2.192" TargetMode="External" /><Relationship Type="http://schemas.openxmlformats.org/officeDocument/2006/relationships/hyperlink" Id="rId64" Target="https://doi.org/10.1093/beheco/arac063" TargetMode="External" /><Relationship Type="http://schemas.openxmlformats.org/officeDocument/2006/relationships/hyperlink" Id="rId98" Target="https://doi.org/10.1093/beheco/ars156" TargetMode="External" /><Relationship Type="http://schemas.openxmlformats.org/officeDocument/2006/relationships/hyperlink" Id="rId93" Target="https://doi.org/10.1093/jeb/voae055" TargetMode="External" /><Relationship Type="http://schemas.openxmlformats.org/officeDocument/2006/relationships/hyperlink" Id="rId95"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71" Target="https://doi.org/10.1098/rspb.2017.2182" TargetMode="External" /><Relationship Type="http://schemas.openxmlformats.org/officeDocument/2006/relationships/hyperlink" Id="rId102"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8" Target="https://doi.org/10.1111/brv.12879" TargetMode="External" /><Relationship Type="http://schemas.openxmlformats.org/officeDocument/2006/relationships/hyperlink" Id="rId110" Target="https://doi.org/10.1111/j.1365-2435.2005.01033.x" TargetMode="External" /><Relationship Type="http://schemas.openxmlformats.org/officeDocument/2006/relationships/hyperlink" Id="rId77" Target="https://doi.org/10.1111/j.1365-2435.2009.01631.x" TargetMode="External" /><Relationship Type="http://schemas.openxmlformats.org/officeDocument/2006/relationships/hyperlink" Id="rId114" Target="https://doi.org/10.1111/j.1365-2656.2008.01429.x" TargetMode="External" /><Relationship Type="http://schemas.openxmlformats.org/officeDocument/2006/relationships/hyperlink" Id="rId83" Target="https://doi.org/10.1111/oik.08143" TargetMode="External" /><Relationship Type="http://schemas.openxmlformats.org/officeDocument/2006/relationships/hyperlink" Id="rId91" Target="https://doi.org/10.1163/000579509X12512871386137" TargetMode="External" /><Relationship Type="http://schemas.openxmlformats.org/officeDocument/2006/relationships/hyperlink" Id="rId106" Target="https://doi.org/10.1214/20-BA1221" TargetMode="External" /><Relationship Type="http://schemas.openxmlformats.org/officeDocument/2006/relationships/hyperlink" Id="rId67" Target="https://doi.org/10.1242/jeb.154534" TargetMode="External" /><Relationship Type="http://schemas.openxmlformats.org/officeDocument/2006/relationships/hyperlink" Id="rId100"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8" Target="https://doi.org/10.48550/arXiv.1507.02646" TargetMode="External" /><Relationship Type="http://schemas.openxmlformats.org/officeDocument/2006/relationships/hyperlink" Id="rId87" Target="https://doi.org/10.7717/peerj.6876" TargetMode="External" /><Relationship Type="http://schemas.openxmlformats.org/officeDocument/2006/relationships/hyperlink" Id="rId28"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2024-09-03T02:14:43Z</dcterms:created>
  <dcterms:modified xsi:type="dcterms:W3CDTF">2024-09-03T02:14:43Z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