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do so, predators need to hone their skills and acquire knowledge through repeated and extensive practice. Recent studies suggest that such acquisition of expertise may not follow expected patterns when prey use antipredator tactics to evade detection and pursuit. Such tactics may even impair the acquisition of predator expertise. Yet,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Prey speed was an important mediator of this relationship, driving differences among predators in the development of expertise. At the population-level, we found that faster prey could impair the acquisition of expertise by reducing hunting success. At the individual-level, our results show that prey speed shapes how individual predators acquire expertise. Therefore,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The ecological consequences of predation accrue to the sum of consumptive and nonconsumptive effects (CEs and NCEs) during predator-prey interactions</w:t>
      </w:r>
      <w:r>
        <w:t xml:space="preserve"> </w:t>
      </w:r>
      <w:r>
        <w:t xml:space="preserve">(Preisser, Orrock, and Schmitz 2007)</w:t>
      </w:r>
      <w:r>
        <w:t xml:space="preserve">. Recent advances in our understanding of the mechanisms (e.g. foraging mode, reciprocal plasticity, size-dependent foraging) driving (N)CEs at the individual and population level have allowed ecologists to predict their outcome as well as their effect on prey population dynamics</w:t>
      </w:r>
      <w:r>
        <w:t xml:space="preserve"> </w:t>
      </w:r>
      <w:r>
        <w:t xml:space="preserve">(Peckarsky et al. 2008; Gravel et al. 2013; Wirsing et al. 2021)</w:t>
      </w:r>
      <w:r>
        <w:t xml:space="preserve">. For example, empirical studies show that prey tend to increase vigilance at the expense of foraging in the presence of ambush predators (NCEs)</w:t>
      </w:r>
      <w:r>
        <w:t xml:space="preserve"> </w:t>
      </w:r>
      <w:r>
        <w:t xml:space="preserve">(Preisser, Orrock, and Schmitz 2007)</w:t>
      </w:r>
      <w:r>
        <w:t xml:space="preserve">, with such hunters consuming a greater range of prey types (CEs) compared to cursorial hunters</w:t>
      </w:r>
      <w:r>
        <w:t xml:space="preserve"> </w:t>
      </w:r>
      <w:r>
        <w:t xml:space="preserve">(Glaudas et al. 2019)</w:t>
      </w:r>
      <w:r>
        <w:t xml:space="preserve">.</w:t>
      </w:r>
    </w:p>
    <w:p>
      <w:pPr>
        <w:pStyle w:val="BodyText"/>
      </w:pPr>
      <w:r>
        <w:t xml:space="preserve">There are, however, internal mechanisms contributing to predator foraging success that are often overlooked when studying (N)CEs in predator-prey interactions</w:t>
      </w:r>
      <w:r>
        <w:t xml:space="preserve"> </w:t>
      </w:r>
      <w:r>
        <w:t xml:space="preserve">(Wooster et al. 2023)</w:t>
      </w:r>
      <w:r>
        <w:t xml:space="preserve">. For instance, predators need to acquire expertise by practicing and learning the proper skills to successfully locate, select, and capture their prey</w:t>
      </w:r>
      <w:r>
        <w:t xml:space="preserve"> </w:t>
      </w:r>
      <w:r>
        <w:t xml:space="preserve">(Dukas 2019; Wooster et al. 2023)</w:t>
      </w:r>
      <w:r>
        <w:t xml:space="preserve">. Empirical studies on human and non-human hunters show that individuals optimize foraging efficiency (e.g. search and handling times, return rates) by learning associative images, or by using cues from their prey and their environment</w:t>
      </w:r>
      <w:r>
        <w:t xml:space="preserve"> </w:t>
      </w:r>
      <w:r>
        <w:t xml:space="preserve">(Edwards and Jackson 1994; Morse 2000; MacDonald 2007; Reid, Seebacher, and Ward 2010; Wilson-Rankin 2015)</w:t>
      </w:r>
      <w:r>
        <w:t xml:space="preserve">. Thus, predators can integrate this information to increase their chances of locating prey, or to use the attack tactic most suited for a given context.</w:t>
      </w:r>
    </w:p>
    <w:p>
      <w:pPr>
        <w:pStyle w:val="BodyText"/>
      </w:pPr>
      <w:r>
        <w:t xml:space="preserve">On the other hand, prey use antipredator tactics such as rapid escapes to evade predators</w:t>
      </w:r>
      <w:r>
        <w:t xml:space="preserve"> </w:t>
      </w:r>
      <w:r>
        <w:t xml:space="preserve">(Walker et al. 2005; Kelley and Magurran 2011; Herbert-Read et al. 2017)</w:t>
      </w:r>
      <w:r>
        <w:t xml:space="preserve">. This compels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For example, experimental studies have shown that certain camouflage strategies, such as disruptive coloration, can impair expertise acquisition in humans and birds</w:t>
      </w:r>
      <w:r>
        <w:t xml:space="preserve"> </w:t>
      </w:r>
      <w:r>
        <w:t xml:space="preserve">(Stevens et al. 2012; Troscianko et al. 2013; Troscianko, Skelhorn, and Stevens 2018)</w:t>
      </w:r>
      <w:r>
        <w:t xml:space="preserve">. Unfortunately, while our understanding of how predation risk influences information acquisition in prey has increased over the years</w:t>
      </w:r>
      <w:r>
        <w:t xml:space="preserve"> </w:t>
      </w:r>
      <w:r>
        <w:t xml:space="preserve">(reviewed in Crane et al. 2024)</w:t>
      </w:r>
      <w:r>
        <w:t xml:space="preserve">, there is only scarce evidence showing links between prey antipredator strategies and the development of expertise in human and nonhuman predators. Therefore, our ability to accurately predict the (N)CEs of predation on prey populations remain limited.</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to test ecological hypotheses</w:t>
      </w:r>
      <w:r>
        <w:t xml:space="preserve"> </w:t>
      </w:r>
      <w:r>
        <w:t xml:space="preserve">(see Lymbery, Webber, and Didham 2023)</w:t>
      </w:r>
      <w:r>
        <w:t xml:space="preserve"> </w:t>
      </w:r>
      <w:r>
        <w:t xml:space="preserve">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fundamental ecological patterns can emerge from human interactions in virtual systems with fixed rules</w:t>
      </w:r>
      <w:r>
        <w:t xml:space="preserve"> </w:t>
      </w:r>
      <w:r>
        <w:t xml:space="preserve">(Brosnan and Postma 2017; Kasumovic, Blake, and Denson 2017)</w:t>
      </w:r>
      <w:r>
        <w:t xml:space="preserve">.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how the predator population develops its hunting expertise. We hypothesize that the predator population’s success will increase with experience up to a certain level where it will stabilize</w:t>
      </w:r>
      <w:r>
        <w:t xml:space="preserve"> </w:t>
      </w:r>
      <w:r>
        <w:t xml:space="preserve">(Dukas 2019)</w:t>
      </w:r>
      <w:r>
        <w:t xml:space="preserve">. However, we expect this pattern to change depending on the movement of the prey encountered. We hypothesize that prey will influence the development of expertise, and predict that faster prey will reduce the gain in expertise. Therefore, we then investigate how prey movement influences the development of expertise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the additive model with a global smoother only (see Table 1), and 1500 iterations with a thinning set to four for the remaining additive models. We set the first 500 iterations of each model as warm 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3" w:name="results"/>
    <w:p>
      <w:pPr>
        <w:pStyle w:val="Heading1"/>
      </w:pPr>
      <w:r>
        <w:t xml:space="preserve">RESULTS</w:t>
      </w:r>
    </w:p>
    <w:bookmarkStart w:id="35" w:name="Xf22078a131b724a80386af25115d73ed6414a02"/>
    <w:p>
      <w:pPr>
        <w:pStyle w:val="Heading2"/>
      </w:pPr>
      <w:r>
        <w:t xml:space="preserve">Development of expertise at the population level</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for the average individual (i.e. no gain in expertise). Accounting for the prey rank resulted in a concave-shaped relationship, with the highest success ranging between ~200 and ~300 matches (Figure 1A).</w:t>
      </w:r>
    </w:p>
    <w:p>
      <w:pPr>
        <w:pStyle w:val="BodyText"/>
      </w:pPr>
      <w:r>
        <w:t xml:space="preserve">We found strong evidence of a negative relationship between hunting success and prey speed (Figure S2). In the model where we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5"/>
    <w:bookmarkStart w:id="42" w:name="X7e7aca6158a8793b5cbb39b371e35a3f4e83fee"/>
    <w:p>
      <w:pPr>
        <w:pStyle w:val="Heading2"/>
      </w:pPr>
      <w:r>
        <w:t xml:space="preserve">Development of expertise at the individual level</w:t>
      </w:r>
    </w:p>
    <w:p>
      <w:pPr>
        <w:pStyle w:val="FirstParagraph"/>
      </w:pPr>
      <w:r>
        <w:t xml:space="preserve">Prey speed did not influence among individual differences in average hunting success as the posterior distributions of the standard deviations of individual intercepts were almost completely overlapping (Figure 2, median = 2.21 vs median = 2.19). However, individuals differed in the development of their hunting expertise (Figure 1B-D). We found strong evidence that the speed of the prey mediated among 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7" name="Picture"/>
            <a:graphic>
              <a:graphicData uri="http://schemas.openxmlformats.org/drawingml/2006/picture">
                <pic:pic>
                  <pic:nvPicPr>
                    <pic:cNvPr descr="../outputs/outputs_figures/figure1.png" id="38" name="Picture"/>
                    <pic:cNvPicPr>
                      <a:picLocks noChangeArrowheads="1" noChangeAspect="1"/>
                    </pic:cNvPicPr>
                  </pic:nvPicPr>
                  <pic:blipFill>
                    <a:blip r:embed="rId36"/>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 title="" id="40" name="Picture"/>
            <a:graphic>
              <a:graphicData uri="http://schemas.openxmlformats.org/drawingml/2006/picture">
                <pic:pic>
                  <pic:nvPicPr>
                    <pic:cNvPr descr="../outputs/outputs_figures/figure2.png" id="41" name="Picture"/>
                    <pic:cNvPicPr>
                      <a:picLocks noChangeArrowheads="1" noChangeAspect="1"/>
                    </pic:cNvPicPr>
                  </pic:nvPicPr>
                  <pic:blipFill>
                    <a:blip r:embed="rId39"/>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w:t>
      </w:r>
    </w:p>
    <w:bookmarkEnd w:id="42"/>
    <w:bookmarkEnd w:id="43"/>
    <w:bookmarkStart w:id="45" w:name="discussion"/>
    <w:p>
      <w:pPr>
        <w:pStyle w:val="Heading1"/>
      </w:pPr>
      <w:r>
        <w:t xml:space="preserve">DISCUSSION</w:t>
      </w:r>
    </w:p>
    <w:p>
      <w:pPr>
        <w:pStyle w:val="FirstParagraph"/>
      </w:pPr>
      <w:r>
        <w:t xml:space="preserve">Predators usually optimize prey consumption through time by acquiring hunting expertise</w:t>
      </w:r>
      <w:r>
        <w:t xml:space="preserve"> </w:t>
      </w:r>
      <w:r>
        <w:t xml:space="preserve">(Dukas 2019; Wooster et al. 2023)</w:t>
      </w:r>
      <w:r>
        <w:t xml:space="preserve">. Yet, few studies have empirically tested how prey antipredator strategies mediate the acquisition of hunting expertise due to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Yet, there were important differences among individuals in the development of said expertise, which we found to be in part due to the movement of the prey encountered.</w:t>
      </w:r>
    </w:p>
    <w:p>
      <w:pPr>
        <w:pStyle w:val="BodyText"/>
      </w:pPr>
      <w:r>
        <w:t xml:space="preserve">Our results suggest that the acquisition of hunting expertise was honed through extensive practice. The predator population displayed an asymptotic relationship between experience and success, wherein initial gains in success were significant but gradually stabilized as experience accumulated. Our observations are consistent with empirical studies of expertise in both humans and nonhuman animals</w:t>
      </w:r>
      <w:r>
        <w:t xml:space="preserve"> </w:t>
      </w:r>
      <w:r>
        <w:t xml:space="preserve">(reviewed in Dukas 2019)</w:t>
      </w:r>
      <w:r>
        <w:t xml:space="preserve">. However, the prey’s speed was important in mediating this pattern at the population level. Encountering faster prey led to more difficult encounters for predators.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could explain why the relationship was concave in the model where we did not account for prey speed, because the prey were probably increasing their speed as they gained experience. Because the matchmaking algorithm pairs players based on their skill, adept predators were probably encountering prey moving at higher speeds. Thus, our results suggest that predators can gain expertise and maintain success when they encounter prey that move at speeds lower or close to the population-average.</w:t>
      </w:r>
    </w:p>
    <w:p>
      <w:pPr>
        <w:pStyle w:val="BodyText"/>
      </w:pPr>
      <w:r>
        <w:t xml:space="preserve">Prey speed also mediated differences among predator players in the development of their expertise. Individual predator players probably differed in their capacity to adjust to difficult prey. Animals are expected to have limited attention that constrain diet choice and image search formation</w:t>
      </w:r>
      <w:r>
        <w:t xml:space="preserve"> </w:t>
      </w:r>
      <w:r>
        <w:t xml:space="preserve">(Dukas and Kamil 2001)</w:t>
      </w:r>
      <w:r>
        <w:t xml:space="preserve">. Moreover, hunting faster prey requires specialized cognitive abilities and coordination that are energetically costly</w:t>
      </w:r>
      <w:r>
        <w:t xml:space="preserve"> </w:t>
      </w:r>
      <w:r>
        <w:t xml:space="preserve">(Kelley and Magurran 2011)</w:t>
      </w:r>
      <w:r>
        <w:t xml:space="preserve">. Thus, predators that couldn’t develop counter-strategies to detect or chase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suggest that prey antipredator behaviour can also impair predator expertise acquisition, with potential implications for predator-prey dynamics.</w:t>
      </w:r>
    </w:p>
    <w:p>
      <w:pPr>
        <w:pStyle w:val="BodyText"/>
      </w:pPr>
      <w:r>
        <w:t xml:space="preserve">Despite adjusting for the prey’s speed, discernible variations in expertise acquisition among predator players persisted, indicating the possible influence of other factors. It is hypothesized that longer time intervals between hunting events can hinder or delay the acquisition of expertise because individuals may forget information when delays are longer</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 Another limitation of our study is that the life of neither the predator nor the prey players are at stake in</w:t>
      </w:r>
      <w:r>
        <w:t xml:space="preserve"> </w:t>
      </w:r>
      <w:r>
        <w:rPr>
          <w:iCs/>
          <w:i/>
        </w:rPr>
        <w:t xml:space="preserve">DBD</w:t>
      </w:r>
      <w:r>
        <w:t xml:space="preserve">, such that emerging patterns could be driven by their motivation to win and not</w:t>
      </w:r>
      <w:r>
        <w:t xml:space="preserve"> </w:t>
      </w:r>
      <w:r>
        <w:t xml:space="preserve">“</w:t>
      </w:r>
      <w:r>
        <w:t xml:space="preserve">true</w:t>
      </w:r>
      <w:r>
        <w:t xml:space="preserve">”</w:t>
      </w:r>
      <w:r>
        <w:t xml:space="preserve"> </w:t>
      </w:r>
      <w:r>
        <w:t xml:space="preserve">survival. For example, some players could experiment with the game out of boredom, which could impede ecologically realistic interpretations of our data. Lastly, the prey can be consumed in a match but carry that experience on to the next round without any penalty. Thus, interpretations of our results must be made with these caveats in mind.</w:t>
      </w:r>
    </w:p>
    <w:bookmarkStart w:id="44" w:name="conclusions"/>
    <w:p>
      <w:pPr>
        <w:pStyle w:val="Heading2"/>
      </w:pPr>
      <w:r>
        <w:t xml:space="preserve">Conclusions</w:t>
      </w:r>
    </w:p>
    <w:p>
      <w:pPr>
        <w:pStyle w:val="FirstParagraph"/>
      </w:pPr>
      <w:r>
        <w:t xml:space="preserve">We found support of our hypothesis that prey antipredator behaviour was driving individual differences in expertise in a predator population. Our results suggest that predators gained expertise, as their success increased wit extensive practice, but that prey speed impaired expertise acquisition. Future analyses should investigate how efficient antipredator tactics are associated with prey experience, as this may reveal important insights on the eco-evolutionary dynamics of predator prey interactions. Lastly, virtual systems are increasingly used as systems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4"/>
    <w:bookmarkEnd w:id="45"/>
    <w:bookmarkStart w:id="120" w:name="references"/>
    <w:p>
      <w:pPr>
        <w:pStyle w:val="Heading1"/>
      </w:pPr>
      <w:r>
        <w:t xml:space="preserve">REFERENCES</w:t>
      </w:r>
    </w:p>
    <w:bookmarkStart w:id="119" w:name="refs"/>
    <w:bookmarkStart w:id="47"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crane.etal2024"/>
    <w:p>
      <w:pPr>
        <w:pStyle w:val="Bibliography"/>
      </w:pPr>
      <w:r>
        <w:t xml:space="preserve">Crane, Adam L., Laurence E. A. Feyten, Alexyz A. Preagola, Maud C. O. Ferrari, and Grant E. Brown. 2024.</w:t>
      </w:r>
      <w:r>
        <w:t xml:space="preserve"> </w:t>
      </w:r>
      <w:r>
        <w:t xml:space="preserve">“Uncertainty about Predation Risk: A Conceptual Review.”</w:t>
      </w:r>
      <w:r>
        <w:t xml:space="preserve"> </w:t>
      </w:r>
      <w:r>
        <w:rPr>
          <w:iCs/>
          <w:i/>
        </w:rPr>
        <w:t xml:space="preserve">Biological Reviews</w:t>
      </w:r>
      <w:r>
        <w:t xml:space="preserve"> </w:t>
      </w:r>
      <w:r>
        <w:t xml:space="preserve">99 (1): 238–52. https://doi.org/</w:t>
      </w:r>
      <w:hyperlink r:id="rId54">
        <w:r>
          <w:rPr>
            <w:rStyle w:val="Hyperlink"/>
          </w:rPr>
          <w:t xml:space="preserve">https://doi.org/10.1111/brv.13019</w:t>
        </w:r>
      </w:hyperlink>
      <w:r>
        <w:t xml:space="preserve">.</w:t>
      </w:r>
    </w:p>
    <w:bookmarkEnd w:id="55"/>
    <w:bookmarkStart w:id="57"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w:t>
      </w:r>
      <w:r>
        <w:t xml:space="preserve"> </w:t>
      </w:r>
      <w:r>
        <w:t xml:space="preserve">“</w:t>
      </w:r>
      <w:r>
        <w:t xml:space="preserve">Limited attention: the constraint underlying search image</w:t>
      </w:r>
      <w:r>
        <w:t xml:space="preserve">.”</w:t>
      </w:r>
      <w:r>
        <w:t xml:space="preserve"> </w:t>
      </w:r>
      <w:r>
        <w:rPr>
          <w:iCs/>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2"/>
    <w:bookmarkStart w:id="64"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5"/>
    <w:bookmarkStart w:id="67" w:name="ref-glaudas2019"/>
    <w:p>
      <w:pPr>
        <w:pStyle w:val="Bibliography"/>
      </w:pPr>
      <w:r>
        <w:t xml:space="preserve">Glaudas, Xavier, Kelsey L. Glennon, Marcio Martins, Luca Luiselli, Simon Fearn, Dane F. Trembath, Dušan Jelić, and Graham J. Alexander. 2019.</w:t>
      </w:r>
      <w:r>
        <w:t xml:space="preserve"> </w:t>
      </w:r>
      <w:r>
        <w:t xml:space="preserve">“Foraging Mode, Relative Prey Size and Diet Breadth:</w:t>
      </w:r>
      <w:r>
        <w:t xml:space="preserve"> </w:t>
      </w:r>
      <w:r>
        <w:t xml:space="preserve">A</w:t>
      </w:r>
      <w:r>
        <w:t xml:space="preserve"> </w:t>
      </w:r>
      <w:r>
        <w:t xml:space="preserve">Phylogenetically Explicit Analysis of Snake Feeding Ecology.”</w:t>
      </w:r>
      <w:r>
        <w:t xml:space="preserve"> </w:t>
      </w:r>
      <w:r>
        <w:rPr>
          <w:iCs/>
          <w:i/>
        </w:rPr>
        <w:t xml:space="preserve">Journal of Animal Ecology</w:t>
      </w:r>
      <w:r>
        <w:t xml:space="preserve"> </w:t>
      </w:r>
      <w:r>
        <w:t xml:space="preserve">88 (5): 757–67.</w:t>
      </w:r>
      <w:r>
        <w:t xml:space="preserve"> </w:t>
      </w:r>
      <w:hyperlink r:id="rId66">
        <w:r>
          <w:rPr>
            <w:rStyle w:val="Hyperlink"/>
          </w:rPr>
          <w:t xml:space="preserve">https://doi.org/10.1111/1365-2656.12972</w:t>
        </w:r>
      </w:hyperlink>
      <w:r>
        <w:t xml:space="preserve">.</w:t>
      </w:r>
    </w:p>
    <w:bookmarkEnd w:id="67"/>
    <w:bookmarkStart w:id="69"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68">
        <w:r>
          <w:rPr>
            <w:rStyle w:val="Hyperlink"/>
          </w:rPr>
          <w:t xml:space="preserve">https://doi.org/10.1111/2041-210X.12103</w:t>
        </w:r>
      </w:hyperlink>
      <w:r>
        <w:t xml:space="preserve">.</w:t>
      </w:r>
    </w:p>
    <w:bookmarkEnd w:id="69"/>
    <w:bookmarkStart w:id="71"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70">
        <w:r>
          <w:rPr>
            <w:rStyle w:val="Hyperlink"/>
          </w:rPr>
          <w:t xml:space="preserve">https://doi.org/10.1242/jeb.154534</w:t>
        </w:r>
      </w:hyperlink>
      <w:r>
        <w:t xml:space="preserve">.</w:t>
      </w:r>
    </w:p>
    <w:bookmarkEnd w:id="71"/>
    <w:bookmarkStart w:id="73"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2">
        <w:r>
          <w:rPr>
            <w:rStyle w:val="Hyperlink"/>
          </w:rPr>
          <w:t xml:space="preserve">https://doi.org/10.1098/rspb.2017.2182</w:t>
        </w:r>
      </w:hyperlink>
      <w:r>
        <w:t xml:space="preserve">.</w:t>
      </w:r>
    </w:p>
    <w:bookmarkEnd w:id="73"/>
    <w:bookmarkStart w:id="75"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4">
        <w:r>
          <w:rPr>
            <w:rStyle w:val="Hyperlink"/>
          </w:rPr>
          <w:t xml:space="preserve">https://doi.org/10.1002/9781444342536.ch3</w:t>
        </w:r>
      </w:hyperlink>
      <w:r>
        <w:t xml:space="preserve">.</w:t>
      </w:r>
    </w:p>
    <w:bookmarkEnd w:id="75"/>
    <w:bookmarkStart w:id="77"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6">
        <w:r>
          <w:rPr>
            <w:rStyle w:val="Hyperlink"/>
          </w:rPr>
          <w:t xml:space="preserve">https://doi.org/10.1073/pnas.2217973120</w:t>
        </w:r>
      </w:hyperlink>
      <w:r>
        <w:t xml:space="preserve">.</w:t>
      </w:r>
    </w:p>
    <w:bookmarkEnd w:id="77"/>
    <w:bookmarkStart w:id="79"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8">
        <w:r>
          <w:rPr>
            <w:rStyle w:val="Hyperlink"/>
          </w:rPr>
          <w:t xml:space="preserve">https://doi.org/10.1007/s12110-007-9019-8</w:t>
        </w:r>
      </w:hyperlink>
      <w:r>
        <w:t xml:space="preserve">.</w:t>
      </w:r>
    </w:p>
    <w:bookmarkEnd w:id="79"/>
    <w:bookmarkStart w:id="81"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0">
        <w:r>
          <w:rPr>
            <w:rStyle w:val="Hyperlink"/>
          </w:rPr>
          <w:t xml:space="preserve">https://doi.org/10.1111/oik.08143</w:t>
        </w:r>
      </w:hyperlink>
      <w:r>
        <w:t xml:space="preserve">.</w:t>
      </w:r>
    </w:p>
    <w:bookmarkEnd w:id="81"/>
    <w:bookmarkStart w:id="83"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2">
        <w:r>
          <w:rPr>
            <w:rStyle w:val="Hyperlink"/>
          </w:rPr>
          <w:t xml:space="preserve">https://doi.org/10.1006/anbe.2000.1546</w:t>
        </w:r>
      </w:hyperlink>
      <w:r>
        <w:t xml:space="preserve">.</w:t>
      </w:r>
    </w:p>
    <w:bookmarkEnd w:id="83"/>
    <w:bookmarkStart w:id="85"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84">
        <w:r>
          <w:rPr>
            <w:rStyle w:val="Hyperlink"/>
          </w:rPr>
          <w:t xml:space="preserve">https://doi.org/10.1890/07-1131.1</w:t>
        </w:r>
      </w:hyperlink>
      <w:r>
        <w:t xml:space="preserve">.</w:t>
      </w:r>
    </w:p>
    <w:bookmarkEnd w:id="85"/>
    <w:bookmarkStart w:id="87"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6">
        <w:r>
          <w:rPr>
            <w:rStyle w:val="Hyperlink"/>
          </w:rPr>
          <w:t xml:space="preserve">https://doi.org/10.7717/peerj.6876</w:t>
        </w:r>
      </w:hyperlink>
      <w:r>
        <w:t xml:space="preserve">.</w:t>
      </w:r>
    </w:p>
    <w:bookmarkEnd w:id="87"/>
    <w:bookmarkStart w:id="89"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8">
        <w:r>
          <w:rPr>
            <w:rStyle w:val="Hyperlink"/>
          </w:rPr>
          <w:t xml:space="preserve">https://doi.org/10.1007/s11222-016-9649-y</w:t>
        </w:r>
      </w:hyperlink>
      <w:r>
        <w:t xml:space="preserve">.</w:t>
      </w:r>
    </w:p>
    <w:bookmarkEnd w:id="89"/>
    <w:bookmarkStart w:id="91"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90">
        <w:r>
          <w:rPr>
            <w:rStyle w:val="Hyperlink"/>
          </w:rPr>
          <w:t xml:space="preserve">https://doi.org/10.1890/07-0260.1</w:t>
        </w:r>
      </w:hyperlink>
      <w:r>
        <w:t xml:space="preserve">.</w:t>
      </w:r>
    </w:p>
    <w:bookmarkEnd w:id="91"/>
    <w:bookmarkStart w:id="93"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2">
        <w:r>
          <w:rPr>
            <w:rStyle w:val="Hyperlink"/>
          </w:rPr>
          <w:t xml:space="preserve">https://doi.org/10.1163/000579509X12512871386137</w:t>
        </w:r>
      </w:hyperlink>
      <w:r>
        <w:t xml:space="preserve">.</w:t>
      </w:r>
    </w:p>
    <w:bookmarkEnd w:id="93"/>
    <w:bookmarkStart w:id="95"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4">
        <w:r>
          <w:rPr>
            <w:rStyle w:val="Hyperlink"/>
          </w:rPr>
          <w:t xml:space="preserve">https://doi.org/10.1093/jeb/voae055</w:t>
        </w:r>
      </w:hyperlink>
      <w:r>
        <w:t xml:space="preserve">.</w:t>
      </w:r>
    </w:p>
    <w:bookmarkEnd w:id="95"/>
    <w:bookmarkStart w:id="97"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6">
        <w:r>
          <w:rPr>
            <w:rStyle w:val="Hyperlink"/>
          </w:rPr>
          <w:t xml:space="preserve">https://doi.org/10.1093/beheco/ars156</w:t>
        </w:r>
      </w:hyperlink>
      <w:r>
        <w:t xml:space="preserve">.</w:t>
      </w:r>
    </w:p>
    <w:bookmarkEnd w:id="97"/>
    <w:bookmarkStart w:id="98"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8"/>
    <w:bookmarkStart w:id="100"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99">
        <w:r>
          <w:rPr>
            <w:rStyle w:val="Hyperlink"/>
          </w:rPr>
          <w:t xml:space="preserve">https://doi.org/10.1371/journal.pone.0073733</w:t>
        </w:r>
      </w:hyperlink>
      <w:r>
        <w:t xml:space="preserve">.</w:t>
      </w:r>
    </w:p>
    <w:bookmarkEnd w:id="100"/>
    <w:bookmarkStart w:id="102"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1">
        <w:r>
          <w:rPr>
            <w:rStyle w:val="Hyperlink"/>
          </w:rPr>
          <w:t xml:space="preserve">https://doi.org/10.1098/rspb.2018.1386</w:t>
        </w:r>
      </w:hyperlink>
      <w:r>
        <w:t xml:space="preserve">.</w:t>
      </w:r>
    </w:p>
    <w:bookmarkEnd w:id="102"/>
    <w:bookmarkStart w:id="104"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3">
        <w:r>
          <w:rPr>
            <w:rStyle w:val="Hyperlink"/>
          </w:rPr>
          <w:t xml:space="preserve">https://doi.org/10.1007/s11222-016-9696-4</w:t>
        </w:r>
      </w:hyperlink>
      <w:r>
        <w:t xml:space="preserve">.</w:t>
      </w:r>
    </w:p>
    <w:bookmarkEnd w:id="104"/>
    <w:bookmarkStart w:id="106"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5">
        <w:r>
          <w:rPr>
            <w:rStyle w:val="Hyperlink"/>
          </w:rPr>
          <w:t xml:space="preserve">https://doi.org/10.1214/20-BA1221</w:t>
        </w:r>
      </w:hyperlink>
      <w:r>
        <w:t xml:space="preserve">.</w:t>
      </w:r>
    </w:p>
    <w:bookmarkEnd w:id="106"/>
    <w:bookmarkStart w:id="108"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7">
        <w:r>
          <w:rPr>
            <w:rStyle w:val="Hyperlink"/>
          </w:rPr>
          <w:t xml:space="preserve">https://doi.org/10.48550/arXiv.1507.02646</w:t>
        </w:r>
      </w:hyperlink>
      <w:r>
        <w:t xml:space="preserve">.</w:t>
      </w:r>
    </w:p>
    <w:bookmarkEnd w:id="108"/>
    <w:bookmarkStart w:id="110"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9">
        <w:r>
          <w:rPr>
            <w:rStyle w:val="Hyperlink"/>
          </w:rPr>
          <w:t xml:space="preserve">https://doi.org/10.1111/j.1365-2435.2005.01033.x</w:t>
        </w:r>
      </w:hyperlink>
      <w:r>
        <w:t xml:space="preserve">.</w:t>
      </w:r>
    </w:p>
    <w:bookmarkEnd w:id="110"/>
    <w:bookmarkStart w:id="112"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11">
        <w:r>
          <w:rPr>
            <w:rStyle w:val="Hyperlink"/>
          </w:rPr>
          <w:t xml:space="preserve">https://doi.org/10.1007/s00265-014-1861-1</w:t>
        </w:r>
      </w:hyperlink>
      <w:r>
        <w:t xml:space="preserve">.</w:t>
      </w:r>
    </w:p>
    <w:bookmarkEnd w:id="112"/>
    <w:bookmarkStart w:id="114"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13">
        <w:r>
          <w:rPr>
            <w:rStyle w:val="Hyperlink"/>
          </w:rPr>
          <w:t xml:space="preserve">https://doi.org/10.1111/ele.13614</w:t>
        </w:r>
      </w:hyperlink>
      <w:r>
        <w:t xml:space="preserve">.</w:t>
      </w:r>
    </w:p>
    <w:bookmarkEnd w:id="114"/>
    <w:bookmarkStart w:id="116"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5">
        <w:r>
          <w:rPr>
            <w:rStyle w:val="Hyperlink"/>
          </w:rPr>
          <w:t xml:space="preserve">https://doi.org/10.1016/j.tree.2023.09.012</w:t>
        </w:r>
      </w:hyperlink>
      <w:r>
        <w:t xml:space="preserve">.</w:t>
      </w:r>
    </w:p>
    <w:bookmarkEnd w:id="116"/>
    <w:bookmarkStart w:id="118"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7">
        <w:r>
          <w:rPr>
            <w:rStyle w:val="Hyperlink"/>
          </w:rPr>
          <w:t xml:space="preserve">https://doi.org/10.1111/brv.12879</w:t>
        </w:r>
      </w:hyperlink>
      <w:r>
        <w:t xml:space="preserve">.</w:t>
      </w:r>
    </w:p>
    <w:bookmarkEnd w:id="118"/>
    <w:bookmarkEnd w:id="119"/>
    <w:bookmarkEnd w:id="12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4" Target="https://doi.org/10.1002/9781444342536.ch3" TargetMode="External" /><Relationship Type="http://schemas.openxmlformats.org/officeDocument/2006/relationships/hyperlink" Id="rId82"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8" Target="https://doi.org/10.1007/s11222-016-9649-y" TargetMode="External" /><Relationship Type="http://schemas.openxmlformats.org/officeDocument/2006/relationships/hyperlink" Id="rId103" Target="https://doi.org/10.1007/s11222-016-9696-4" TargetMode="External" /><Relationship Type="http://schemas.openxmlformats.org/officeDocument/2006/relationships/hyperlink" Id="rId78"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6"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4"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01" Target="https://doi.org/10.1098/rspb.2018.1386" TargetMode="External" /><Relationship Type="http://schemas.openxmlformats.org/officeDocument/2006/relationships/hyperlink" Id="rId66" Target="https://doi.org/10.1111/1365-2656.12972" TargetMode="External" /><Relationship Type="http://schemas.openxmlformats.org/officeDocument/2006/relationships/hyperlink" Id="rId68"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54" Target="https://doi.org/10.1111/brv.13019" TargetMode="External" /><Relationship Type="http://schemas.openxmlformats.org/officeDocument/2006/relationships/hyperlink" Id="rId113" Target="https://doi.org/10.1111/ele.13614" TargetMode="External" /><Relationship Type="http://schemas.openxmlformats.org/officeDocument/2006/relationships/hyperlink" Id="rId109" Target="https://doi.org/10.1111/j.1365-2435.2005.01033.x" TargetMode="External" /><Relationship Type="http://schemas.openxmlformats.org/officeDocument/2006/relationships/hyperlink" Id="rId80" Target="https://doi.org/10.1111/oik.08143" TargetMode="External" /><Relationship Type="http://schemas.openxmlformats.org/officeDocument/2006/relationships/hyperlink" Id="rId92" Target="https://doi.org/10.1163/000579509X12512871386137" TargetMode="External" /><Relationship Type="http://schemas.openxmlformats.org/officeDocument/2006/relationships/hyperlink" Id="rId105" Target="https://doi.org/10.1214/20-BA1221" TargetMode="External" /><Relationship Type="http://schemas.openxmlformats.org/officeDocument/2006/relationships/hyperlink" Id="rId70" Target="https://doi.org/10.1242/jeb.154534" TargetMode="External" /><Relationship Type="http://schemas.openxmlformats.org/officeDocument/2006/relationships/hyperlink" Id="rId99"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90" Target="https://doi.org/10.1890/07-0260.1" TargetMode="External" /><Relationship Type="http://schemas.openxmlformats.org/officeDocument/2006/relationships/hyperlink" Id="rId84" Target="https://doi.org/10.1890/07-1131.1" TargetMode="External" /><Relationship Type="http://schemas.openxmlformats.org/officeDocument/2006/relationships/hyperlink" Id="rId107" Target="https://doi.org/10.48550/arXiv.1507.02646" TargetMode="External" /><Relationship Type="http://schemas.openxmlformats.org/officeDocument/2006/relationships/hyperlink" Id="rId86"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4" Target="https://doi.org/10.1002/9781444342536.ch3" TargetMode="External" /><Relationship Type="http://schemas.openxmlformats.org/officeDocument/2006/relationships/hyperlink" Id="rId82"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8" Target="https://doi.org/10.1007/s11222-016-9649-y" TargetMode="External" /><Relationship Type="http://schemas.openxmlformats.org/officeDocument/2006/relationships/hyperlink" Id="rId103" Target="https://doi.org/10.1007/s11222-016-9696-4" TargetMode="External" /><Relationship Type="http://schemas.openxmlformats.org/officeDocument/2006/relationships/hyperlink" Id="rId78"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6"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4"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01" Target="https://doi.org/10.1098/rspb.2018.1386" TargetMode="External" /><Relationship Type="http://schemas.openxmlformats.org/officeDocument/2006/relationships/hyperlink" Id="rId66" Target="https://doi.org/10.1111/1365-2656.12972" TargetMode="External" /><Relationship Type="http://schemas.openxmlformats.org/officeDocument/2006/relationships/hyperlink" Id="rId68"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54" Target="https://doi.org/10.1111/brv.13019" TargetMode="External" /><Relationship Type="http://schemas.openxmlformats.org/officeDocument/2006/relationships/hyperlink" Id="rId113" Target="https://doi.org/10.1111/ele.13614" TargetMode="External" /><Relationship Type="http://schemas.openxmlformats.org/officeDocument/2006/relationships/hyperlink" Id="rId109" Target="https://doi.org/10.1111/j.1365-2435.2005.01033.x" TargetMode="External" /><Relationship Type="http://schemas.openxmlformats.org/officeDocument/2006/relationships/hyperlink" Id="rId80" Target="https://doi.org/10.1111/oik.08143" TargetMode="External" /><Relationship Type="http://schemas.openxmlformats.org/officeDocument/2006/relationships/hyperlink" Id="rId92" Target="https://doi.org/10.1163/000579509X12512871386137" TargetMode="External" /><Relationship Type="http://schemas.openxmlformats.org/officeDocument/2006/relationships/hyperlink" Id="rId105" Target="https://doi.org/10.1214/20-BA1221" TargetMode="External" /><Relationship Type="http://schemas.openxmlformats.org/officeDocument/2006/relationships/hyperlink" Id="rId70" Target="https://doi.org/10.1242/jeb.154534" TargetMode="External" /><Relationship Type="http://schemas.openxmlformats.org/officeDocument/2006/relationships/hyperlink" Id="rId99"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90" Target="https://doi.org/10.1890/07-0260.1" TargetMode="External" /><Relationship Type="http://schemas.openxmlformats.org/officeDocument/2006/relationships/hyperlink" Id="rId84" Target="https://doi.org/10.1890/07-1131.1" TargetMode="External" /><Relationship Type="http://schemas.openxmlformats.org/officeDocument/2006/relationships/hyperlink" Id="rId107" Target="https://doi.org/10.48550/arXiv.1507.02646" TargetMode="External" /><Relationship Type="http://schemas.openxmlformats.org/officeDocument/2006/relationships/hyperlink" Id="rId86"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2024-07-10T14:47:15Z</dcterms:created>
  <dcterms:modified xsi:type="dcterms:W3CDTF">2024-07-10T14:47:15Z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