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8.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Implications</w:t>
      </w:r>
      <w:r>
        <w:t xml:space="preserve"> </w:t>
      </w:r>
      <w:r>
        <w:t xml:space="preserve">of</w:t>
      </w:r>
      <w:r>
        <w:t xml:space="preserve"> </w:t>
      </w:r>
      <w:r>
        <w:t xml:space="preserve">prey</w:t>
      </w:r>
      <w:r>
        <w:t xml:space="preserve"> </w:t>
      </w:r>
      <w:r>
        <w:t xml:space="preserve">skill</w:t>
      </w:r>
      <w:r>
        <w:t xml:space="preserve"> </w:t>
      </w:r>
      <w:r>
        <w:t xml:space="preserve">and</w:t>
      </w:r>
      <w:r>
        <w:t xml:space="preserve"> </w:t>
      </w:r>
      <w:r>
        <w:t xml:space="preserve">antipredator</w:t>
      </w:r>
      <w:r>
        <w:t xml:space="preserve"> </w:t>
      </w:r>
      <w:r>
        <w:t xml:space="preserve">behaviour</w:t>
      </w:r>
      <w:r>
        <w:t xml:space="preserve"> </w:t>
      </w:r>
      <w:r>
        <w:t xml:space="preserve">in</w:t>
      </w:r>
      <w:r>
        <w:t xml:space="preserve"> </w:t>
      </w:r>
      <w:r>
        <w:t xml:space="preserve">the</w:t>
      </w:r>
      <w:r>
        <w:t xml:space="preserve"> </w:t>
      </w:r>
      <w:r>
        <w:t xml:space="preserve">acquisition</w:t>
      </w:r>
      <w:r>
        <w:t xml:space="preserve"> </w:t>
      </w:r>
      <w:r>
        <w:t xml:space="preserve">of</w:t>
      </w:r>
      <w:r>
        <w:t xml:space="preserve"> </w:t>
      </w:r>
      <w:r>
        <w:t xml:space="preserve">predator</w:t>
      </w:r>
      <w:r>
        <w:t xml:space="preserve"> </w:t>
      </w:r>
      <w:r>
        <w:t xml:space="preserve">expertise:</w:t>
      </w:r>
      <w:r>
        <w:t xml:space="preserve"> </w:t>
      </w:r>
      <w:r>
        <w:t xml:space="preserve">a</w:t>
      </w:r>
      <w:r>
        <w:t xml:space="preserve"> </w:t>
      </w:r>
      <w:r>
        <w:t xml:space="preserve">virtual</w:t>
      </w:r>
      <w:r>
        <w:t xml:space="preserve"> </w:t>
      </w:r>
      <w:r>
        <w:t xml:space="preserve">ecological</w:t>
      </w:r>
      <w:r>
        <w:t xml:space="preserve"> </w:t>
      </w:r>
      <w:r>
        <w:t xml:space="preserve">study</w:t>
      </w:r>
    </w:p>
    <w:bookmarkStart w:id="20" w:name="abstract"/>
    <w:p>
      <w:pPr>
        <w:pStyle w:val="Heading1"/>
      </w:pPr>
      <w:r>
        <w:t xml:space="preserve">ABSTRACT</w:t>
      </w:r>
    </w:p>
    <w:p>
      <w:pPr>
        <w:pStyle w:val="FirstParagraph"/>
      </w:pPr>
      <w:r>
        <w:rPr>
          <w:bCs/>
          <w:b/>
        </w:rPr>
        <w:t xml:space="preserve">à compléter</w:t>
      </w:r>
    </w:p>
    <w:p>
      <w:pPr>
        <w:pStyle w:val="BodyText"/>
      </w:pPr>
      <w:r>
        <w:t xml:space="preserve">The acquisition of expertise is crucial for predators to be successful hunters. To achieve this, predators must hone their skills and gain knowledge through repeated and extensive practice. It is hypothesized that prey can interfere in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population and individual hunting success in predators across repeated interactions with their prey. We observed that predators were less successful when hunting faster and more skillful prey. As the prey gained skill, they also moved faster. Our analyses reveal that the predator population should optimize prey consumption over repeated encounters with prey of average skill, and optimize their success sooner if they consistently encounter prey moving at average speeds. However, both prey features did not mediate differences in expertise acquisition among individual predators.</w:t>
      </w:r>
    </w:p>
    <w:p>
      <w:pPr>
        <w:pStyle w:val="BodyText"/>
      </w:pPr>
      <w:r>
        <w:t xml:space="preserve">Our results suggest that skilled prey use behaviours such as fast movement to outmanoeuver their predators, thereby impacting how predators acquire expertise at the population level.</w:t>
      </w:r>
    </w:p>
    <w:p>
      <w:pPr>
        <w:pStyle w:val="BodyText"/>
      </w:pPr>
      <w:r>
        <w:t xml:space="preserve">impaired the acquisition of expertise by reducing hunting success</w:t>
      </w:r>
    </w:p>
    <w:p>
      <w:pPr>
        <w:pStyle w:val="BodyText"/>
      </w:pPr>
      <w:r>
        <w:t xml:space="preserve">Keywords: predator-prey, experience, learning, antipredator behaviour, virtual ecology, Dead by Daylight</w:t>
      </w:r>
    </w:p>
    <w:bookmarkEnd w:id="20"/>
    <w:bookmarkStart w:id="21" w:name="introduction"/>
    <w:p>
      <w:pPr>
        <w:pStyle w:val="Heading1"/>
      </w:pPr>
      <w:r>
        <w:t xml:space="preserve">INTRODUCTION</w:t>
      </w:r>
    </w:p>
    <w:p>
      <w:pPr>
        <w:pStyle w:val="FirstParagraph"/>
      </w:pPr>
      <w:r>
        <w:t xml:space="preserve">Predation is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capture across landscapes as predators select suitable habitats to hunt and adjust their strategies accordingly</w:t>
      </w:r>
      <w:r>
        <w:t xml:space="preserve"> </w:t>
      </w:r>
      <w:r>
        <w:t xml:space="preserve">(Quevedo, Svanbäck, and Eklöv 2009; Pettorelli et al. 2015; LaBarge et al. 2024; Schmitz 2017)</w:t>
      </w:r>
      <w:r>
        <w:t xml:space="preserve">.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This raises the hypothesis that differences in hunting success between predators may be attributed to differences in the capacity to acquire hunting expertise. Hence, unraveling how expertise emerges is essential to better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to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prey camouflage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Beyond prey camouflage, there is limited evidence to suggest that antipredator behaviour hinders the acquisition of predator expertise. Yet, some predators may be limited in their capacity to develop the necessary attributes (e.g. physical, physiological, neurological) for fast-paced hunting, which could impair their acquisition of hunting expertise when facing faster prey. Prey antipredator behaviour can also improve through continued exposure to predators</w:t>
      </w:r>
      <w:r>
        <w:t xml:space="preserve"> </w:t>
      </w:r>
      <w:r>
        <w:t xml:space="preserve">(Turner, Turner, and Lappi 2006; Kelley and Magurran 2011; Lönnstedt et al. 2012)</w:t>
      </w:r>
      <w:r>
        <w:t xml:space="preserve">. For instance, prey alter their activity patterns under increasing predation risk</w:t>
      </w:r>
      <w:r>
        <w:t xml:space="preserve"> </w:t>
      </w:r>
      <w:r>
        <w:t xml:space="preserve">(Wirsing et al. 2021)</w:t>
      </w:r>
      <w:r>
        <w:t xml:space="preserve">.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Hence, encountering prey with greater skill or experience may also impair expertise acquisition in predators. To our knowledge, the relationships among prey skill, antipredator behaviour, and the acquisition of expertise by human and nonhuman hunters remain unclear,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over successive interactions.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predator expertise emerges over repeated encounters with prey using data from players in</w:t>
      </w:r>
      <w:r>
        <w:t xml:space="preserve"> </w:t>
      </w:r>
      <w:r>
        <w:rPr>
          <w:iCs/>
          <w:i/>
        </w:rPr>
        <w:t xml:space="preserve">Dead by Daylight</w:t>
      </w:r>
      <w:r>
        <w:t xml:space="preserve">. We quantify expertise acquisition as the relationship between hunting success (i.e., prey capture)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speed and space coverage will influence predator expertise acquisition by modulating the rate of gain in expertise at the population level. Second, we test the hypothesis that prey with more skill should have improved antipredator behaviour, and we predict that prey with greater predator-avoidance skills will move at faster speeds and cover more space in the virtual environment. Third, if prey antipredator behavior influences the hunting success of predators at the population level, then we expect that the acquisition of predator expertise will vary among individuals.</w:t>
      </w:r>
    </w:p>
    <w:bookmarkEnd w:id="21"/>
    <w:bookmarkStart w:id="34"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(Montreal, Canada), in which players can play either as a predator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who played at least 300 matches. We monitored all their matches from the first to a maximum of 500 matches, with a total record of 100,412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the results from our dataset to those from a random sample of players who played either 20 to 50 matches, 51 to 100 matches, or 101 to 300 matches during the same timeframe. We then took the first 20 matches played by these players, including those from our population sample, and compared their mean hunting success using a Bayesian hierarchical linear model. We found that all three groups of players had very similar success as the predator in their first 20 matches among them and compared to those used as our focal sample (Appendix 1: Table S1 and Figure S1), giving us confidence that we did not introduce a significant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speed, and space coverage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w:t>
      </w:r>
    </w:p>
    <w:p>
      <w:pPr>
        <w:pStyle w:val="BodyText"/>
      </w:pPr>
      <w:r>
        <w:t xml:space="preserve">We used the mean rank of the prey as a proxy of their predator-avoidance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allowing us to evaluate the effect of the prey’s skill on predator success. For a given match, we measured the prey’s rank as the mean rank of the four individual prey (mean = 8.74 ± 4.12), and the prey’s speed as the mean travel speed of the four individual prey in a match (mean = 2.40 ± 0.32 m/s). Lastly, the prey space coverage represents the number of unique 16x16 tiles entered by the predator in a grid that covers the whole virtual environment (mean = 22.98 ± 5.38 tile visits).</w:t>
      </w:r>
    </w:p>
    <w:bookmarkEnd w:id="27"/>
    <w:bookmarkStart w:id="33"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six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model V includes one. Lastly, model VI was an extension of model V and included all the aforementioned variables with the addition of the standardized space covered by the prey.</w:t>
      </w:r>
    </w:p>
    <w:p>
      <w:pPr>
        <w:pStyle w:val="BodyText"/>
      </w:pPr>
      <w:r>
        <w:t xml:space="preserve">We configured the six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six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negative Gaussian priors on prey speed and space coverage (</w:t>
      </w:r>
      <m:oMath>
        <m:r>
          <m:t>N</m:t>
        </m:r>
        <m:d>
          <m:dPr>
            <m:begChr m:val="("/>
            <m:endChr m:val=")"/>
            <m:sepChr m:val=""/>
            <m:grow/>
          </m:dPr>
          <m:e>
            <m:r>
              <m:rPr>
                <m:sty m:val="p"/>
              </m:rPr>
              <m:t>−</m:t>
            </m:r>
            <m:r>
              <m:t>1</m:t>
            </m:r>
            <m:r>
              <m:rPr>
                <m:sty m:val="p"/>
              </m:rPr>
              <m:t>,</m:t>
            </m:r>
            <m:r>
              <m:t> </m:t>
            </m:r>
            <m:sSup>
              <m:e>
                <m:r>
                  <m:t>0.5</m:t>
                </m:r>
              </m:e>
              <m:sup>
                <m:r>
                  <m:t>2</m:t>
                </m:r>
              </m:sup>
            </m:sSup>
          </m:e>
        </m:d>
      </m:oMath>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and space coverage increases with prey skill, we fitted Bayesian linear regression models estimating the relationship between 1) prey speed and the standardized prey rank and 2) prey space coverage and the standardized prey rank. In both models, we controlled for the game duration, using it as a linear covariate, and included the predator identity as a random effect. We used weakly informative Gaussian priors on the slopes of the game duration (</w:t>
      </w:r>
      <m:oMath>
        <m:r>
          <m:t>N</m:t>
        </m:r>
        <m:d>
          <m:dPr>
            <m:begChr m:val="("/>
            <m:endChr m:val=")"/>
            <m:sepChr m:val=""/>
            <m:grow/>
          </m:dPr>
          <m:e>
            <m:r>
              <m:t>0</m:t>
            </m:r>
            <m:r>
              <m:rPr>
                <m:sty m:val="p"/>
              </m:rPr>
              <m:t>,</m:t>
            </m:r>
            <m:r>
              <m:t> </m:t>
            </m:r>
            <m:sSup>
              <m:e>
                <m:r>
                  <m:t>0.5</m:t>
                </m:r>
              </m:e>
              <m:sup>
                <m:r>
                  <m:t>2</m:t>
                </m:r>
              </m:sup>
            </m:sSup>
          </m:e>
        </m:d>
      </m:oMath>
      <w:r>
        <w:t xml:space="preserve">) and weakly informative negative Gaussian priors on the slopes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and cover more space in the environment. Lastly, we used weakly informative Gaussian priors on the intercepts of prey speed (</w:t>
      </w:r>
      <m:oMath>
        <m:r>
          <m:t>N</m:t>
        </m:r>
        <m:d>
          <m:dPr>
            <m:begChr m:val="("/>
            <m:endChr m:val=")"/>
            <m:sepChr m:val=""/>
            <m:grow/>
          </m:dPr>
          <m:e>
            <m:r>
              <m:t>2</m:t>
            </m:r>
            <m:r>
              <m:rPr>
                <m:sty m:val="p"/>
              </m:rPr>
              <m:t>,</m:t>
            </m:r>
            <m:r>
              <m:t> </m:t>
            </m:r>
            <m:sSup>
              <m:e>
                <m:r>
                  <m:t>0.5</m:t>
                </m:r>
              </m:e>
              <m:sup>
                <m:r>
                  <m:t>2</m:t>
                </m:r>
              </m:sup>
            </m:sSup>
          </m:e>
        </m:d>
      </m:oMath>
      <w:r>
        <w:t xml:space="preserve">) and space coverage (</w:t>
      </w:r>
      <m:oMath>
        <m:r>
          <m:t>N</m:t>
        </m:r>
        <m:d>
          <m:dPr>
            <m:begChr m:val="("/>
            <m:endChr m:val=")"/>
            <m:sepChr m:val=""/>
            <m:grow/>
          </m:dPr>
          <m:e>
            <m:r>
              <m:t>15</m:t>
            </m:r>
            <m:r>
              <m:rPr>
                <m:sty m:val="p"/>
              </m:rPr>
              <m:t>,</m:t>
            </m:r>
            <m:r>
              <m:t> </m:t>
            </m:r>
            <m:sSup>
              <m:e>
                <m:r>
                  <m:t>0.5</m:t>
                </m:r>
              </m:e>
              <m:sup>
                <m:r>
                  <m:t>2</m:t>
                </m:r>
              </m:sup>
            </m:sSup>
          </m:e>
        </m:d>
      </m:oMath>
      <w:r>
        <w:t xml:space="preserve">) as we assumed that prey should move at around two meters per second and cover at least 15 tiles in the virtual environment. Lastly, we employed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 in both models.</w:t>
      </w:r>
    </w:p>
    <w:bookmarkEnd w:id="28"/>
    <w:bookmarkStart w:id="31"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models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29">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0">
        <w:r>
          <w:rPr>
            <w:rStyle w:val="Hyperlink"/>
          </w:rPr>
          <w:t xml:space="preserve">https://github.com/quantitative-ecologist/predator-expertise</w:t>
        </w:r>
      </w:hyperlink>
      <w:r>
        <w:t xml:space="preserve">).</w:t>
      </w:r>
    </w:p>
    <w:bookmarkEnd w:id="31"/>
    <w:bookmarkStart w:id="32" w:name="hypothesis-testing"/>
    <w:p>
      <w:pPr>
        <w:pStyle w:val="Heading3"/>
      </w:pPr>
      <w:r>
        <w:t xml:space="preserve">Hypothesis testing</w:t>
      </w:r>
    </w:p>
    <w:p>
      <w:pPr>
        <w:pStyle w:val="FirstParagraph"/>
      </w:pPr>
      <w:r>
        <w:t xml:space="preserve">We tested the hypothesis that antipredator behaviour impairs the acquisition of predator expertise at the population level by comparing the global trends of model I (only controlling for game duration), model II (controlling for game duration and prey rank), model V (controlling for game duration, prey rank, and prey speed), and model VI (controlling for game duration, prey rank, prey speed, and prey space coverage) using the finite differences method (Figure 1). This allowed us to locate the point at which hunting success was optimized. At the individual level, we tested the hypothesis that antipredator behaviour generates differences among predators in expertise acquisition by comparing the individual-level variance parameters. Specifically, we compared the posterior distributions of standard deviations for 1) the random intercepts (i.e., mean differences in hunting success), 2) the random slopes (i.e., linear component relating hunting success with experience), and 3) the curve wiggliness (i.e., nonlinear component relating hunting success with experience).</w:t>
      </w:r>
    </w:p>
    <w:bookmarkEnd w:id="32"/>
    <w:bookmarkEnd w:id="33"/>
    <w:bookmarkEnd w:id="34"/>
    <w:bookmarkStart w:id="46" w:name="results"/>
    <w:p>
      <w:pPr>
        <w:pStyle w:val="Heading1"/>
      </w:pPr>
      <w:r>
        <w:t xml:space="preserve">RESULTS</w:t>
      </w:r>
    </w:p>
    <w:bookmarkStart w:id="41"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than those without one (Table 1). This suggests that there is a common underlying structure in the relationship between success and experience across the population, despite differences among individual predators (Figure 1). Overall, model VI, which included all prey features, was the best at predicting predator hunting success (Table 1).</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(loo)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360"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(VI) experience + ID smoothers + prey rank + prey speed + prey space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-135 073.46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experience +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-1 046.49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-1 106.89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experience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-6 168.64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-6 230.95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experience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-11 181.79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143.63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p>
        </w:tc>
      </w:tr>
    </w:tbl>
    <w:p>
      <w:pPr>
        <w:pStyle w:val="BodyText"/>
      </w:pPr>
      <w:r>
        <w:t xml:space="preserve">As we expected, models in which we did not account for the prey rank resulted in almost no change in hunting success with experience for the average individual (i.e., no gain in expertise, Figure S2) due to the matchmaking algorithm pairing predators and prey with similar skill levels. Accounting for the prey rank (model II) influenced the form of the relationship, revealing a diminishing returns curve with predators optimizing their success after playing 454 matches (Figure 1A). Our results indicate that the average predator improves its hunting success by ~40% from the first to the 454</w:t>
      </w:r>
      <m:oMath>
        <m:sSup>
          <m:e>
            <m:r>
              <m:t>​</m:t>
            </m:r>
          </m:e>
          <m:sup>
            <m:r>
              <m:t>t</m:t>
            </m:r>
            <m:r>
              <m:t>h</m:t>
            </m:r>
          </m:sup>
        </m:sSup>
      </m:oMath>
      <w:r>
        <w:t xml:space="preserve"> </w:t>
      </w:r>
      <w:r>
        <w:t xml:space="preserve">match by hunting prey of average skill (Figure 1A).</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 title="" id="36" name="Picture"/>
            <a:graphic>
              <a:graphicData uri="http://schemas.openxmlformats.org/drawingml/2006/picture">
                <pic:pic>
                  <pic:nvPicPr>
                    <pic:cNvPr descr="C:/Users/User/Documents/GitHub/Chapter2/outputs/outputs_figures/figure1.png" id="37" name="Picture"/>
                    <pic:cNvPicPr>
                      <a:picLocks noChangeArrowheads="1" noChangeAspect="1"/>
                    </pic:cNvPicPr>
                  </pic:nvPicPr>
                  <pic:blipFill>
                    <a:blip r:embed="rId35"/>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w:t>
      </w:r>
    </w:p>
    <w:p>
      <w:pPr>
        <w:pStyle w:val="BodyText"/>
      </w:pPr>
      <w:r>
        <w:t xml:space="preserve">Controlling for prey speed and space coverage did not qualitatively alter the form of the relationship between success and experience at the population level. However, the rate of expertise acquisition shifted slightly: the predator population reached its maximal hunting success earlier, after 323 matches (Figure 1B-C). We also found strong evidence that hunting success declined when predators pursued faster prey or prey occupying more space in the virtual environment (Figure S3A-B). Moreover, prey groups composed of individuals with greater skill moved faster than those composed of individuals with lower skill (Figure 2A). In contrast, there was no change in prey space coverage with increasing skill (Figure 2B).</w:t>
      </w:r>
    </w:p>
    <w:p>
      <w:pPr>
        <w:pStyle w:val="CaptionedFigure"/>
      </w:pPr>
      <w:r>
        <w:drawing>
          <wp:inline>
            <wp:extent cx="5943600" cy="2377440"/>
            <wp:effectExtent b="0" l="0" r="0" t="0"/>
            <wp:docPr descr="Figure 2.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 title="" id="39" name="Picture"/>
            <a:graphic>
              <a:graphicData uri="http://schemas.openxmlformats.org/drawingml/2006/picture">
                <pic:pic>
                  <pic:nvPicPr>
                    <pic:cNvPr descr="C:/Users/User/Documents/GitHub/Chapter2/outputs/outputs_figures/figure2.png" id="40" name="Picture"/>
                    <pic:cNvPicPr>
                      <a:picLocks noChangeArrowheads="1" noChangeAspect="1"/>
                    </pic:cNvPicPr>
                  </pic:nvPicPr>
                  <pic:blipFill>
                    <a:blip r:embed="rId3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w:t>
      </w:r>
    </w:p>
    <w:bookmarkEnd w:id="41"/>
    <w:bookmarkStart w:id="45" w:name="X08fec88f09976b421e81698691671b5a076e106"/>
    <w:p>
      <w:pPr>
        <w:pStyle w:val="Heading2"/>
      </w:pPr>
      <w:r>
        <w:t xml:space="preserve">Acquisition of expertise at the individual level</w:t>
      </w:r>
    </w:p>
    <w:p>
      <w:pPr>
        <w:pStyle w:val="FirstParagraph"/>
      </w:pPr>
      <w:r>
        <w:t xml:space="preserve">Our results show that individual predators varied in their acquisition of expertise, regardless of whether we controlled for prey features (Figure 1 D-F and Figure 3). However, the extent of the variation in the relationship between success and experience was shaped by the prey’s skill, as shown by the posterior distributions of individual-level parameters in the model accounting for the rank of the prey (model II, Figure 2). Specifically, the standard deviations of individual intercepts (median model I = 1.25 vs median model II = 2.21), slopes (median model I = 7.17 vs median model II = 9.73), and wiggliness (median model I = 2.35 vs median model II = 3.25) were all larger in model II compared to model I. Controlling for prey rank thus reveals how predators may differ in expertise acquisition if they hunt prey that are not of the same skill level as themselves.</w:t>
      </w:r>
    </w:p>
    <w:p>
      <w:pPr>
        <w:pStyle w:val="BodyText"/>
      </w:pPr>
      <w:r>
        <w:t xml:space="preserve">Among-individual differences in average hunting success remained unchanged regardless of whether we controlled for prey speed or prey space coverage (median model II = 2.21 vs median model V = 2.2 vs median model VI = 2.15). Similarly, controlling for both behaviours did not alter expertise acquisition (median model II = 9.73 vs median model V = 9.6 vs median model VI = 9.43), as the posterior distributions of the standard deviations showed nearly complete overlap (Figure 3).</w:t>
      </w:r>
    </w:p>
    <w:p>
      <w:pPr>
        <w:pStyle w:val="CaptionedFigure"/>
      </w:pPr>
      <w:r>
        <w:drawing>
          <wp:inline>
            <wp:extent cx="5943600" cy="5244352"/>
            <wp:effectExtent b="0" l="0" r="0" t="0"/>
            <wp:docPr descr="Figure 3.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 title="" id="43" name="Picture"/>
            <a:graphic>
              <a:graphicData uri="http://schemas.openxmlformats.org/drawingml/2006/picture">
                <pic:pic>
                  <pic:nvPicPr>
                    <pic:cNvPr descr="C:/Users/User/Documents/GitHub/Chapter2/outputs/outputs_figures/figure3.png" id="44" name="Picture"/>
                    <pic:cNvPicPr>
                      <a:picLocks noChangeArrowheads="1" noChangeAspect="1"/>
                    </pic:cNvPicPr>
                  </pic:nvPicPr>
                  <pic:blipFill>
                    <a:blip r:embed="rId42"/>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3</w:t>
      </w:r>
      <w:r>
        <w:t xml:space="preserve">.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w:t>
      </w:r>
    </w:p>
    <w:bookmarkEnd w:id="45"/>
    <w:bookmarkEnd w:id="46"/>
    <w:bookmarkStart w:id="48"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behaviour can modulate the acquisition of hunting expertise at the population level. We show that the predator population is expected to increase its hunting success with experience if it hunts prey were of average skill. While we could not show that prey behaviour directly impaired expertise acquisition, we found that the predator population would optimize its success sooner if the prey moved at average speeds over repeated encounters. This is most likely due to faster prey being more difficult to hunt, which predators had lower success against. We also observed that prey with greater skill moved faster. At the individual level, predators displayed important differences in expertise acquisition that were apparent only after accounting for prey skill. While this most likely due the game pairing system, it highlights how prey can shape the predator hunting success over time.</w:t>
      </w:r>
    </w:p>
    <w:p>
      <w:pPr>
        <w:pStyle w:val="BodyText"/>
      </w:pPr>
      <w:r>
        <w:t xml:space="preserve">The matchmaking algorithm in</w:t>
      </w:r>
      <w:r>
        <w:t xml:space="preserve"> </w:t>
      </w:r>
      <w:r>
        <w:rPr>
          <w:iCs/>
          <w:i/>
        </w:rPr>
        <w:t xml:space="preserve">Dead by Daylight</w:t>
      </w:r>
      <w:r>
        <w:t xml:space="preserve"> </w:t>
      </w:r>
      <w:r>
        <w:t xml:space="preserve">is intended to pair players with similar skill levels within matches, and our results show that the system is effective, as the population maintained consistent hunting success across experience (Figure 1A). However, when we controlled for the prey’s skill, the gain in expertise changed at both the population and individual levels: the relationship between success and experience became asymptotic, wherein initial gains in success were significant and gradually stabilized as experience accumulated. This suggests that an increase in hunting success would emerge if predators hunted prey of average skill. This pattern of expertise acquisition is consistent with empirical studies in both humans and nonhuman animals</w:t>
      </w:r>
      <w:r>
        <w:t xml:space="preserve"> </w:t>
      </w:r>
      <w:r>
        <w:t xml:space="preserve">(reviewed in Dukas 2019)</w:t>
      </w:r>
      <w:r>
        <w:t xml:space="preserve">, but provides additional information on how it may change given the difficulty of the task. For example, the population may have had a slower gain in expertise if the skill of the prey encountered was consistently higher.</w:t>
      </w:r>
    </w:p>
    <w:p>
      <w:pPr>
        <w:pStyle w:val="BodyText"/>
      </w:pPr>
      <w:r>
        <w:t xml:space="preserve">Prey behaviour also played a role in shaping expertise acquisition at the population level. First, encounters with faster prey resulted in lower hunting success (Figure S2). We previously showed in</w:t>
      </w:r>
      <w:r>
        <w:t xml:space="preserve"> </w:t>
      </w:r>
      <w:r>
        <w:rPr>
          <w:iCs/>
          <w:i/>
        </w:rPr>
        <w:t xml:space="preserve">Dead by Daylight</w:t>
      </w:r>
      <w:r>
        <w:t xml:space="preserve"> </w:t>
      </w:r>
      <w:r>
        <w:t xml:space="preserve">that faster movement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Prey of greater skill increasingly relied on this strategy, and predators were less successful against skillful prey, suggesting that the effect of prey skill on the gain in expertise by predators was in part mediated by changes in prey behaviour following previous predator encounters</w:t>
      </w:r>
      <w:r>
        <w:t xml:space="preserve">(Tetzlaff, Sperry, and DeGregorio 2019)</w:t>
      </w:r>
      <w:r>
        <w:t xml:space="preserve">. Second, we observed that predators optimized their hunting success sooner when we controlled for the prey’s speed — after 323 matches played, compared to 454 matches when prey speed was not accounted for.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Hence, our analyses provide evidence that prey antipredator behaviour could mediate the acquisition of hunting expertise in predators by increasing or slowing its rate at the population level.</w:t>
      </w:r>
    </w:p>
    <w:p>
      <w:pPr>
        <w:pStyle w:val="BodyText"/>
      </w:pPr>
      <w:r>
        <w:t xml:space="preserve">Our analyses also revealed important differences among individual predators in the acquisition of expertise, indicating that predators varied in their capacity to improve over time. However, prey speed did not influence among-individual differences in expertise. The large indivual variation in expertise acquisition emerged when we controlled for the prey skill and persisted when we controlled for the prey’s speed, suggesting that it would be observed even if predators hunted prey of average speed. This suggests that other proximal or ecological factors may be at play. For example, predators have limited attention spans that restrict diet choice and the formation of search images when they need to focus on hunting multiple prey simultaneously</w:t>
      </w:r>
      <w:r>
        <w:t xml:space="preserve"> </w:t>
      </w:r>
      <w:r>
        <w:t xml:space="preserve">(Dukas and Kamil 2001; Troscianko, Skelhorn, and Stevens 2018)</w:t>
      </w:r>
      <w:r>
        <w:t xml:space="preserve">. Chasing prey demands specialized cognitive abilities and coordination that are energetically costly</w:t>
      </w:r>
      <w:r>
        <w:t xml:space="preserve"> </w:t>
      </w:r>
      <w:r>
        <w:t xml:space="preserve">(Kelley and Magurran 2011)</w:t>
      </w:r>
      <w:r>
        <w:t xml:space="preserve">. Hence, individuals with neurological or physical attributes allowing them to better concentrate on the hunting task may have shown greater improvement in success over time</w:t>
      </w:r>
      <w:r>
        <w:t xml:space="preserve"> </w:t>
      </w:r>
      <w:r>
        <w:t xml:space="preserve">(Dukas 2019)</w:t>
      </w:r>
      <w:r>
        <w:t xml:space="preserve">. Alternatively, predators may also shape their own expertise via their hunting tactic. For example, faster hunters may push their prey to move faster and display altruistic behaviours, which, in turn, may hinder their own expertise acquisition due to the increased difficulty of hunting such prey</w:t>
      </w:r>
      <w:r>
        <w:t xml:space="preserve"> </w:t>
      </w:r>
      <w:r>
        <w:t xml:space="preserve">(Fraser Franco et al. 2022; Céré, Kelly, and Montiglio 2024)</w:t>
      </w:r>
      <w:r>
        <w:t xml:space="preserve">. Lastly, longer time intervals between hunting events are hypothesized to hinder or delay the acquisition of expertise due to information loss</w:t>
      </w:r>
      <w:r>
        <w:t xml:space="preserve"> </w:t>
      </w:r>
      <w:r>
        <w:t xml:space="preserve">(Endler 1991; Wright et al. 2022; Wooster et al. 2023)</w:t>
      </w:r>
      <w:r>
        <w:t xml:space="preserve">. For example, a predator who played 300 matches within six months might forget critical information related to prey detection or escape patterns compared to one who played 300 matches within six weeks. Therefore, investigating the impact of the aforementioned elements may reveal important insights into the outcome of predator-prey interactions, but integrating them into a unified framework remains challenging due to computational constraints and limitations in current modeling approaches.</w:t>
      </w:r>
    </w:p>
    <w:bookmarkStart w:id="47" w:name="conclusions"/>
    <w:p>
      <w:pPr>
        <w:pStyle w:val="Heading2"/>
      </w:pPr>
      <w:r>
        <w:t xml:space="preserve">Conclusions</w:t>
      </w:r>
    </w:p>
    <w:p>
      <w:pPr>
        <w:pStyle w:val="FirstParagraph"/>
      </w:pPr>
      <w:r>
        <w:t xml:space="preserve">We found support for the hypothesis that prey antipredator behaviour can drive the acquisition of hunting expertise using a human predator population in the game</w:t>
      </w:r>
      <w:r>
        <w:t xml:space="preserve"> </w:t>
      </w:r>
      <w:r>
        <w:rPr>
          <w:iCs/>
          <w:i/>
        </w:rPr>
        <w:t xml:space="preserve">Dead by Daylight</w:t>
      </w:r>
      <w:r>
        <w:t xml:space="preserve">. However, the effect of antipredator behaviour was observed only at the population level. While there were important differences among individuals in expertise acquisition, we did not find evidence that they were mediated by either the prey’s skill or prey movement behaviour. Future analyses should integrate physical and behavioural antipredator tactics into a unified framework to assess their influence on the acquisition of predator expertise, which may reveal important insights on the eco-evolutionary dynamics of predator-prey interactions. One limitation and criticism of using videogames to study behaviour which may partly explain the persistence of differences among individuals in expertise is that neither the predator nor the prey players’ lives are at stake in the game. As a result, emerging patterns may be driven more by the players’ motivation to win rather than</w:t>
      </w:r>
      <w:r>
        <w:t xml:space="preserve"> </w:t>
      </w:r>
      <w:r>
        <w:t xml:space="preserve">“</w:t>
      </w:r>
      <w:r>
        <w:t xml:space="preserve">true</w:t>
      </w:r>
      <w:r>
        <w:t xml:space="preserve">”</w:t>
      </w:r>
      <w:r>
        <w:t xml:space="preserve"> </w:t>
      </w:r>
      <w:r>
        <w:t xml:space="preserve">survival. Indeed, some players may experiment with the game out of boredom, which could contribute in shaping how expertise is honed in this particular system. Yet, motivation and perseverance have been outlined as core components that increase the gain in expertise in human and nonhuman hunters</w:t>
      </w:r>
      <w:r>
        <w:t xml:space="preserve"> </w:t>
      </w:r>
      <w:r>
        <w:t xml:space="preserve">(Dukas 2019)</w:t>
      </w:r>
      <w:r>
        <w:t xml:space="preserve">. We believe that failing to account for motivation represents a limitation of our study more than in the use of videogames to study ecological interactions. Therefore, our demonstration of how prey antipredator behaviour can mediate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hope that this will inspire more collaborations between scientists and the videogame industry to tackle fundamental questions in ecology.</w:t>
      </w:r>
    </w:p>
    <w:bookmarkEnd w:id="47"/>
    <w:bookmarkEnd w:id="48"/>
    <w:bookmarkStart w:id="147" w:name="references"/>
    <w:p>
      <w:pPr>
        <w:pStyle w:val="Heading1"/>
      </w:pPr>
      <w:r>
        <w:t xml:space="preserve">REFERENCES</w:t>
      </w:r>
    </w:p>
    <w:bookmarkStart w:id="146" w:name="refs"/>
    <w:bookmarkStart w:id="50"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49">
        <w:r>
          <w:rPr>
            <w:rStyle w:val="Hyperlink"/>
          </w:rPr>
          <w:t xml:space="preserve">https://doi.org/10.1146/annurev.ecolsys.31.1.79</w:t>
        </w:r>
      </w:hyperlink>
      <w:r>
        <w:t xml:space="preserve">.</w:t>
      </w:r>
    </w:p>
    <w:bookmarkEnd w:id="50"/>
    <w:bookmarkStart w:id="52"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1">
        <w:r>
          <w:rPr>
            <w:rStyle w:val="Hyperlink"/>
          </w:rPr>
          <w:t xml:space="preserve">https://doi.org/10.1007/s00265-020-02833-0</w:t>
        </w:r>
      </w:hyperlink>
      <w:r>
        <w:t xml:space="preserve">.</w:t>
      </w:r>
    </w:p>
    <w:bookmarkEnd w:id="52"/>
    <w:bookmarkStart w:id="54"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3">
        <w:r>
          <w:rPr>
            <w:rStyle w:val="Hyperlink"/>
          </w:rPr>
          <w:t xml:space="preserve">https://doi.org/10.1098/rspb.2017.2146</w:t>
        </w:r>
      </w:hyperlink>
      <w:r>
        <w:t xml:space="preserve">.</w:t>
      </w:r>
    </w:p>
    <w:bookmarkEnd w:id="54"/>
    <w:bookmarkStart w:id="56"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5">
        <w:r>
          <w:rPr>
            <w:rStyle w:val="Hyperlink"/>
          </w:rPr>
          <w:t xml:space="preserve">https://doi.org/10.18637/jss.v080.i01</w:t>
        </w:r>
      </w:hyperlink>
      <w:r>
        <w:t xml:space="preserve">.</w:t>
      </w:r>
    </w:p>
    <w:bookmarkEnd w:id="56"/>
    <w:bookmarkStart w:id="58" w:name="ref-cere.etal2024"/>
    <w:p>
      <w:pPr>
        <w:pStyle w:val="Bibliography"/>
      </w:pPr>
      <w:r>
        <w:t xml:space="preserve">Céré, Julien, Clint D. Kelly, and Pierre-Olivier Montiglio. 2024.</w:t>
      </w:r>
      <w:r>
        <w:t xml:space="preserve"> </w:t>
      </w:r>
      <w:r>
        <w:t xml:space="preserve">“Untangling the Contribution of Active and Passive Group Augmentation Benefits to the Multilevel Selection of Altruism Using a Video Game.”</w:t>
      </w:r>
      <w:r>
        <w:t xml:space="preserve"> </w:t>
      </w:r>
      <w:r>
        <w:rPr>
          <w:iCs/>
          <w:i/>
        </w:rPr>
        <w:t xml:space="preserve">Behavioral Ecology and Sociobiology</w:t>
      </w:r>
      <w:r>
        <w:t xml:space="preserve"> </w:t>
      </w:r>
      <w:r>
        <w:t xml:space="preserve">78 (6): 66.</w:t>
      </w:r>
      <w:r>
        <w:t xml:space="preserve"> </w:t>
      </w:r>
      <w:hyperlink r:id="rId57">
        <w:r>
          <w:rPr>
            <w:rStyle w:val="Hyperlink"/>
          </w:rPr>
          <w:t xml:space="preserve">https://doi.org/10.1007/s00265-024-03463-6</w:t>
        </w:r>
      </w:hyperlink>
      <w:r>
        <w:t xml:space="preserve">.</w:t>
      </w:r>
    </w:p>
    <w:bookmarkEnd w:id="58"/>
    <w:bookmarkStart w:id="60"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59">
        <w:r>
          <w:rPr>
            <w:rStyle w:val="Hyperlink"/>
          </w:rPr>
          <w:t xml:space="preserve">https://doi.org/10.1016/j.anbehav.2021.06.010</w:t>
        </w:r>
      </w:hyperlink>
      <w:r>
        <w:t xml:space="preserve">.</w:t>
      </w:r>
    </w:p>
    <w:bookmarkEnd w:id="60"/>
    <w:bookmarkStart w:id="62"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61">
        <w:r>
          <w:rPr>
            <w:rStyle w:val="Hyperlink"/>
          </w:rPr>
          <w:t xml:space="preserve">https://doi.org/10.1098/rstb.2016.0427</w:t>
        </w:r>
      </w:hyperlink>
      <w:r>
        <w:t xml:space="preserve">.</w:t>
      </w:r>
    </w:p>
    <w:bookmarkEnd w:id="62"/>
    <w:bookmarkStart w:id="64"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3">
        <w:r>
          <w:rPr>
            <w:rStyle w:val="Hyperlink"/>
          </w:rPr>
          <w:t xml:space="preserve">https://doi.org/10.1016/j.anbehav.2018.05.010</w:t>
        </w:r>
      </w:hyperlink>
      <w:r>
        <w:t xml:space="preserve">.</w:t>
      </w:r>
    </w:p>
    <w:bookmarkEnd w:id="64"/>
    <w:bookmarkStart w:id="66"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5">
        <w:r>
          <w:rPr>
            <w:rStyle w:val="Hyperlink"/>
          </w:rPr>
          <w:t xml:space="preserve">https://doi.org/10.1093/beheco/12.2.192</w:t>
        </w:r>
      </w:hyperlink>
      <w:r>
        <w:t xml:space="preserve">.</w:t>
      </w:r>
    </w:p>
    <w:bookmarkEnd w:id="66"/>
    <w:bookmarkStart w:id="68"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67">
        <w:r>
          <w:rPr>
            <w:rStyle w:val="Hyperlink"/>
          </w:rPr>
          <w:t xml:space="preserve">https://doi.org/10.1080/03014223.1994.9517994</w:t>
        </w:r>
      </w:hyperlink>
      <w:r>
        <w:t xml:space="preserve">.</w:t>
      </w:r>
    </w:p>
    <w:bookmarkEnd w:id="68"/>
    <w:bookmarkStart w:id="69"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69"/>
    <w:bookmarkStart w:id="71"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0">
        <w:r>
          <w:rPr>
            <w:rStyle w:val="Hyperlink"/>
          </w:rPr>
          <w:t xml:space="preserve">https://doi.org/10.1093/beheco/arac063</w:t>
        </w:r>
      </w:hyperlink>
      <w:r>
        <w:t xml:space="preserve">.</w:t>
      </w:r>
    </w:p>
    <w:bookmarkEnd w:id="71"/>
    <w:bookmarkStart w:id="72"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2"/>
    <w:bookmarkStart w:id="74"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3">
        <w:r>
          <w:rPr>
            <w:rStyle w:val="Hyperlink"/>
          </w:rPr>
          <w:t xml:space="preserve">https://doi.org/10.1086/285546</w:t>
        </w:r>
      </w:hyperlink>
      <w:r>
        <w:t xml:space="preserve">.</w:t>
      </w:r>
    </w:p>
    <w:bookmarkEnd w:id="74"/>
    <w:bookmarkStart w:id="76"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5">
        <w:r>
          <w:rPr>
            <w:rStyle w:val="Hyperlink"/>
          </w:rPr>
          <w:t xml:space="preserve">https://doi.org/10.1242/jeb.154534</w:t>
        </w:r>
      </w:hyperlink>
      <w:r>
        <w:t xml:space="preserve">.</w:t>
      </w:r>
    </w:p>
    <w:bookmarkEnd w:id="76"/>
    <w:bookmarkStart w:id="78"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77">
        <w:r>
          <w:rPr>
            <w:rStyle w:val="Hyperlink"/>
          </w:rPr>
          <w:t xml:space="preserve">https://doi.org/10.1098/rspb.2017.2182</w:t>
        </w:r>
      </w:hyperlink>
      <w:r>
        <w:t xml:space="preserve">.</w:t>
      </w:r>
    </w:p>
    <w:bookmarkEnd w:id="78"/>
    <w:bookmarkStart w:id="80"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79">
        <w:r>
          <w:rPr>
            <w:rStyle w:val="Hyperlink"/>
          </w:rPr>
          <w:t xml:space="preserve">https://doi.org/10.1002/9781444342536.ch3</w:t>
        </w:r>
      </w:hyperlink>
      <w:r>
        <w:t xml:space="preserve">.</w:t>
      </w:r>
    </w:p>
    <w:bookmarkEnd w:id="80"/>
    <w:bookmarkStart w:id="82"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81">
        <w:r>
          <w:rPr>
            <w:rStyle w:val="Hyperlink"/>
          </w:rPr>
          <w:t xml:space="preserve">https://doi.org/10.1086/724491</w:t>
        </w:r>
      </w:hyperlink>
      <w:r>
        <w:t xml:space="preserve">.</w:t>
      </w:r>
    </w:p>
    <w:bookmarkEnd w:id="82"/>
    <w:bookmarkStart w:id="84"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3">
        <w:r>
          <w:rPr>
            <w:rStyle w:val="Hyperlink"/>
          </w:rPr>
          <w:t xml:space="preserve">https://doi.org/10.1111/j.1365-2435.2009.01631.x</w:t>
        </w:r>
      </w:hyperlink>
      <w:r>
        <w:t xml:space="preserve">.</w:t>
      </w:r>
    </w:p>
    <w:bookmarkEnd w:id="84"/>
    <w:bookmarkStart w:id="86"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5">
        <w:r>
          <w:rPr>
            <w:rStyle w:val="Hyperlink"/>
          </w:rPr>
          <w:t xml:space="preserve">https://doi.org/10.1016/j.tree.2024.07.001</w:t>
        </w:r>
      </w:hyperlink>
      <w:r>
        <w:t xml:space="preserve">.</w:t>
      </w:r>
    </w:p>
    <w:bookmarkEnd w:id="86"/>
    <w:bookmarkStart w:id="88"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87">
        <w:r>
          <w:rPr>
            <w:rStyle w:val="Hyperlink"/>
          </w:rPr>
          <w:t xml:space="preserve">https://doi.org/10.1098/rspb.2011.2516</w:t>
        </w:r>
      </w:hyperlink>
      <w:r>
        <w:t xml:space="preserve">.</w:t>
      </w:r>
    </w:p>
    <w:bookmarkEnd w:id="88"/>
    <w:bookmarkStart w:id="90"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89">
        <w:r>
          <w:rPr>
            <w:rStyle w:val="Hyperlink"/>
          </w:rPr>
          <w:t xml:space="preserve">https://doi.org/10.1073/pnas.2217973120</w:t>
        </w:r>
      </w:hyperlink>
      <w:r>
        <w:t xml:space="preserve">.</w:t>
      </w:r>
    </w:p>
    <w:bookmarkEnd w:id="90"/>
    <w:bookmarkStart w:id="92"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91">
        <w:r>
          <w:rPr>
            <w:rStyle w:val="Hyperlink"/>
          </w:rPr>
          <w:t xml:space="preserve">https://doi.org/10.1007/s12110-007-9019-8</w:t>
        </w:r>
      </w:hyperlink>
      <w:r>
        <w:t xml:space="preserve">.</w:t>
      </w:r>
    </w:p>
    <w:bookmarkEnd w:id="92"/>
    <w:bookmarkStart w:id="94"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3">
        <w:r>
          <w:rPr>
            <w:rStyle w:val="Hyperlink"/>
          </w:rPr>
          <w:t xml:space="preserve">https://doi.org/10.1111/oik.08143</w:t>
        </w:r>
      </w:hyperlink>
      <w:r>
        <w:t xml:space="preserve">.</w:t>
      </w:r>
    </w:p>
    <w:bookmarkEnd w:id="94"/>
    <w:bookmarkStart w:id="96"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95">
        <w:r>
          <w:rPr>
            <w:rStyle w:val="Hyperlink"/>
          </w:rPr>
          <w:t xml:space="preserve">https://doi.org/10.1016/j.tree.2025.02.003</w:t>
        </w:r>
      </w:hyperlink>
      <w:r>
        <w:t xml:space="preserve">.</w:t>
      </w:r>
    </w:p>
    <w:bookmarkEnd w:id="96"/>
    <w:bookmarkStart w:id="98"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97">
        <w:r>
          <w:rPr>
            <w:rStyle w:val="Hyperlink"/>
          </w:rPr>
          <w:t xml:space="preserve">https://doi.org/10.1006/anbe.2000.1546</w:t>
        </w:r>
      </w:hyperlink>
      <w:r>
        <w:t xml:space="preserve">.</w:t>
      </w:r>
    </w:p>
    <w:bookmarkEnd w:id="98"/>
    <w:bookmarkStart w:id="100"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99">
        <w:r>
          <w:rPr>
            <w:rStyle w:val="Hyperlink"/>
          </w:rPr>
          <w:t xml:space="preserve">https://doi.org/10.7717/peerj.6876</w:t>
        </w:r>
      </w:hyperlink>
      <w:r>
        <w:t xml:space="preserve">.</w:t>
      </w:r>
    </w:p>
    <w:bookmarkEnd w:id="100"/>
    <w:bookmarkStart w:id="102"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101">
        <w:r>
          <w:rPr>
            <w:rStyle w:val="Hyperlink"/>
          </w:rPr>
          <w:t xml:space="preserve">https://doi.org/10.1016/bs.aecr.2015.01.001</w:t>
        </w:r>
      </w:hyperlink>
      <w:r>
        <w:t xml:space="preserve">.</w:t>
      </w:r>
    </w:p>
    <w:bookmarkEnd w:id="102"/>
    <w:bookmarkStart w:id="104"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3">
        <w:r>
          <w:rPr>
            <w:rStyle w:val="Hyperlink"/>
          </w:rPr>
          <w:t xml:space="preserve">https://doi.org/10.1007/s11222-016-9649-y</w:t>
        </w:r>
      </w:hyperlink>
      <w:r>
        <w:t xml:space="preserve">.</w:t>
      </w:r>
    </w:p>
    <w:bookmarkEnd w:id="104"/>
    <w:bookmarkStart w:id="106"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5">
        <w:r>
          <w:rPr>
            <w:rStyle w:val="Hyperlink"/>
          </w:rPr>
          <w:t xml:space="preserve">https://doi.org/10.1890/07-1580.1</w:t>
        </w:r>
      </w:hyperlink>
      <w:r>
        <w:t xml:space="preserve">.</w:t>
      </w:r>
    </w:p>
    <w:bookmarkEnd w:id="106"/>
    <w:bookmarkStart w:id="108"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07">
        <w:r>
          <w:rPr>
            <w:rStyle w:val="Hyperlink"/>
          </w:rPr>
          <w:t xml:space="preserve">https://doi.org/10.1163/000579509X12512871386137</w:t>
        </w:r>
      </w:hyperlink>
      <w:r>
        <w:t xml:space="preserve">.</w:t>
      </w:r>
    </w:p>
    <w:bookmarkEnd w:id="108"/>
    <w:bookmarkStart w:id="110"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09">
        <w:r>
          <w:rPr>
            <w:rStyle w:val="Hyperlink"/>
          </w:rPr>
          <w:t xml:space="preserve">https://doi.org/10.1126/science.1241484</w:t>
        </w:r>
      </w:hyperlink>
      <w:r>
        <w:t xml:space="preserve">.</w:t>
      </w:r>
    </w:p>
    <w:bookmarkEnd w:id="110"/>
    <w:bookmarkStart w:id="112"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11">
        <w:r>
          <w:rPr>
            <w:rStyle w:val="Hyperlink"/>
          </w:rPr>
          <w:t xml:space="preserve">https://doi.org/10.1093/jeb/voae055</w:t>
        </w:r>
      </w:hyperlink>
      <w:r>
        <w:t xml:space="preserve">.</w:t>
      </w:r>
    </w:p>
    <w:bookmarkEnd w:id="112"/>
    <w:bookmarkStart w:id="114"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3">
        <w:r>
          <w:rPr>
            <w:rStyle w:val="Hyperlink"/>
          </w:rPr>
          <w:t xml:space="preserve">https://doi.org/10.12688/f1000research.11813.1</w:t>
        </w:r>
      </w:hyperlink>
      <w:r>
        <w:t xml:space="preserve">.</w:t>
      </w:r>
    </w:p>
    <w:bookmarkEnd w:id="114"/>
    <w:bookmarkStart w:id="116"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5">
        <w:r>
          <w:rPr>
            <w:rStyle w:val="Hyperlink"/>
          </w:rPr>
          <w:t xml:space="preserve">https://doi.org/10.1098/rspb.2015.2890</w:t>
        </w:r>
      </w:hyperlink>
      <w:r>
        <w:t xml:space="preserve">.</w:t>
      </w:r>
    </w:p>
    <w:bookmarkEnd w:id="116"/>
    <w:bookmarkStart w:id="117"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17"/>
    <w:bookmarkStart w:id="119"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18">
        <w:r>
          <w:rPr>
            <w:rStyle w:val="Hyperlink"/>
          </w:rPr>
          <w:t xml:space="preserve">https://doi.org/10.1093/beheco/ars156</w:t>
        </w:r>
      </w:hyperlink>
      <w:r>
        <w:t xml:space="preserve">.</w:t>
      </w:r>
    </w:p>
    <w:bookmarkEnd w:id="119"/>
    <w:bookmarkStart w:id="121"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20">
        <w:r>
          <w:rPr>
            <w:rStyle w:val="Hyperlink"/>
          </w:rPr>
          <w:t xml:space="preserve">https://doi.org/10.1016/j.biocon.2019.05.054</w:t>
        </w:r>
      </w:hyperlink>
      <w:r>
        <w:t xml:space="preserve">.</w:t>
      </w:r>
    </w:p>
    <w:bookmarkEnd w:id="121"/>
    <w:bookmarkStart w:id="123"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2">
        <w:r>
          <w:rPr>
            <w:rStyle w:val="Hyperlink"/>
          </w:rPr>
          <w:t xml:space="preserve">https://doi.org/10.1371/journal.pone.0073733</w:t>
        </w:r>
      </w:hyperlink>
      <w:r>
        <w:t xml:space="preserve">.</w:t>
      </w:r>
    </w:p>
    <w:bookmarkEnd w:id="123"/>
    <w:bookmarkStart w:id="125"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4">
        <w:r>
          <w:rPr>
            <w:rStyle w:val="Hyperlink"/>
          </w:rPr>
          <w:t xml:space="preserve">https://doi.org/10.1098/rspb.2018.1386</w:t>
        </w:r>
      </w:hyperlink>
      <w:r>
        <w:t xml:space="preserve">.</w:t>
      </w:r>
    </w:p>
    <w:bookmarkEnd w:id="125"/>
    <w:bookmarkStart w:id="127"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6">
        <w:r>
          <w:rPr>
            <w:rStyle w:val="Hyperlink"/>
          </w:rPr>
          <w:t xml:space="preserve">https://doi.org/10.1016/j.anbehav.2006.05.010</w:t>
        </w:r>
      </w:hyperlink>
      <w:r>
        <w:t xml:space="preserve">.</w:t>
      </w:r>
    </w:p>
    <w:bookmarkEnd w:id="127"/>
    <w:bookmarkStart w:id="129"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28">
        <w:r>
          <w:rPr>
            <w:rStyle w:val="Hyperlink"/>
          </w:rPr>
          <w:t xml:space="preserve">https://doi.org/10.1007/s11222-016-9696-4</w:t>
        </w:r>
      </w:hyperlink>
      <w:r>
        <w:t xml:space="preserve">.</w:t>
      </w:r>
    </w:p>
    <w:bookmarkEnd w:id="129"/>
    <w:bookmarkStart w:id="131"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0">
        <w:r>
          <w:rPr>
            <w:rStyle w:val="Hyperlink"/>
          </w:rPr>
          <w:t xml:space="preserve">https://doi.org/10.1214/20-BA1221</w:t>
        </w:r>
      </w:hyperlink>
      <w:r>
        <w:t xml:space="preserve">.</w:t>
      </w:r>
    </w:p>
    <w:bookmarkEnd w:id="131"/>
    <w:bookmarkStart w:id="133"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2">
        <w:r>
          <w:rPr>
            <w:rStyle w:val="Hyperlink"/>
          </w:rPr>
          <w:t xml:space="preserve">https://doi.org/10.48550/arXiv.1507.02646</w:t>
        </w:r>
      </w:hyperlink>
      <w:r>
        <w:t xml:space="preserve">.</w:t>
      </w:r>
    </w:p>
    <w:bookmarkEnd w:id="133"/>
    <w:bookmarkStart w:id="135"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4">
        <w:r>
          <w:rPr>
            <w:rStyle w:val="Hyperlink"/>
          </w:rPr>
          <w:t xml:space="preserve">https://doi.org/10.1111/j.1365-2435.2005.01033.x</w:t>
        </w:r>
      </w:hyperlink>
      <w:r>
        <w:t xml:space="preserve">.</w:t>
      </w:r>
    </w:p>
    <w:bookmarkEnd w:id="135"/>
    <w:bookmarkStart w:id="137"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6">
        <w:r>
          <w:rPr>
            <w:rStyle w:val="Hyperlink"/>
          </w:rPr>
          <w:t xml:space="preserve">https://doi.org/10.1007/s00265-014-1861-1</w:t>
        </w:r>
      </w:hyperlink>
      <w:r>
        <w:t xml:space="preserve">.</w:t>
      </w:r>
    </w:p>
    <w:bookmarkEnd w:id="137"/>
    <w:bookmarkStart w:id="139"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38">
        <w:r>
          <w:rPr>
            <w:rStyle w:val="Hyperlink"/>
          </w:rPr>
          <w:t xml:space="preserve">https://doi.org/10.1111/ele.13614</w:t>
        </w:r>
      </w:hyperlink>
      <w:r>
        <w:t xml:space="preserve">.</w:t>
      </w:r>
    </w:p>
    <w:bookmarkEnd w:id="139"/>
    <w:bookmarkStart w:id="141"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0">
        <w:r>
          <w:rPr>
            <w:rStyle w:val="Hyperlink"/>
          </w:rPr>
          <w:t xml:space="preserve">https://doi.org/10.1111/j.1365-2656.2008.01429.x</w:t>
        </w:r>
      </w:hyperlink>
      <w:r>
        <w:t xml:space="preserve">.</w:t>
      </w:r>
    </w:p>
    <w:bookmarkEnd w:id="141"/>
    <w:bookmarkStart w:id="143"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2">
        <w:r>
          <w:rPr>
            <w:rStyle w:val="Hyperlink"/>
          </w:rPr>
          <w:t xml:space="preserve">https://doi.org/10.1016/j.tree.2023.09.012</w:t>
        </w:r>
      </w:hyperlink>
      <w:r>
        <w:t xml:space="preserve">.</w:t>
      </w:r>
    </w:p>
    <w:bookmarkEnd w:id="143"/>
    <w:bookmarkStart w:id="145"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4">
        <w:r>
          <w:rPr>
            <w:rStyle w:val="Hyperlink"/>
          </w:rPr>
          <w:t xml:space="preserve">https://doi.org/10.1111/brv.12879</w:t>
        </w:r>
      </w:hyperlink>
      <w:r>
        <w:t xml:space="preserve">.</w:t>
      </w:r>
    </w:p>
    <w:bookmarkEnd w:id="145"/>
    <w:bookmarkEnd w:id="146"/>
    <w:bookmarkEnd w:id="147"/>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79" Target="https://doi.org/10.1002/9781444342536.ch3" TargetMode="External" /><Relationship Type="http://schemas.openxmlformats.org/officeDocument/2006/relationships/hyperlink" Id="rId97" Target="https://doi.org/10.1006/anbe.2000.1546" TargetMode="External" /><Relationship Type="http://schemas.openxmlformats.org/officeDocument/2006/relationships/hyperlink" Id="rId13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57" Target="https://doi.org/10.1007/s00265-024-03463-6" TargetMode="External" /><Relationship Type="http://schemas.openxmlformats.org/officeDocument/2006/relationships/hyperlink" Id="rId103" Target="https://doi.org/10.1007/s11222-016-9649-y" TargetMode="External" /><Relationship Type="http://schemas.openxmlformats.org/officeDocument/2006/relationships/hyperlink" Id="rId128" Target="https://doi.org/10.1007/s11222-016-9696-4" TargetMode="External" /><Relationship Type="http://schemas.openxmlformats.org/officeDocument/2006/relationships/hyperlink" Id="rId91" Target="https://doi.org/10.1007/s12110-007-9019-8" TargetMode="External" /><Relationship Type="http://schemas.openxmlformats.org/officeDocument/2006/relationships/hyperlink" Id="rId101" Target="https://doi.org/10.1016/bs.aecr.2015.01.001" TargetMode="External" /><Relationship Type="http://schemas.openxmlformats.org/officeDocument/2006/relationships/hyperlink" Id="rId126" Target="https://doi.org/10.1016/j.anbehav.2006.05.010" TargetMode="External" /><Relationship Type="http://schemas.openxmlformats.org/officeDocument/2006/relationships/hyperlink" Id="rId63" Target="https://doi.org/10.1016/j.anbehav.2018.05.010" TargetMode="External" /><Relationship Type="http://schemas.openxmlformats.org/officeDocument/2006/relationships/hyperlink" Id="rId59" Target="https://doi.org/10.1016/j.anbehav.2021.06.010" TargetMode="External" /><Relationship Type="http://schemas.openxmlformats.org/officeDocument/2006/relationships/hyperlink" Id="rId120" Target="https://doi.org/10.1016/j.biocon.2019.05.054" TargetMode="External" /><Relationship Type="http://schemas.openxmlformats.org/officeDocument/2006/relationships/hyperlink" Id="rId142" Target="https://doi.org/10.1016/j.tree.2023.09.012" TargetMode="External" /><Relationship Type="http://schemas.openxmlformats.org/officeDocument/2006/relationships/hyperlink" Id="rId85" Target="https://doi.org/10.1016/j.tree.2024.07.001" TargetMode="External" /><Relationship Type="http://schemas.openxmlformats.org/officeDocument/2006/relationships/hyperlink" Id="rId95" Target="https://doi.org/10.1016/j.tree.2025.02.003" TargetMode="External" /><Relationship Type="http://schemas.openxmlformats.org/officeDocument/2006/relationships/hyperlink" Id="rId89" Target="https://doi.org/10.1073/pnas.2217973120" TargetMode="External" /><Relationship Type="http://schemas.openxmlformats.org/officeDocument/2006/relationships/hyperlink" Id="rId67" Target="https://doi.org/10.1080/03014223.1994.9517994" TargetMode="External" /><Relationship Type="http://schemas.openxmlformats.org/officeDocument/2006/relationships/hyperlink" Id="rId73" Target="https://doi.org/10.1086/285546" TargetMode="External" /><Relationship Type="http://schemas.openxmlformats.org/officeDocument/2006/relationships/hyperlink" Id="rId81" Target="https://doi.org/10.1086/724491" TargetMode="External" /><Relationship Type="http://schemas.openxmlformats.org/officeDocument/2006/relationships/hyperlink" Id="rId65" Target="https://doi.org/10.1093/beheco/12.2.192" TargetMode="External" /><Relationship Type="http://schemas.openxmlformats.org/officeDocument/2006/relationships/hyperlink" Id="rId70" Target="https://doi.org/10.1093/beheco/arac063" TargetMode="External" /><Relationship Type="http://schemas.openxmlformats.org/officeDocument/2006/relationships/hyperlink" Id="rId118" Target="https://doi.org/10.1093/beheco/ars156" TargetMode="External" /><Relationship Type="http://schemas.openxmlformats.org/officeDocument/2006/relationships/hyperlink" Id="rId111" Target="https://doi.org/10.1093/jeb/voae055" TargetMode="External" /><Relationship Type="http://schemas.openxmlformats.org/officeDocument/2006/relationships/hyperlink" Id="rId87" Target="https://doi.org/10.1098/rspb.2011.2516" TargetMode="External" /><Relationship Type="http://schemas.openxmlformats.org/officeDocument/2006/relationships/hyperlink" Id="rId115" Target="https://doi.org/10.1098/rspb.2015.2890" TargetMode="External" /><Relationship Type="http://schemas.openxmlformats.org/officeDocument/2006/relationships/hyperlink" Id="rId53" Target="https://doi.org/10.1098/rspb.2017.2146" TargetMode="External" /><Relationship Type="http://schemas.openxmlformats.org/officeDocument/2006/relationships/hyperlink" Id="rId77" Target="https://doi.org/10.1098/rspb.2017.2182" TargetMode="External" /><Relationship Type="http://schemas.openxmlformats.org/officeDocument/2006/relationships/hyperlink" Id="rId124" Target="https://doi.org/10.1098/rspb.2018.1386" TargetMode="External" /><Relationship Type="http://schemas.openxmlformats.org/officeDocument/2006/relationships/hyperlink" Id="rId61" Target="https://doi.org/10.1098/rstb.2016.0427" TargetMode="External" /><Relationship Type="http://schemas.openxmlformats.org/officeDocument/2006/relationships/hyperlink" Id="rId144" Target="https://doi.org/10.1111/brv.12879" TargetMode="External" /><Relationship Type="http://schemas.openxmlformats.org/officeDocument/2006/relationships/hyperlink" Id="rId138" Target="https://doi.org/10.1111/ele.13614" TargetMode="External" /><Relationship Type="http://schemas.openxmlformats.org/officeDocument/2006/relationships/hyperlink" Id="rId134" Target="https://doi.org/10.1111/j.1365-2435.2005.01033.x" TargetMode="External" /><Relationship Type="http://schemas.openxmlformats.org/officeDocument/2006/relationships/hyperlink" Id="rId83" Target="https://doi.org/10.1111/j.1365-2435.2009.01631.x" TargetMode="External" /><Relationship Type="http://schemas.openxmlformats.org/officeDocument/2006/relationships/hyperlink" Id="rId140" Target="https://doi.org/10.1111/j.1365-2656.2008.01429.x" TargetMode="External" /><Relationship Type="http://schemas.openxmlformats.org/officeDocument/2006/relationships/hyperlink" Id="rId93" Target="https://doi.org/10.1111/oik.08143" TargetMode="External" /><Relationship Type="http://schemas.openxmlformats.org/officeDocument/2006/relationships/hyperlink" Id="rId109" Target="https://doi.org/10.1126/science.1241484" TargetMode="External" /><Relationship Type="http://schemas.openxmlformats.org/officeDocument/2006/relationships/hyperlink" Id="rId49" Target="https://doi.org/10.1146/annurev.ecolsys.31.1.79" TargetMode="External" /><Relationship Type="http://schemas.openxmlformats.org/officeDocument/2006/relationships/hyperlink" Id="rId107" Target="https://doi.org/10.1163/000579509X12512871386137" TargetMode="External" /><Relationship Type="http://schemas.openxmlformats.org/officeDocument/2006/relationships/hyperlink" Id="rId130" Target="https://doi.org/10.1214/20-BA1221" TargetMode="External" /><Relationship Type="http://schemas.openxmlformats.org/officeDocument/2006/relationships/hyperlink" Id="rId75" Target="https://doi.org/10.1242/jeb.154534" TargetMode="External" /><Relationship Type="http://schemas.openxmlformats.org/officeDocument/2006/relationships/hyperlink" Id="rId113" Target="https://doi.org/10.12688/f1000research.11813.1" TargetMode="External" /><Relationship Type="http://schemas.openxmlformats.org/officeDocument/2006/relationships/hyperlink" Id="rId122" Target="https://doi.org/10.1371/journal.pone.0073733" TargetMode="External" /><Relationship Type="http://schemas.openxmlformats.org/officeDocument/2006/relationships/hyperlink" Id="rId55" Target="https://doi.org/10.18637/jss.v080.i01" TargetMode="External" /><Relationship Type="http://schemas.openxmlformats.org/officeDocument/2006/relationships/hyperlink" Id="rId105" Target="https://doi.org/10.1890/07-1580.1" TargetMode="External" /><Relationship Type="http://schemas.openxmlformats.org/officeDocument/2006/relationships/hyperlink" Id="rId132" Target="https://doi.org/10.48550/arXiv.1507.02646" TargetMode="External" /><Relationship Type="http://schemas.openxmlformats.org/officeDocument/2006/relationships/hyperlink" Id="rId99" Target="https://doi.org/10.7717/peerj.6876" TargetMode="External" /><Relationship Type="http://schemas.openxmlformats.org/officeDocument/2006/relationships/hyperlink" Id="rId30"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79" Target="https://doi.org/10.1002/9781444342536.ch3" TargetMode="External" /><Relationship Type="http://schemas.openxmlformats.org/officeDocument/2006/relationships/hyperlink" Id="rId97" Target="https://doi.org/10.1006/anbe.2000.1546" TargetMode="External" /><Relationship Type="http://schemas.openxmlformats.org/officeDocument/2006/relationships/hyperlink" Id="rId13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57" Target="https://doi.org/10.1007/s00265-024-03463-6" TargetMode="External" /><Relationship Type="http://schemas.openxmlformats.org/officeDocument/2006/relationships/hyperlink" Id="rId103" Target="https://doi.org/10.1007/s11222-016-9649-y" TargetMode="External" /><Relationship Type="http://schemas.openxmlformats.org/officeDocument/2006/relationships/hyperlink" Id="rId128" Target="https://doi.org/10.1007/s11222-016-9696-4" TargetMode="External" /><Relationship Type="http://schemas.openxmlformats.org/officeDocument/2006/relationships/hyperlink" Id="rId91" Target="https://doi.org/10.1007/s12110-007-9019-8" TargetMode="External" /><Relationship Type="http://schemas.openxmlformats.org/officeDocument/2006/relationships/hyperlink" Id="rId101" Target="https://doi.org/10.1016/bs.aecr.2015.01.001" TargetMode="External" /><Relationship Type="http://schemas.openxmlformats.org/officeDocument/2006/relationships/hyperlink" Id="rId126" Target="https://doi.org/10.1016/j.anbehav.2006.05.010" TargetMode="External" /><Relationship Type="http://schemas.openxmlformats.org/officeDocument/2006/relationships/hyperlink" Id="rId63" Target="https://doi.org/10.1016/j.anbehav.2018.05.010" TargetMode="External" /><Relationship Type="http://schemas.openxmlformats.org/officeDocument/2006/relationships/hyperlink" Id="rId59" Target="https://doi.org/10.1016/j.anbehav.2021.06.010" TargetMode="External" /><Relationship Type="http://schemas.openxmlformats.org/officeDocument/2006/relationships/hyperlink" Id="rId120" Target="https://doi.org/10.1016/j.biocon.2019.05.054" TargetMode="External" /><Relationship Type="http://schemas.openxmlformats.org/officeDocument/2006/relationships/hyperlink" Id="rId142" Target="https://doi.org/10.1016/j.tree.2023.09.012" TargetMode="External" /><Relationship Type="http://schemas.openxmlformats.org/officeDocument/2006/relationships/hyperlink" Id="rId85" Target="https://doi.org/10.1016/j.tree.2024.07.001" TargetMode="External" /><Relationship Type="http://schemas.openxmlformats.org/officeDocument/2006/relationships/hyperlink" Id="rId95" Target="https://doi.org/10.1016/j.tree.2025.02.003" TargetMode="External" /><Relationship Type="http://schemas.openxmlformats.org/officeDocument/2006/relationships/hyperlink" Id="rId89" Target="https://doi.org/10.1073/pnas.2217973120" TargetMode="External" /><Relationship Type="http://schemas.openxmlformats.org/officeDocument/2006/relationships/hyperlink" Id="rId67" Target="https://doi.org/10.1080/03014223.1994.9517994" TargetMode="External" /><Relationship Type="http://schemas.openxmlformats.org/officeDocument/2006/relationships/hyperlink" Id="rId73" Target="https://doi.org/10.1086/285546" TargetMode="External" /><Relationship Type="http://schemas.openxmlformats.org/officeDocument/2006/relationships/hyperlink" Id="rId81" Target="https://doi.org/10.1086/724491" TargetMode="External" /><Relationship Type="http://schemas.openxmlformats.org/officeDocument/2006/relationships/hyperlink" Id="rId65" Target="https://doi.org/10.1093/beheco/12.2.192" TargetMode="External" /><Relationship Type="http://schemas.openxmlformats.org/officeDocument/2006/relationships/hyperlink" Id="rId70" Target="https://doi.org/10.1093/beheco/arac063" TargetMode="External" /><Relationship Type="http://schemas.openxmlformats.org/officeDocument/2006/relationships/hyperlink" Id="rId118" Target="https://doi.org/10.1093/beheco/ars156" TargetMode="External" /><Relationship Type="http://schemas.openxmlformats.org/officeDocument/2006/relationships/hyperlink" Id="rId111" Target="https://doi.org/10.1093/jeb/voae055" TargetMode="External" /><Relationship Type="http://schemas.openxmlformats.org/officeDocument/2006/relationships/hyperlink" Id="rId87" Target="https://doi.org/10.1098/rspb.2011.2516" TargetMode="External" /><Relationship Type="http://schemas.openxmlformats.org/officeDocument/2006/relationships/hyperlink" Id="rId115" Target="https://doi.org/10.1098/rspb.2015.2890" TargetMode="External" /><Relationship Type="http://schemas.openxmlformats.org/officeDocument/2006/relationships/hyperlink" Id="rId53" Target="https://doi.org/10.1098/rspb.2017.2146" TargetMode="External" /><Relationship Type="http://schemas.openxmlformats.org/officeDocument/2006/relationships/hyperlink" Id="rId77" Target="https://doi.org/10.1098/rspb.2017.2182" TargetMode="External" /><Relationship Type="http://schemas.openxmlformats.org/officeDocument/2006/relationships/hyperlink" Id="rId124" Target="https://doi.org/10.1098/rspb.2018.1386" TargetMode="External" /><Relationship Type="http://schemas.openxmlformats.org/officeDocument/2006/relationships/hyperlink" Id="rId61" Target="https://doi.org/10.1098/rstb.2016.0427" TargetMode="External" /><Relationship Type="http://schemas.openxmlformats.org/officeDocument/2006/relationships/hyperlink" Id="rId144" Target="https://doi.org/10.1111/brv.12879" TargetMode="External" /><Relationship Type="http://schemas.openxmlformats.org/officeDocument/2006/relationships/hyperlink" Id="rId138" Target="https://doi.org/10.1111/ele.13614" TargetMode="External" /><Relationship Type="http://schemas.openxmlformats.org/officeDocument/2006/relationships/hyperlink" Id="rId134" Target="https://doi.org/10.1111/j.1365-2435.2005.01033.x" TargetMode="External" /><Relationship Type="http://schemas.openxmlformats.org/officeDocument/2006/relationships/hyperlink" Id="rId83" Target="https://doi.org/10.1111/j.1365-2435.2009.01631.x" TargetMode="External" /><Relationship Type="http://schemas.openxmlformats.org/officeDocument/2006/relationships/hyperlink" Id="rId140" Target="https://doi.org/10.1111/j.1365-2656.2008.01429.x" TargetMode="External" /><Relationship Type="http://schemas.openxmlformats.org/officeDocument/2006/relationships/hyperlink" Id="rId93" Target="https://doi.org/10.1111/oik.08143" TargetMode="External" /><Relationship Type="http://schemas.openxmlformats.org/officeDocument/2006/relationships/hyperlink" Id="rId109" Target="https://doi.org/10.1126/science.1241484" TargetMode="External" /><Relationship Type="http://schemas.openxmlformats.org/officeDocument/2006/relationships/hyperlink" Id="rId49" Target="https://doi.org/10.1146/annurev.ecolsys.31.1.79" TargetMode="External" /><Relationship Type="http://schemas.openxmlformats.org/officeDocument/2006/relationships/hyperlink" Id="rId107" Target="https://doi.org/10.1163/000579509X12512871386137" TargetMode="External" /><Relationship Type="http://schemas.openxmlformats.org/officeDocument/2006/relationships/hyperlink" Id="rId130" Target="https://doi.org/10.1214/20-BA1221" TargetMode="External" /><Relationship Type="http://schemas.openxmlformats.org/officeDocument/2006/relationships/hyperlink" Id="rId75" Target="https://doi.org/10.1242/jeb.154534" TargetMode="External" /><Relationship Type="http://schemas.openxmlformats.org/officeDocument/2006/relationships/hyperlink" Id="rId113" Target="https://doi.org/10.12688/f1000research.11813.1" TargetMode="External" /><Relationship Type="http://schemas.openxmlformats.org/officeDocument/2006/relationships/hyperlink" Id="rId122" Target="https://doi.org/10.1371/journal.pone.0073733" TargetMode="External" /><Relationship Type="http://schemas.openxmlformats.org/officeDocument/2006/relationships/hyperlink" Id="rId55" Target="https://doi.org/10.18637/jss.v080.i01" TargetMode="External" /><Relationship Type="http://schemas.openxmlformats.org/officeDocument/2006/relationships/hyperlink" Id="rId105" Target="https://doi.org/10.1890/07-1580.1" TargetMode="External" /><Relationship Type="http://schemas.openxmlformats.org/officeDocument/2006/relationships/hyperlink" Id="rId132" Target="https://doi.org/10.48550/arXiv.1507.02646" TargetMode="External" /><Relationship Type="http://schemas.openxmlformats.org/officeDocument/2006/relationships/hyperlink" Id="rId99" Target="https://doi.org/10.7717/peerj.6876" TargetMode="External" /><Relationship Type="http://schemas.openxmlformats.org/officeDocument/2006/relationships/hyperlink" Id="rId30"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Implications of prey skill and antipredator behaviour in the acquisition of predator expertise: a virtual ecological study</dc:title>
  <dc:creator/>
  <cp:keywords/>
  <dcterms:created xsi:type="dcterms:W3CDTF">2025-08-19T12:55:41Z</dcterms:created>
  <dcterms:modified xsi:type="dcterms:W3CDTF">2025-08-19T12:55:41Z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