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for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Field studies show that predators with contrasting hunting modes (e.g. cursorial vs ambush) can cause opposing trophic cascades and act at different trophic levels</w:t>
      </w:r>
      <w:r>
        <w:t xml:space="preserve"> </w:t>
      </w:r>
      <w:r>
        <w:t xml:space="preserve">(Schmitz 2008; Romero &amp; Koricheva 2011)</w:t>
      </w:r>
      <w:r>
        <w:t xml:space="preserve">. For instance, predators might differ in the number of individuals or species, or in the type of prey that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Such observations sparked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Indeed, studies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It is therefore imperative that we account for individual variation in hunting mode during predator-prey interactions if we hope to understand community-level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availability, or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to meet the energy/time demands that are required to successfully capture the type of prey generally encountered</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is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If individual tactics allow predators to reach similar capture rates, then predators with contrasting hunting modes might coexist within a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could be difficult to test at the individual level in wild populations of free-ranging predators.</w:t>
      </w:r>
    </w:p>
    <w:p>
      <w:pPr>
        <w:pStyle w:val="BodyText"/>
      </w:pPr>
      <w:r>
        <w:t xml:space="preserve">Habitat structure is a second important driver of individual differences in predator foraging mode, as it shapes opportunities for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to predators who hunt in open and homogeneous habitats adopting a cursorial strategy, contrary to those hunting in heterogeneous and closed habitats that typically ambush their prey</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predict the tactic used. Heterogeneous habitats are expected to favor sit-and-wait/sit-and-pursue hunters as they offer perches and cover,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Despite our improved knowledge of what triggers foraging mode-switching, most research is conducted under controlled laboratory conditions, which can fail to capture the nuances and complexities of predator species’ ecology in the wild</w:t>
      </w:r>
      <w:r>
        <w:t xml:space="preserve"> </w:t>
      </w:r>
      <w:r>
        <w:t xml:space="preserve">(Carter</w:t>
      </w:r>
      <w:r>
        <w:t xml:space="preserve"> </w:t>
      </w:r>
      <w:r>
        <w:rPr>
          <w:i/>
        </w:rPr>
        <w:t xml:space="preserve">et al.</w:t>
      </w:r>
      <w:r>
        <w:t xml:space="preserve"> </w:t>
      </w:r>
      <w:r>
        <w:t xml:space="preserve">2013; Niemelä &amp; Dingemanse 2014)</w:t>
      </w:r>
      <w:r>
        <w:t xml:space="preserve">.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Empirically investigating individual variation in hunting mode requires repeated measures of behaviour of numerous individuals under different environmental settings</w:t>
      </w:r>
      <w:r>
        <w:t xml:space="preserve"> </w:t>
      </w:r>
      <w:r>
        <w:t xml:space="preserve">(Dall &amp; Griffith 2014; Dingemanse &amp; Wright 2020)</w:t>
      </w:r>
      <w:r>
        <w:t xml:space="preserve">. Such an approach may impose considerable financial, technical, and ethical challenges when studying larger or elusive wildlife, such as apex predators</w:t>
      </w:r>
      <w:r>
        <w:t xml:space="preserve"> </w:t>
      </w:r>
      <w:r>
        <w:t xml:space="preserve">(Hertel</w:t>
      </w:r>
      <w:r>
        <w:t xml:space="preserve"> </w:t>
      </w:r>
      <w:r>
        <w:rPr>
          <w:i/>
        </w:rPr>
        <w:t xml:space="preserve">et al.</w:t>
      </w:r>
      <w:r>
        <w:t xml:space="preserve"> </w:t>
      </w:r>
      <w:r>
        <w:t xml:space="preserve">2020)</w:t>
      </w:r>
      <w:r>
        <w:t xml:space="preserve">. An additional challenge in empirical studies of predator-prey interactions is identifying traits in predators and prey that are easily observable, but also ecologically relevant. For instance, foraging mode is expected to vary along a continuum of morphological, physiological, and behavioural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but few studies have investigated how habitat- and prey-specific caracteristics jointly shape individual variation in correlated foraging traits.</w:t>
      </w:r>
    </w:p>
    <w:p>
      <w:pPr>
        <w:pStyle w:val="BodyText"/>
      </w:pPr>
      <w:r>
        <w:t xml:space="preserve">Here, we propose a novel approach to combat the challenges of studying individual variation in predator behaviour that capitalizes on online multiplayer videogames</w:t>
      </w:r>
      <w:r>
        <w:t xml:space="preserve"> </w:t>
      </w:r>
      <w:r>
        <w:t xml:space="preserve">(Balicer 2007; Lofgren &amp; Fefferman 2007; Oultram 2013; Ahmad</w:t>
      </w:r>
      <w:r>
        <w:t xml:space="preserve"> </w:t>
      </w:r>
      <w:r>
        <w:rPr>
          <w:i/>
        </w:rPr>
        <w:t xml:space="preserve">et al.</w:t>
      </w:r>
      <w:r>
        <w:t xml:space="preserve"> </w:t>
      </w:r>
      <w:r>
        <w:t xml:space="preserve">2014; Ross</w:t>
      </w:r>
      <w:r>
        <w:t xml:space="preserve"> </w:t>
      </w:r>
      <w:r>
        <w:rPr>
          <w:i/>
        </w:rPr>
        <w:t xml:space="preserve">et al.</w:t>
      </w:r>
      <w:r>
        <w:t xml:space="preserve"> </w:t>
      </w:r>
      <w:r>
        <w:t xml:space="preserve">2015)</w:t>
      </w:r>
      <w:r>
        <w:t xml:space="preserve">. Online multiplayer videogames could provide numerous opportunities for ecologists to study general ecological phenomena, including the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innumerable repeated measurements from millions of individual players across temporal and environmental gradients, which would be impossible with traditional field studies. Second, environmental settings are known and can be manipulated by the observer, thus permitting experimental tests of how specific environmental components shape the behaviour of interest. Third, videogames can realistically reproduce ecological settings in which complex among-individual interactions occur. A classic example of this approach is the analysis of the</w:t>
      </w:r>
      <w:r>
        <w:t xml:space="preserve"> </w:t>
      </w:r>
      <w:r>
        <w:t xml:space="preserve">“</w:t>
      </w:r>
      <w:r>
        <w:t xml:space="preserve">Corrupted Blood</w:t>
      </w:r>
      <w:r>
        <w:t xml:space="preserve">”</w:t>
      </w:r>
      <w:r>
        <w:t xml:space="preserve"> </w:t>
      </w:r>
      <w:r>
        <w:t xml:space="preserve">epidemic in</w:t>
      </w:r>
      <w:r>
        <w:t xml:space="preserve"> </w:t>
      </w:r>
      <w:r>
        <w:rPr>
          <w:i/>
        </w:rPr>
        <w:t xml:space="preserve">World of Warcraft</w:t>
      </w:r>
      <w:r>
        <w:t xml:space="preserve">, where precise epidemiological parameters, such as transmission rate, were used to predict the outbreaks</w:t>
      </w:r>
      <w:r>
        <w:t xml:space="preserve"> </w:t>
      </w:r>
      <w:r>
        <w:t xml:space="preserve">(Balicer 2007; Lofgren &amp; Fefferman 2007)</w:t>
      </w:r>
      <w:r>
        <w:t xml:space="preserve">. In this sense, online multiplayer videogames potentially constitute a complement to traditional field studies. We suggest that they will permit ecologists (among other scientists) to bridge the gap between real-world ecological studies and large-scale computer simulations. Online videogames are of interest to social, economic, and epidemiological sciences</w:t>
      </w:r>
      <w:r>
        <w:t xml:space="preserve"> </w:t>
      </w:r>
      <w:r>
        <w:t xml:space="preserve">(Ross</w:t>
      </w:r>
      <w:r>
        <w:t xml:space="preserve"> </w:t>
      </w:r>
      <w:r>
        <w:rPr>
          <w:i/>
        </w:rPr>
        <w:t xml:space="preserve">et al.</w:t>
      </w:r>
      <w:r>
        <w:t xml:space="preserve"> </w:t>
      </w:r>
      <w:r>
        <w:t xml:space="preserve">2015)</w:t>
      </w:r>
      <w:r>
        <w:t xml:space="preserve">, but to our knowledge, ours is the second study (see Cere et al., accepted) to use an online videogame to test ecological hypotheses.</w:t>
      </w:r>
    </w:p>
    <w:p>
      <w:pPr>
        <w:pStyle w:val="BodyText"/>
      </w:pPr>
      <w:r>
        <w:t xml:space="preserve">We used the online multiplayer videogame</w:t>
      </w:r>
      <w:r>
        <w:t xml:space="preserve"> </w:t>
      </w:r>
      <w:r>
        <w:rPr>
          <w:i/>
        </w:rPr>
        <w:t xml:space="preserve">Dead by Daylight</w:t>
      </w:r>
      <w:r>
        <w:t xml:space="preserve"> </w:t>
      </w:r>
      <w:r>
        <w:t xml:space="preserve">(</w:t>
      </w:r>
      <w:r>
        <w:rPr>
          <w:i/>
        </w:rPr>
        <w:t xml:space="preserve">DBD</w:t>
      </w:r>
      <w:r>
        <w:t xml:space="preserve">) as our study system. This game pits a single player (predator) against a group of four players (prey), where the predator’s objective is to capture prey (Fig. 1). The predator’s main objective is to search for and consume prey, while the preys’ objective is to escape the predator. Prey can use a wide range of behaviours such as cooperation or hiding to successfully escape (Fig. 1 B and C). For example, they can cooperate to help conspecifics escape from capture (Cere et al., accepted), which predators may exploit to lure them in an ambush. These situations offer the possibility for predators to express different hunting tactics. Moreover, each match in</w:t>
      </w:r>
      <w:r>
        <w:t xml:space="preserve"> </w:t>
      </w:r>
      <w:r>
        <w:rPr>
          <w:i/>
        </w:rPr>
        <w:t xml:space="preserve">DBD</w:t>
      </w:r>
      <w:r>
        <w:t xml:space="preserve"> </w:t>
      </w:r>
      <w:r>
        <w:t xml:space="preserve">occurs within a specific game environment. The different game environments vary from forests, to farmlands, to urban areas. These environments differ in the heterogeneity and complexity of their structures</w:t>
      </w:r>
      <w:r>
        <w:t xml:space="preserve"> </w:t>
      </w:r>
      <w:r>
        <w:t xml:space="preserve">(McCoy &amp; Bell 1991)</w:t>
      </w:r>
      <w:r>
        <w:t xml:space="preserve">, such as in the availability of perches and refugia, vegetation density, or surface area (Fig 1. D). Hence, predators may encounter prey that express different behaviours,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p>
    <w:p>
      <w:pPr>
        <w:pStyle w:val="BodyText"/>
      </w:pPr>
      <w:r>
        <w:t xml:space="preserve">In this study, we used an extensive and complete dataset on the hunting behaviour of predator players in</w:t>
      </w:r>
      <w:r>
        <w:t xml:space="preserve"> </w:t>
      </w:r>
      <w:r>
        <w:rPr>
          <w:i/>
        </w:rPr>
        <w:t xml:space="preserve">Dead by Daylight</w:t>
      </w:r>
      <w:r>
        <w:t xml:space="preserve"> </w:t>
      </w:r>
      <w:r>
        <w:t xml:space="preserve">to investigate environmental and individual variation in hunting mode, and how it affects hunting success. We used four hunting-related behaviours as proxies of hunting mode: travel speed, the rate of space covered in the environment, the proportion of time spent in an ambush position, and the time before first capture. We applied the conceptual framework of behavioural syndrome analysis, which provides a means to quantify variation in multiple behaviours and their correlations at different hierarchical levels</w:t>
      </w:r>
      <w:r>
        <w:t xml:space="preserve"> </w:t>
      </w:r>
      <w:r>
        <w:t xml:space="preserve">(Dingemanse &amp; Dochtermann 2013)</w:t>
      </w:r>
      <w:r>
        <w:t xml:space="preserve">. Thus, we quantified population and within-population structure/variability of predator foraging mode along a continuum of hunting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Environmental variation at the population-level includes among-habitat differences in average hunting behaviour. Within-population variation includes a) the variation in tactic use arising when some individuals use one tactic more often than the others (i.e. individual specialisation) and b) the variation arising from individuals adjusting tactic use over time in response to changes in environmental conditions or prey behaviour (i.e. individual flexibility). First, we hypothesized that predators would use hunting tactics according to habitat-specific characteristics. Therefore, we expected correlated trait values associated with ambush tactics in smaller and heterogeneous environments, and correlated trait values associated with cursorial tactics in open/wider and homogeneous environments. Second, we hypothesized that individual predators would consistently differ in their hunting mode over time, with some specialising as cursorial hunters, and others as ambush hunters. Thus, we predicted that individual predators would differ in their average trait values along a continuum for all combinations of the four hunting traits (among-individual behavioural correlations). Following the locomotor-crossover hypothesis, we predicted that ambush and cursorial predator-types may coexist in the population, because both achieve similar hunting success by performing better against prey with the opposite locomotor tendency. Lastly, we hypothesized that individual predators would express flexible hunting behaviour, by switching from cursorial to ambush tactics between foraging bouts. We predicted that the individuals’ residual trait values in contrasting hunting behaviours (ambush vs cursorial) would be negatively correlated (within-individual behavioural correlations).</w:t>
      </w:r>
    </w:p>
    <w:p>
      <w:pPr>
        <w:pStyle w:val="Heading1"/>
      </w:pPr>
      <w:bookmarkStart w:id="26" w:name="materials-and-methods"/>
      <w:r>
        <w:t xml:space="preserve">Materials and methods</w:t>
      </w:r>
      <w:bookmarkEnd w:id="26"/>
    </w:p>
    <w:p>
      <w:pPr>
        <w:pStyle w:val="Heading2"/>
      </w:pPr>
      <w:bookmarkStart w:id="27" w:name="a-study-system"/>
      <w:r>
        <w:t xml:space="preserve">(a) Study system</w:t>
      </w:r>
      <w:bookmarkEnd w:id="27"/>
    </w:p>
    <w:p>
      <w:pPr>
        <w:pStyle w:val="FirstParagraph"/>
      </w:pPr>
      <w:r>
        <w:t xml:space="preserve">The datasets used to test our hypotheses were provided by Behaviour Interactive Inc., the creator and administrator of</w:t>
      </w:r>
      <w:r>
        <w:t xml:space="preserve"> </w:t>
      </w:r>
      <w:r>
        <w:rPr>
          <w:i/>
        </w:rPr>
        <w:t xml:space="preserve">DBD</w:t>
      </w:r>
      <w:r>
        <w:t xml:space="preserve">. The company records the behaviour of players for every match played online. During our study period,</w:t>
      </w:r>
      <w:r>
        <w:t xml:space="preserve"> </w:t>
      </w:r>
      <w:r>
        <w:rPr>
          <w:i/>
        </w:rPr>
        <w:t xml:space="preserve">DBD</w:t>
      </w:r>
      <w:r>
        <w:t xml:space="preserve"> </w:t>
      </w:r>
      <w:r>
        <w:t xml:space="preserve">offered 15 playable predator avatars. Players who incarnate the predator choose their avatar before a match takes place. Each predator avatar has unique abilities that may encourage different playstyles. Some have abilities than make them stealthier, while others can run faster, or have more powerful attacks. We thus controlled for the chosen avatar in our models since it may impact the playstyle of the predator player. In addition, the game environment where players compete is usually randomly assigned from a list of 27 maps differing in their physical components. For example, some maps have large playable surface areas with low vegetation density, which may favor the use of a cursorial strategy. Other maps have a smaller surface area with high vegetation density, which may impair visibility and alter prey detection, favoring the use of an ambush strategy. For additional details on the game settings and map characteristics, refer to</w:t>
      </w:r>
      <w:r>
        <w:t xml:space="preserve"> </w:t>
      </w:r>
      <w:hyperlink r:id="rId28">
        <w:r>
          <w:rPr>
            <w:rStyle w:val="Hyperlink"/>
          </w:rPr>
          <w:t xml:space="preserve">https://deadbydaylight.com/en</w:t>
        </w:r>
      </w:hyperlink>
      <w:r>
        <w:t xml:space="preserve">, and</w:t>
      </w:r>
      <w:r>
        <w:t xml:space="preserve"> </w:t>
      </w:r>
      <w:hyperlink r:id="rId29">
        <w:r>
          <w:rPr>
            <w:rStyle w:val="Hyperlink"/>
          </w:rPr>
          <w:t xml:space="preserve">https://deadbydaylight.gamepedia.com/Dead_by_Daylight_Wiki</w:t>
        </w:r>
      </w:hyperlink>
      <w:r>
        <w:t xml:space="preserve">.</w:t>
      </w:r>
    </w:p>
    <w:p>
      <w:pPr>
        <w:pStyle w:val="Heading2"/>
      </w:pPr>
      <w:bookmarkStart w:id="30" w:name="b-data-collection"/>
      <w:r>
        <w:t xml:space="preserve">(b) Data collection</w:t>
      </w:r>
      <w:bookmarkEnd w:id="30"/>
    </w:p>
    <w:p>
      <w:pPr>
        <w:pStyle w:val="FirstParagraph"/>
      </w:pPr>
      <w:r>
        <w:t xml:space="preserve">The study period ranged from 20 March 2019 to 17 June 2019. Our population consisted of 2 171 new anonymous players who initiated their first match between March 20 and March 22, with a total record of 70 831 matches (average: 177 matches, range: 1 - 972 matches). Matches lasted for an average of 11 minutes (range: 5 - 58 minutes). For each match, we recorded the date (date-hour-minutes), the duration, the predator player’s anonymous ID, the prey players’ anonymous ID’s, the predator’s avatar, and the game environment where the match took place. We also recorded predator and prey behaviour (see next section</w:t>
      </w:r>
      <w:r>
        <w:t xml:space="preserve"> </w:t>
      </w:r>
      <w:r>
        <w:t xml:space="preserve">‘</w:t>
      </w:r>
      <w:r>
        <w:t xml:space="preserve">Behavioural traits</w:t>
      </w:r>
      <w:r>
        <w:t xml:space="preserve">’</w:t>
      </w:r>
      <w:r>
        <w:t xml:space="preserve">). We retained matches that lasted more than 5 minutes (short matches are usually interrupted because of technical issues). Players also score points during a match by performing different actions. To control for matches where players did not play, or for errors in the data collection, we removed matches where predators earned less than 1 point.</w:t>
      </w:r>
    </w:p>
    <w:p>
      <w:pPr>
        <w:pStyle w:val="Heading2"/>
      </w:pPr>
      <w:bookmarkStart w:id="31" w:name="c-behavioural-traits"/>
      <w:r>
        <w:t xml:space="preserve">(c) Behavioural traits</w:t>
      </w:r>
      <w:bookmarkEnd w:id="31"/>
    </w:p>
    <w:p>
      <w:pPr>
        <w:pStyle w:val="Heading3"/>
      </w:pPr>
      <w:bookmarkStart w:id="32" w:name="i-predator-hunting-behaviour"/>
      <w:r>
        <w:t xml:space="preserve">(i) Predator hunting behaviour</w:t>
      </w:r>
      <w:bookmarkEnd w:id="32"/>
    </w:p>
    <w:p>
      <w:pPr>
        <w:pStyle w:val="FirstParagraph"/>
      </w:pPr>
      <w:r>
        <w:t xml:space="preserve">We selected four of eight behavioural variables that summarize most of the variation in predator hunting tactics based on a principal component analysis (see Fig. S1 and Table S1 in Supporting information for details on this analysis): travel speed (meter/sec.), the rate of space covered (square/sec), the proportion of time spent in an ambush position during the match, and the proportion of time a predator took before his first capture (see section</w:t>
      </w:r>
      <w:r>
        <w:t xml:space="preserve"> </w:t>
      </w:r>
      <w:r>
        <w:t xml:space="preserve">‘</w:t>
      </w:r>
      <w:r>
        <w:t xml:space="preserve">Behavioural traits measurements</w:t>
      </w:r>
      <w:r>
        <w:t xml:space="preserve">’</w:t>
      </w:r>
      <w:r>
        <w:t xml:space="preserve"> </w:t>
      </w:r>
      <w:r>
        <w:t xml:space="preserve">in Supporting information for details on the measurements). Individual predators using an active-pursuit tactic should exhibit greater average travel speed and rate of space covered, whereas those using a sit-and-wait/pursue tactic should instead be slower and spend a greater average proportion of time in an ambush position.</w:t>
      </w:r>
    </w:p>
    <w:p>
      <w:pPr>
        <w:pStyle w:val="Heading3"/>
      </w:pPr>
      <w:bookmarkStart w:id="33" w:name="ii-prey-behaviour"/>
      <w:r>
        <w:t xml:space="preserve">(ii) Prey behaviour</w:t>
      </w:r>
      <w:bookmarkEnd w:id="33"/>
    </w:p>
    <w:p>
      <w:pPr>
        <w:pStyle w:val="FirstParagraph"/>
      </w:pPr>
      <w:r>
        <w:t xml:space="preserve">We quantified the travel speed (meter/sec.) of prey and their rate of space covered (square/sec.). These two traits were measured using the same method described for predators (see description in Supporting information). For both traits, we averaged the four individual prey values within each match since we were interested in the average effect of prey behaviour on the predator’s hunting behaviour. Thus, we used one average value per prey trait, for each match played.</w:t>
      </w:r>
    </w:p>
    <w:p>
      <w:pPr>
        <w:pStyle w:val="Heading2"/>
      </w:pPr>
      <w:bookmarkStart w:id="34" w:name="d-statistical-analyses"/>
      <w:r>
        <w:t xml:space="preserve">(d) Statistical analyses</w:t>
      </w:r>
      <w:bookmarkEnd w:id="34"/>
    </w:p>
    <w:p>
      <w:pPr>
        <w:pStyle w:val="FirstParagraph"/>
      </w:pPr>
      <w:r>
        <w:t xml:space="preserve">We performed all statistical analyses using the R software (version 4.0.2, R Core Team, 2020) on a remote computer cluster (Cedar, Compute Canada,</w:t>
      </w:r>
      <w:r>
        <w:t xml:space="preserve"> </w:t>
      </w:r>
      <w:hyperlink r:id="rId35">
        <w:r>
          <w:rPr>
            <w:rStyle w:val="Hyperlink"/>
          </w:rPr>
          <w:t xml:space="preserve">https://docs.computecanada.ca/wiki/Cedar</w:t>
        </w:r>
      </w:hyperlink>
      <w:r>
        <w:t xml:space="preserve">) running on CentOS Linux 7. All models were fitted using the R package</w:t>
      </w:r>
      <w:r>
        <w:t xml:space="preserve"> </w:t>
      </w:r>
      <w:r>
        <w:t xml:space="preserve">“</w:t>
      </w:r>
      <w:r>
        <w:t xml:space="preserve">brms</w:t>
      </w:r>
      <w:r>
        <w:t xml:space="preserve">”</w:t>
      </w:r>
      <w:r>
        <w:t xml:space="preserve"> </w:t>
      </w:r>
      <w:r>
        <w:t xml:space="preserve">version 2.14.4</w:t>
      </w:r>
      <w:r>
        <w:t xml:space="preserve"> </w:t>
      </w:r>
      <w:r>
        <w:t xml:space="preserve">(Bürkner 2017)</w:t>
      </w:r>
      <w:r>
        <w:t xml:space="preserve">.</w:t>
      </w:r>
    </w:p>
    <w:p>
      <w:pPr>
        <w:pStyle w:val="Heading3"/>
      </w:pPr>
      <w:bookmarkStart w:id="36" w:name="i-variation-in-hunting-mode"/>
      <w:r>
        <w:t xml:space="preserve">(i) Variation in hunting mode</w:t>
      </w:r>
      <w:bookmarkEnd w:id="36"/>
    </w:p>
    <w:p>
      <w:pPr>
        <w:pStyle w:val="FirstParagraph"/>
      </w:pPr>
      <w:r>
        <w:t xml:space="preserve">We first parametrized a multivariate Bayesian mixed model to quantify adjusted repeatability of hunting behaviour, and evaluate among-environment, among-individual (specialisation), and within-individual (flexibility) behavioural correlations. We included the predator’s population-response to prey behaviour by adding prey travel speed and rate of space covered as fixed effects. We square-root transformed the four hunting behaviours (</w:t>
      </w:r>
      <w:r>
        <w:t xml:space="preserve">“</w:t>
      </w:r>
      <w:r>
        <w:t xml:space="preserve">y1</w:t>
      </w:r>
      <w:r>
        <w:t xml:space="preserve">”</w:t>
      </w:r>
      <w:r>
        <w:t xml:space="preserve"> </w:t>
      </w:r>
      <w:r>
        <w:t xml:space="preserve">= speed,</w:t>
      </w:r>
      <w:r>
        <w:t xml:space="preserve"> </w:t>
      </w:r>
      <w:r>
        <w:t xml:space="preserve">“</w:t>
      </w:r>
      <w:r>
        <w:t xml:space="preserve">y2</w:t>
      </w:r>
      <w:r>
        <w:t xml:space="preserve">”</w:t>
      </w:r>
      <w:r>
        <w:t xml:space="preserve"> </w:t>
      </w:r>
      <w:r>
        <w:t xml:space="preserve">= space,</w:t>
      </w:r>
      <w:r>
        <w:t xml:space="preserve"> </w:t>
      </w:r>
      <w:r>
        <w:t xml:space="preserve">“</w:t>
      </w:r>
      <w:r>
        <w:t xml:space="preserve">y3</w:t>
      </w:r>
      <w:r>
        <w:t xml:space="preserve">”</w:t>
      </w:r>
      <w:r>
        <w:t xml:space="preserve"> </w:t>
      </w:r>
      <w:r>
        <w:t xml:space="preserve">= guard,</w:t>
      </w:r>
      <w:r>
        <w:t xml:space="preserve"> </w:t>
      </w:r>
      <w:r>
        <w:t xml:space="preserve">“</w:t>
      </w:r>
      <w:r>
        <w:t xml:space="preserve">y4</w:t>
      </w:r>
      <w:r>
        <w:t xml:space="preserve">”</w:t>
      </w:r>
      <w:r>
        <w:t xml:space="preserve"> </w:t>
      </w:r>
      <w:r>
        <w:t xml:space="preserve">= time) to achieve normality and then defined each as having Gaussian distribution. All traits were then standardized to mean and unit variance (z-scores). The model was parametrized as (see</w:t>
      </w:r>
      <w:r>
        <w:t xml:space="preserve"> </w:t>
      </w:r>
      <w:r>
        <w:t xml:space="preserve">‘</w:t>
      </w:r>
      <w:r>
        <w:t xml:space="preserve">Parametrization of the multivariate mixed models</w:t>
      </w:r>
      <w:r>
        <w:t xml:space="preserve">’</w:t>
      </w:r>
      <w:r>
        <w:t xml:space="preserve"> </w:t>
      </w:r>
      <w:r>
        <w:t xml:space="preserve">in Supporting information for details):</w:t>
      </w:r>
    </w:p>
    <w:p>
      <w:pPr>
        <w:pStyle w:val="BodyText"/>
      </w:pPr>
      <w:r>
        <w:t xml:space="preserve">$</w:t>
      </w:r>
    </w:p>
    <w:p>
      <w:pPr>
        <w:pStyle w:val="BodyText"/>
      </w:pPr>
      <m:oMathPara>
        <m:oMathParaPr>
          <m:jc m:val="center"/>
        </m:oMathParaPr>
        <m:oMath>
          <m:r>
            <m:t>y</m:t>
          </m:r>
          <m:sSub>
            <m:e>
              <m:r>
                <m:t>1</m:t>
              </m:r>
            </m:e>
            <m:sub>
              <m:r>
                <m:t>i</m:t>
              </m:r>
              <m:r>
                <m:t>j</m:t>
              </m:r>
            </m:sub>
          </m:sSub>
          <m:r>
            <m:t>=</m:t>
          </m:r>
          <m:sSub>
            <m:e>
              <m:r>
                <m:t>β</m:t>
              </m:r>
            </m:e>
            <m:sub>
              <m:r>
                <m:t>0</m:t>
              </m:r>
              <m:r>
                <m:t>y</m:t>
              </m:r>
              <m:r>
                <m:t>1</m:t>
              </m:r>
            </m:sub>
          </m:sSub>
          <m:r>
            <m:t>+</m:t>
          </m:r>
          <m:sSub>
            <m:e>
              <m:r>
                <m:t>β</m:t>
              </m:r>
            </m:e>
            <m:sub>
              <m:r>
                <m:t>1</m:t>
              </m:r>
              <m:r>
                <m:t>y</m:t>
              </m:r>
              <m:r>
                <m:t>1</m:t>
              </m:r>
            </m:sub>
          </m:sSub>
          <m:r>
            <m:rPr>
              <m:nor/>
              <m:sty m:val="p"/>
            </m:rPr>
            <m:t>prey speed</m:t>
          </m:r>
          <m:r>
            <m:t>+</m:t>
          </m:r>
          <m:sSub>
            <m:e>
              <m:r>
                <m:t>β</m:t>
              </m:r>
            </m:e>
            <m:sub>
              <m:r>
                <m:t>2</m:t>
              </m:r>
              <m:r>
                <m:t>y</m:t>
              </m:r>
              <m:r>
                <m:t>1</m:t>
              </m:r>
            </m:sub>
          </m:sSub>
          <m:r>
            <m:t>p</m:t>
          </m:r>
          <m:r>
            <m:t>r</m:t>
          </m:r>
          <m:r>
            <m:t>e</m:t>
          </m:r>
          <m:r>
            <m:t>y</m:t>
          </m:r>
          <m:r>
            <m:t>s</m:t>
          </m:r>
          <m:r>
            <m:t>p</m:t>
          </m:r>
          <m:r>
            <m:t>a</m:t>
          </m:r>
          <m:r>
            <m:t>c</m:t>
          </m:r>
          <m:r>
            <m:t>e</m:t>
          </m:r>
          <m:r>
            <m:t>+</m:t>
          </m:r>
          <m:r>
            <m:t>i</m:t>
          </m:r>
          <m:sSub>
            <m:e>
              <m:r>
                <m:t>d</m:t>
              </m:r>
            </m:e>
            <m:sub>
              <m:r>
                <m:t>0</m:t>
              </m:r>
              <m:r>
                <m:t>y</m:t>
              </m:r>
              <m:r>
                <m:t>1</m:t>
              </m:r>
              <m:r>
                <m:t>,</m:t>
              </m:r>
              <m:r>
                <m:t>i</m:t>
              </m:r>
            </m:sub>
          </m:sSub>
          <m:r>
            <m:t>+</m:t>
          </m:r>
          <m:r>
            <m:t>m</m:t>
          </m:r>
          <m:r>
            <m:t>a</m:t>
          </m:r>
          <m:sSub>
            <m:e>
              <m:r>
                <m:t>p</m:t>
              </m:r>
            </m:e>
            <m:sub>
              <m:r>
                <m:t>0</m:t>
              </m:r>
              <m:r>
                <m:t>y</m:t>
              </m:r>
              <m:r>
                <m:t>1</m:t>
              </m:r>
              <m:r>
                <m:t>,</m:t>
              </m:r>
              <m:r>
                <m:t>i</m:t>
              </m:r>
            </m:sub>
          </m:sSub>
          <m:r>
            <m:t>+</m:t>
          </m:r>
          <m:r>
            <m:t>a</m:t>
          </m:r>
          <m:r>
            <m:t>v</m:t>
          </m:r>
          <m:r>
            <m:t>a</m:t>
          </m:r>
          <m:r>
            <m:t>t</m:t>
          </m:r>
          <m:r>
            <m:t>a</m:t>
          </m:r>
          <m:sSub>
            <m:e>
              <m:r>
                <m:t>r</m:t>
              </m:r>
            </m:e>
            <m:sub>
              <m:r>
                <m:t>0</m:t>
              </m:r>
              <m:r>
                <m:t>y</m:t>
              </m:r>
              <m:r>
                <m:t>1</m:t>
              </m:r>
              <m:r>
                <m:t>,</m:t>
              </m:r>
              <m:r>
                <m:t>i</m:t>
              </m:r>
            </m:sub>
          </m:sSub>
        </m:oMath>
      </m:oMathPara>
    </w:p>
    <w:p>
      <w:pPr>
        <w:pStyle w:val="FirstParagraph"/>
      </w:pPr>
      <m:oMathPara>
        <m:oMathParaPr>
          <m:jc m:val="center"/>
        </m:oMathParaPr>
        <m:oMath>
          <m:r>
            <m:t>y</m:t>
          </m:r>
          <m:sSub>
            <m:e>
              <m:r>
                <m:t>2</m:t>
              </m:r>
            </m:e>
            <m:sub>
              <m:r>
                <m:t>i</m:t>
              </m:r>
              <m:r>
                <m:t>j</m:t>
              </m:r>
            </m:sub>
          </m:sSub>
          <m:r>
            <m:t>=</m:t>
          </m:r>
          <m:sSub>
            <m:e>
              <m:r>
                <m:t>β</m:t>
              </m:r>
            </m:e>
            <m:sub>
              <m:r>
                <m:t>0</m:t>
              </m:r>
              <m:r>
                <m:t>y</m:t>
              </m:r>
              <m:r>
                <m:t>2</m:t>
              </m:r>
            </m:sub>
          </m:sSub>
          <m:r>
            <m:t>+</m:t>
          </m:r>
          <m:sSub>
            <m:e>
              <m:r>
                <m:t>β</m:t>
              </m:r>
            </m:e>
            <m:sub>
              <m:r>
                <m:t>1</m:t>
              </m:r>
              <m:r>
                <m:t>y</m:t>
              </m:r>
              <m:r>
                <m:t>2</m:t>
              </m:r>
            </m:sub>
          </m:sSub>
          <m:r>
            <m:t>p</m:t>
          </m:r>
          <m:r>
            <m:t>r</m:t>
          </m:r>
          <m:r>
            <m:t>e</m:t>
          </m:r>
          <m:r>
            <m:t>y</m:t>
          </m:r>
          <m:r>
            <m:t>s</m:t>
          </m:r>
          <m:r>
            <m:t>p</m:t>
          </m:r>
          <m:r>
            <m:t>e</m:t>
          </m:r>
          <m:r>
            <m:t>e</m:t>
          </m:r>
          <m:r>
            <m:t>d</m:t>
          </m:r>
          <m:r>
            <m:t>+</m:t>
          </m:r>
          <m:sSub>
            <m:e>
              <m:r>
                <m:t>β</m:t>
              </m:r>
            </m:e>
            <m:sub>
              <m:r>
                <m:t>2</m:t>
              </m:r>
              <m:r>
                <m:t>y</m:t>
              </m:r>
              <m:r>
                <m:t>2</m:t>
              </m:r>
            </m:sub>
          </m:sSub>
          <m:r>
            <m:t>p</m:t>
          </m:r>
          <m:r>
            <m:t>r</m:t>
          </m:r>
          <m:r>
            <m:t>e</m:t>
          </m:r>
          <m:r>
            <m:t>y</m:t>
          </m:r>
          <m:r>
            <m:t>s</m:t>
          </m:r>
          <m:r>
            <m:t>p</m:t>
          </m:r>
          <m:r>
            <m:t>a</m:t>
          </m:r>
          <m:r>
            <m:t>c</m:t>
          </m:r>
          <m:r>
            <m:t>e</m:t>
          </m:r>
          <m:r>
            <m:t>+</m:t>
          </m:r>
          <m:r>
            <m:t>i</m:t>
          </m:r>
          <m:sSub>
            <m:e>
              <m:r>
                <m:t>d</m:t>
              </m:r>
            </m:e>
            <m:sub>
              <m:r>
                <m:t>0</m:t>
              </m:r>
              <m:r>
                <m:t>y</m:t>
              </m:r>
              <m:r>
                <m:t>2</m:t>
              </m:r>
              <m:r>
                <m:t>,</m:t>
              </m:r>
              <m:r>
                <m:t>i</m:t>
              </m:r>
            </m:sub>
          </m:sSub>
          <m:r>
            <m:t>+</m:t>
          </m:r>
          <m:r>
            <m:t>m</m:t>
          </m:r>
          <m:r>
            <m:t>a</m:t>
          </m:r>
          <m:sSub>
            <m:e>
              <m:r>
                <m:t>p</m:t>
              </m:r>
            </m:e>
            <m:sub>
              <m:r>
                <m:t>0</m:t>
              </m:r>
              <m:r>
                <m:t>y</m:t>
              </m:r>
              <m:r>
                <m:t>2</m:t>
              </m:r>
              <m:r>
                <m:t>,</m:t>
              </m:r>
              <m:r>
                <m:t>i</m:t>
              </m:r>
            </m:sub>
          </m:sSub>
          <m:r>
            <m:t>+</m:t>
          </m:r>
          <m:r>
            <m:t>a</m:t>
          </m:r>
          <m:r>
            <m:t>v</m:t>
          </m:r>
          <m:r>
            <m:t>a</m:t>
          </m:r>
          <m:r>
            <m:t>t</m:t>
          </m:r>
          <m:r>
            <m:t>a</m:t>
          </m:r>
          <m:sSub>
            <m:e>
              <m:r>
                <m:t>r</m:t>
              </m:r>
            </m:e>
            <m:sub>
              <m:r>
                <m:t>0</m:t>
              </m:r>
              <m:r>
                <m:t>y</m:t>
              </m:r>
              <m:r>
                <m:t>2</m:t>
              </m:r>
              <m:r>
                <m:t>,</m:t>
              </m:r>
              <m:r>
                <m:t>i</m:t>
              </m:r>
            </m:sub>
          </m:sSub>
        </m:oMath>
      </m:oMathPara>
    </w:p>
    <w:p>
      <w:pPr>
        <w:pStyle w:val="FirstParagraph"/>
      </w:pPr>
      <m:oMathPara>
        <m:oMathParaPr>
          <m:jc m:val="center"/>
        </m:oMathParaPr>
        <m:oMath>
          <m:r>
            <m:t>y</m:t>
          </m:r>
          <m:sSub>
            <m:e>
              <m:r>
                <m:t>3</m:t>
              </m:r>
            </m:e>
            <m:sub>
              <m:r>
                <m:t>i</m:t>
              </m:r>
              <m:r>
                <m:t>j</m:t>
              </m:r>
            </m:sub>
          </m:sSub>
          <m:r>
            <m:t>=</m:t>
          </m:r>
          <m:sSub>
            <m:e>
              <m:r>
                <m:t>β</m:t>
              </m:r>
            </m:e>
            <m:sub>
              <m:r>
                <m:t>0</m:t>
              </m:r>
              <m:r>
                <m:t>y</m:t>
              </m:r>
              <m:r>
                <m:t>3</m:t>
              </m:r>
            </m:sub>
          </m:sSub>
          <m:r>
            <m:t>+</m:t>
          </m:r>
          <m:sSub>
            <m:e>
              <m:r>
                <m:t>β</m:t>
              </m:r>
            </m:e>
            <m:sub>
              <m:r>
                <m:t>1</m:t>
              </m:r>
              <m:r>
                <m:t>y</m:t>
              </m:r>
              <m:r>
                <m:t>3</m:t>
              </m:r>
            </m:sub>
          </m:sSub>
          <m:r>
            <m:t>p</m:t>
          </m:r>
          <m:r>
            <m:t>r</m:t>
          </m:r>
          <m:r>
            <m:t>e</m:t>
          </m:r>
          <m:r>
            <m:t>y</m:t>
          </m:r>
          <m:r>
            <m:t>s</m:t>
          </m:r>
          <m:r>
            <m:t>p</m:t>
          </m:r>
          <m:r>
            <m:t>e</m:t>
          </m:r>
          <m:r>
            <m:t>e</m:t>
          </m:r>
          <m:r>
            <m:t>d</m:t>
          </m:r>
          <m:r>
            <m:t>+</m:t>
          </m:r>
          <m:sSub>
            <m:e>
              <m:r>
                <m:t>β</m:t>
              </m:r>
            </m:e>
            <m:sub>
              <m:r>
                <m:t>2</m:t>
              </m:r>
              <m:r>
                <m:t>y</m:t>
              </m:r>
              <m:r>
                <m:t>3</m:t>
              </m:r>
            </m:sub>
          </m:sSub>
          <m:r>
            <m:t>p</m:t>
          </m:r>
          <m:r>
            <m:t>r</m:t>
          </m:r>
          <m:r>
            <m:t>e</m:t>
          </m:r>
          <m:r>
            <m:t>y</m:t>
          </m:r>
          <m:r>
            <m:t>s</m:t>
          </m:r>
          <m:r>
            <m:t>p</m:t>
          </m:r>
          <m:r>
            <m:t>a</m:t>
          </m:r>
          <m:r>
            <m:t>c</m:t>
          </m:r>
          <m:r>
            <m:t>e</m:t>
          </m:r>
          <m:r>
            <m:t>+</m:t>
          </m:r>
          <m:r>
            <m:t>i</m:t>
          </m:r>
          <m:sSub>
            <m:e>
              <m:r>
                <m:t>d</m:t>
              </m:r>
            </m:e>
            <m:sub>
              <m:r>
                <m:t>0</m:t>
              </m:r>
              <m:r>
                <m:t>y</m:t>
              </m:r>
              <m:r>
                <m:t>3</m:t>
              </m:r>
              <m:r>
                <m:t>,</m:t>
              </m:r>
              <m:r>
                <m:t>i</m:t>
              </m:r>
            </m:sub>
          </m:sSub>
          <m:r>
            <m:t>+</m:t>
          </m:r>
          <m:r>
            <m:t>m</m:t>
          </m:r>
          <m:r>
            <m:t>a</m:t>
          </m:r>
          <m:sSub>
            <m:e>
              <m:r>
                <m:t>p</m:t>
              </m:r>
            </m:e>
            <m:sub>
              <m:r>
                <m:t>0</m:t>
              </m:r>
              <m:r>
                <m:t>y</m:t>
              </m:r>
              <m:r>
                <m:t>3</m:t>
              </m:r>
              <m:r>
                <m:t>,</m:t>
              </m:r>
              <m:r>
                <m:t>i</m:t>
              </m:r>
            </m:sub>
          </m:sSub>
          <m:r>
            <m:t>+</m:t>
          </m:r>
          <m:r>
            <m:t>a</m:t>
          </m:r>
          <m:r>
            <m:t>v</m:t>
          </m:r>
          <m:r>
            <m:t>a</m:t>
          </m:r>
          <m:r>
            <m:t>t</m:t>
          </m:r>
          <m:r>
            <m:t>a</m:t>
          </m:r>
          <m:sSub>
            <m:e>
              <m:r>
                <m:t>r</m:t>
              </m:r>
            </m:e>
            <m:sub>
              <m:r>
                <m:t>0</m:t>
              </m:r>
              <m:r>
                <m:t>y</m:t>
              </m:r>
              <m:r>
                <m:t>3</m:t>
              </m:r>
              <m:r>
                <m:t>,</m:t>
              </m:r>
              <m:r>
                <m:t>i</m:t>
              </m:r>
            </m:sub>
          </m:sSub>
        </m:oMath>
      </m:oMathPara>
    </w:p>
    <w:p>
      <w:pPr>
        <w:pStyle w:val="Heading1"/>
      </w:pPr>
      <w:bookmarkStart w:id="37" w:name="results"/>
      <w:r>
        <w:t xml:space="preserve">Results</w:t>
      </w:r>
      <w:bookmarkEnd w:id="37"/>
    </w:p>
    <w:p>
      <w:pPr>
        <w:pStyle w:val="CaptionedFigure"/>
      </w:pPr>
      <w:r>
        <w:drawing>
          <wp:inline>
            <wp:extent cx="5969000" cy="2695170"/>
            <wp:effectExtent b="0" l="0" r="0" t="0"/>
            <wp:docPr descr="Figure 2. Correlations between combinations of hunting behaviours and their ICCs. Each correlation is computed using the BLUPs of the random effect of interest from the multivariate model. For each panel, the ICC of the trait is displayed on the diagonal A) Among-individual and residual behavioural correlations. B) Among-environment behavioural correlations." title="" id="1" name="Picture"/>
            <a:graphic>
              <a:graphicData uri="http://schemas.openxmlformats.org/drawingml/2006/picture">
                <pic:pic>
                  <pic:nvPicPr>
                    <pic:cNvPr descr="C:/Users/maxim/OneDrive/Documents/GitHub/Chapter2/manuscript/04_figure1.png" id="0" name="Picture"/>
                    <pic:cNvPicPr>
                      <a:picLocks noChangeArrowheads="1" noChangeAspect="1"/>
                    </pic:cNvPicPr>
                  </pic:nvPicPr>
                  <pic:blipFill>
                    <a:blip r:embed="rId38"/>
                    <a:stretch>
                      <a:fillRect/>
                    </a:stretch>
                  </pic:blipFill>
                  <pic:spPr bwMode="auto">
                    <a:xfrm>
                      <a:off x="0" y="0"/>
                      <a:ext cx="5969000" cy="2695170"/>
                    </a:xfrm>
                    <a:prstGeom prst="rect">
                      <a:avLst/>
                    </a:prstGeom>
                    <a:noFill/>
                    <a:ln w="9525">
                      <a:noFill/>
                      <a:headEnd/>
                      <a:tailEnd/>
                    </a:ln>
                  </pic:spPr>
                </pic:pic>
              </a:graphicData>
            </a:graphic>
          </wp:inline>
        </w:drawing>
      </w:r>
    </w:p>
    <w:p>
      <w:pPr>
        <w:pStyle w:val="ImageCaption"/>
      </w:pPr>
      <w:r>
        <w:rPr>
          <w:b/>
        </w:rPr>
        <w:t xml:space="preserve">Figure 2. Correlations between combinations of hunting behaviours and their ICCs. Each correlation is computed using the BLUPs of the random effect of interest from the multivariate model. For each panel, the ICC of the trait is displayed on the diagonal</w:t>
      </w:r>
      <w:r>
        <w:t xml:space="preserve"> </w:t>
      </w:r>
      <w:r>
        <w:rPr>
          <w:b/>
        </w:rPr>
        <w:t xml:space="preserve">A)</w:t>
      </w:r>
      <w:r>
        <w:t xml:space="preserve"> </w:t>
      </w:r>
      <w:r>
        <w:t xml:space="preserve">Among-individual and residual behavioural correlations.</w:t>
      </w:r>
      <w:r>
        <w:t xml:space="preserve"> </w:t>
      </w:r>
      <w:r>
        <w:rPr>
          <w:b/>
        </w:rPr>
        <w:t xml:space="preserve">B)</w:t>
      </w:r>
      <w:r>
        <w:t xml:space="preserve"> </w:t>
      </w:r>
      <w:r>
        <w:t xml:space="preserve">Among-environment behavioural correlations.</w:t>
      </w:r>
    </w:p>
    <w:p>
      <w:r>
        <w:br w:type="page"/>
      </w:r>
    </w:p>
    <w:p>
      <w:pPr>
        <w:pStyle w:val="Heading1"/>
      </w:pPr>
      <w:bookmarkStart w:id="39" w:name="acknowledgements"/>
      <w:r>
        <w:t xml:space="preserve">Acknowledgements:</w:t>
      </w:r>
      <w:bookmarkEnd w:id="39"/>
    </w:p>
    <w:p>
      <w:pPr>
        <w:pStyle w:val="FirstParagraph"/>
      </w:pPr>
      <w:r>
        <w:t xml:space="preserve">We thank Behaviour Interactive for generous access to their data, and members of the Rover Team (Julien Céré, Guillaume Bergerot, Jean-Baptise Le Meur, Nicholas Robitaille) in the company for inputs on the preliminary results. We would also like to thank Denis Réale, Renata G. Ferreira, Hassen Allengue, Hélène Dion-Phénix, Katherine Vandal, Joël Jameson, Elouana Gharnit, Hannes Schraft, Laura Chouinard-Thuly, Noémie Lafortune, Louis-Philippe Toupin, Mélodie de Jaham, and Daphné Bourget from the GRECA at UQAM for their insightful comments and suggestions on the whole research process which led to a better version of this manuscript.</w:t>
      </w:r>
    </w:p>
    <w:p>
      <w:pPr>
        <w:pStyle w:val="Heading1"/>
      </w:pPr>
      <w:bookmarkStart w:id="40" w:name="author-contributions"/>
      <w:r>
        <w:t xml:space="preserve">Author contributions:</w:t>
      </w:r>
      <w:bookmarkEnd w:id="40"/>
    </w:p>
    <w:p>
      <w:pPr>
        <w:pStyle w:val="FirstParagraph"/>
      </w:pPr>
      <w:r>
        <w:t xml:space="preserve">MFF and POM conceived the study. MFF collected the data, conducted the analyses, and led the writing of the manuscript. All authors contributed to revisions and gave their final approval for the present manuscript.</w:t>
      </w:r>
    </w:p>
    <w:p>
      <w:pPr>
        <w:pStyle w:val="Heading1"/>
      </w:pPr>
      <w:bookmarkStart w:id="41" w:name="competing-interests"/>
      <w:r>
        <w:t xml:space="preserve">Competing interests:</w:t>
      </w:r>
      <w:bookmarkEnd w:id="41"/>
    </w:p>
    <w:p>
      <w:pPr>
        <w:pStyle w:val="FirstParagraph"/>
      </w:pPr>
      <w:r>
        <w:t xml:space="preserve">The authors declare no competing interests</w:t>
      </w:r>
    </w:p>
    <w:p>
      <w:pPr>
        <w:pStyle w:val="Heading1"/>
      </w:pPr>
      <w:bookmarkStart w:id="42" w:name="grant-information"/>
      <w:r>
        <w:t xml:space="preserve">Grant information:</w:t>
      </w:r>
      <w:bookmarkEnd w:id="42"/>
    </w:p>
    <w:p>
      <w:pPr>
        <w:pStyle w:val="FirstParagraph"/>
      </w:pPr>
      <w:r>
        <w:t xml:space="preserve">This project was funded by the Mitacs Accelerate Grant (#IT12054) through a partnership with Behaviour Interactive and Université du Québec à Montréal.</w:t>
      </w:r>
    </w:p>
    <w:p>
      <w:pPr>
        <w:pStyle w:val="Heading1"/>
      </w:pPr>
      <w:bookmarkStart w:id="43" w:name="data-availability-statement"/>
      <w:r>
        <w:t xml:space="preserve">Data availability statement:</w:t>
      </w:r>
      <w:bookmarkEnd w:id="43"/>
    </w:p>
    <w:p>
      <w:pPr>
        <w:pStyle w:val="FirstParagraph"/>
      </w:pPr>
      <w:r>
        <w:t xml:space="preserve">We could not openly share the data on open science/data web platforms due to privacy restrictions. However, upon reasonable request, we can provide the data used to conduct our analyses. In addition, the project’s R scripts and results are available on this GitHub repository:</w:t>
      </w:r>
      <w:r>
        <w:t xml:space="preserve"> </w:t>
      </w:r>
      <w:hyperlink r:id="rId44">
        <w:r>
          <w:rPr>
            <w:rStyle w:val="Hyperlink"/>
          </w:rPr>
          <w:t xml:space="preserve">https://github.com/quantitative-ecologist/videogame_hunting_tactics-Rscripts</w:t>
        </w:r>
      </w:hyperlink>
      <w:r>
        <w:t xml:space="preserve">.</w:t>
      </w:r>
    </w:p>
    <w:p>
      <w:pPr>
        <w:pStyle w:val="Heading1"/>
      </w:pPr>
      <w:bookmarkStart w:id="45" w:name="references"/>
      <w:r>
        <w:t xml:space="preserve">References</w:t>
      </w:r>
      <w:bookmarkEnd w:id="45"/>
    </w:p>
    <w:bookmarkStart w:id="105" w:name="refs"/>
    <w:bookmarkStart w:id="46" w:name="ref-ahmadProblemPredictingReal2014"/>
    <w:p>
      <w:pPr>
        <w:pStyle w:val="Bibliography"/>
      </w:pPr>
      <w:r>
        <w:t xml:space="preserve">Ahmad, M.A., Shen, C., Srivastava, J. &amp; Contractor, N. (2014). On the Problem of Predicting Real World Characteristics from Virtual Worlds. In:</w:t>
      </w:r>
      <w:r>
        <w:t xml:space="preserve"> </w:t>
      </w:r>
      <w:r>
        <w:rPr>
          <w:i/>
        </w:rPr>
        <w:t xml:space="preserve">Predicting Real World Behaviors from Virtual World Data</w:t>
      </w:r>
      <w:r>
        <w:t xml:space="preserve">, Springer Proceedings in Complexity (eds. Ahmad, M.A., Shen, C., Srivastava, J. &amp; Contractor, N.). Springer International Publishing, Cham, pp. 1–18.</w:t>
      </w:r>
    </w:p>
    <w:bookmarkEnd w:id="46"/>
    <w:bookmarkStart w:id="47"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47"/>
    <w:bookmarkStart w:id="48"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48"/>
    <w:bookmarkStart w:id="49" w:name="X96c4258e86bc4bebaf88d0c2138881d5bccd865"/>
    <w:p>
      <w:pPr>
        <w:pStyle w:val="Bibliography"/>
      </w:pPr>
      <w:r>
        <w:t xml:space="preserve">Balicer, R.D. (2007). Modeling Infectious Diseases Dissemination Through Online Role-Playing Games.</w:t>
      </w:r>
      <w:r>
        <w:t xml:space="preserve"> </w:t>
      </w:r>
      <w:r>
        <w:rPr>
          <w:i/>
        </w:rPr>
        <w:t xml:space="preserve">Epidemiology</w:t>
      </w:r>
      <w:r>
        <w:t xml:space="preserve">, 18, 260–261.</w:t>
      </w:r>
    </w:p>
    <w:bookmarkEnd w:id="49"/>
    <w:bookmarkStart w:id="50"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50"/>
    <w:bookmarkStart w:id="51"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51"/>
    <w:bookmarkStart w:id="52"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52"/>
    <w:bookmarkStart w:id="53" w:name="ref-butlerForagingModeChameleon2005"/>
    <w:p>
      <w:pPr>
        <w:pStyle w:val="Bibliography"/>
      </w:pPr>
      <w:r>
        <w:t xml:space="preserve">Butler, M.A. (2005). Foraging mode of the chameleon, Bradypodion pumilum: A challenge to the sit-and-wait versus active forager paradigm?</w:t>
      </w:r>
      <w:r>
        <w:t xml:space="preserve"> </w:t>
      </w:r>
      <w:r>
        <w:rPr>
          <w:i/>
        </w:rPr>
        <w:t xml:space="preserve">Biological Journal of the Linnean Society</w:t>
      </w:r>
      <w:r>
        <w:t xml:space="preserve">, 84, 797–808.</w:t>
      </w:r>
    </w:p>
    <w:bookmarkEnd w:id="53"/>
    <w:bookmarkStart w:id="54" w:name="ref-burknerBrmsPackageBayesian2017"/>
    <w:p>
      <w:pPr>
        <w:pStyle w:val="Bibliography"/>
      </w:pPr>
      <w:r>
        <w:t xml:space="preserve">Bürkner, P.-C. (2017). Brms: An R Package for Bayesian Multilevel Models Using Stan.</w:t>
      </w:r>
      <w:r>
        <w:t xml:space="preserve"> </w:t>
      </w:r>
      <w:r>
        <w:rPr>
          <w:i/>
        </w:rPr>
        <w:t xml:space="preserve">Journal of Statistical Software</w:t>
      </w:r>
      <w:r>
        <w:t xml:space="preserve">, 80, 1–28.</w:t>
      </w:r>
    </w:p>
    <w:bookmarkEnd w:id="54"/>
    <w:bookmarkStart w:id="55"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55"/>
    <w:bookmarkStart w:id="56" w:name="ref-Carter.etal2013"/>
    <w:p>
      <w:pPr>
        <w:pStyle w:val="Bibliography"/>
      </w:pPr>
      <w:r>
        <w:t xml:space="preserve">Carter, A.J., Feeney, W.E., Marshall, H.H., Cowlishaw, G. &amp; Heinsohn, R. (2013). Animal personality: What are behavioural ecologists measuring?</w:t>
      </w:r>
      <w:r>
        <w:t xml:space="preserve"> </w:t>
      </w:r>
      <w:r>
        <w:rPr>
          <w:i/>
        </w:rPr>
        <w:t xml:space="preserve">Biological Reviews</w:t>
      </w:r>
      <w:r>
        <w:t xml:space="preserve">, 88, 465–475.</w:t>
      </w:r>
    </w:p>
    <w:bookmarkEnd w:id="56"/>
    <w:bookmarkStart w:id="57"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57"/>
    <w:bookmarkStart w:id="58" w:name="ref-cooperForagingModeControversy2005"/>
    <w:p>
      <w:pPr>
        <w:pStyle w:val="Bibliography"/>
      </w:pPr>
      <w:r>
        <w:t xml:space="preserve">Cooper, W.E. (2005). The foraging mode controversy: Both continuous variation and clustering of foraging movements occur.</w:t>
      </w:r>
      <w:r>
        <w:t xml:space="preserve"> </w:t>
      </w:r>
      <w:r>
        <w:rPr>
          <w:i/>
        </w:rPr>
        <w:t xml:space="preserve">Journal of Zoology</w:t>
      </w:r>
      <w:r>
        <w:t xml:space="preserve">, 267, 179–190.</w:t>
      </w:r>
    </w:p>
    <w:bookmarkEnd w:id="58"/>
    <w:bookmarkStart w:id="59"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59"/>
    <w:bookmarkStart w:id="60" w:name="ref-Dall.Griffith2014"/>
    <w:p>
      <w:pPr>
        <w:pStyle w:val="Bibliography"/>
      </w:pPr>
      <w:r>
        <w:t xml:space="preserve">Dall, S.R.X. &amp; Griffith, S.C. (2014). An empiricist guide to animal personality variation in ecology and evolution.</w:t>
      </w:r>
      <w:r>
        <w:t xml:space="preserve"> </w:t>
      </w:r>
      <w:r>
        <w:rPr>
          <w:i/>
        </w:rPr>
        <w:t xml:space="preserve">Front. Ecol. Evol.</w:t>
      </w:r>
      <w:r>
        <w:t xml:space="preserve">, 2.</w:t>
      </w:r>
    </w:p>
    <w:bookmarkEnd w:id="60"/>
    <w:bookmarkStart w:id="61" w:name="X37438b96441d1649324486083d915cfff7e3581"/>
    <w:p>
      <w:pPr>
        <w:pStyle w:val="Bibliography"/>
      </w:pPr>
      <w:r>
        <w:t xml:space="preserve">Dingemanse, N.J. &amp; Dochtermann, N.A. (2013). Quantifying individual variation in behaviour: Mixed-effect modelling approaches.</w:t>
      </w:r>
      <w:r>
        <w:t xml:space="preserve"> </w:t>
      </w:r>
      <w:r>
        <w:rPr>
          <w:i/>
        </w:rPr>
        <w:t xml:space="preserve">Journal of Animal Ecology</w:t>
      </w:r>
      <w:r>
        <w:t xml:space="preserve">, 82, 39–54.</w:t>
      </w:r>
    </w:p>
    <w:bookmarkEnd w:id="61"/>
    <w:bookmarkStart w:id="62" w:name="Xcd361b28d7f9d777c9d9c3e3b1047b3ad4aeea7"/>
    <w:p>
      <w:pPr>
        <w:pStyle w:val="Bibliography"/>
      </w:pPr>
      <w:r>
        <w:t xml:space="preserve">Dingemanse, N.J. &amp; Wright, J. (2020). Criteria for acceptable studies of animal personality and behavioural syndromes.</w:t>
      </w:r>
      <w:r>
        <w:t xml:space="preserve"> </w:t>
      </w:r>
      <w:r>
        <w:rPr>
          <w:i/>
        </w:rPr>
        <w:t xml:space="preserve">Ethology</w:t>
      </w:r>
      <w:r>
        <w:t xml:space="preserve">, 126, 865–869.</w:t>
      </w:r>
    </w:p>
    <w:bookmarkEnd w:id="62"/>
    <w:bookmarkStart w:id="63"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63"/>
    <w:bookmarkStart w:id="64"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64"/>
    <w:bookmarkStart w:id="65"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65"/>
    <w:bookmarkStart w:id="66"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66"/>
    <w:bookmarkStart w:id="67"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67"/>
    <w:bookmarkStart w:id="68"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68"/>
    <w:bookmarkStart w:id="69" w:name="X0eed6642a1a3553bf7b23eac28e505514aa2f0e"/>
    <w:p>
      <w:pPr>
        <w:pStyle w:val="Bibliography"/>
      </w:pPr>
      <w:r>
        <w:t xml:space="preserve">Hertel, A.G., Niemelä, P.T., Dingemanse, N.J. &amp; Mueller, T. (2020). A guide for studying among-individual behavioral variation from movement data in the wild.</w:t>
      </w:r>
      <w:r>
        <w:t xml:space="preserve"> </w:t>
      </w:r>
      <w:r>
        <w:rPr>
          <w:i/>
        </w:rPr>
        <w:t xml:space="preserve">Movement Ecology</w:t>
      </w:r>
      <w:r>
        <w:t xml:space="preserve">, 8.</w:t>
      </w:r>
    </w:p>
    <w:bookmarkEnd w:id="69"/>
    <w:bookmarkStart w:id="70"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70"/>
    <w:bookmarkStart w:id="71"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71"/>
    <w:bookmarkStart w:id="72"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72"/>
    <w:bookmarkStart w:id="73"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73"/>
    <w:bookmarkStart w:id="74"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74"/>
    <w:bookmarkStart w:id="75"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75"/>
    <w:bookmarkStart w:id="76"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76"/>
    <w:bookmarkStart w:id="77" w:name="ref-lofgrenUntappedPotentialVirtual2007"/>
    <w:p>
      <w:pPr>
        <w:pStyle w:val="Bibliography"/>
      </w:pPr>
      <w:r>
        <w:t xml:space="preserve">Lofgren, E.T. &amp; Fefferman, N.H. (2007). The untapped potential of virtual game worlds to shed light on real world epidemics.</w:t>
      </w:r>
      <w:r>
        <w:t xml:space="preserve"> </w:t>
      </w:r>
      <w:r>
        <w:rPr>
          <w:i/>
        </w:rPr>
        <w:t xml:space="preserve">The Lancet Infectious Diseases</w:t>
      </w:r>
      <w:r>
        <w:t xml:space="preserve">, 7, 625–629.</w:t>
      </w:r>
    </w:p>
    <w:bookmarkEnd w:id="77"/>
    <w:bookmarkStart w:id="78"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78"/>
    <w:bookmarkStart w:id="79"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79"/>
    <w:bookmarkStart w:id="80"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80"/>
    <w:bookmarkStart w:id="81"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81"/>
    <w:bookmarkStart w:id="82"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82"/>
    <w:bookmarkStart w:id="83"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83"/>
    <w:bookmarkStart w:id="84" w:name="ref-Niemela.Dingemanse2014"/>
    <w:p>
      <w:pPr>
        <w:pStyle w:val="Bibliography"/>
      </w:pPr>
      <w:r>
        <w:t xml:space="preserve">Niemelä, P.T. &amp; Dingemanse, N.J. (2014). Artificial environments and the study of “adaptive” personalities.</w:t>
      </w:r>
      <w:r>
        <w:t xml:space="preserve"> </w:t>
      </w:r>
      <w:r>
        <w:rPr>
          <w:i/>
        </w:rPr>
        <w:t xml:space="preserve">Trends in Ecology &amp; Evolution</w:t>
      </w:r>
      <w:r>
        <w:t xml:space="preserve">, 29, 245–247.</w:t>
      </w:r>
    </w:p>
    <w:bookmarkEnd w:id="84"/>
    <w:bookmarkStart w:id="85" w:name="ref-oultramVirtualPlaguesRealworld2013"/>
    <w:p>
      <w:pPr>
        <w:pStyle w:val="Bibliography"/>
      </w:pPr>
      <w:r>
        <w:t xml:space="preserve">Oultram, S. (2013). Virtual plagues and real-world pandemics: Reflecting on the potential for online computer role-playing games to inform real world epidemic research.</w:t>
      </w:r>
      <w:r>
        <w:t xml:space="preserve"> </w:t>
      </w:r>
      <w:r>
        <w:rPr>
          <w:i/>
        </w:rPr>
        <w:t xml:space="preserve">Medical Humanities</w:t>
      </w:r>
      <w:r>
        <w:t xml:space="preserve">, 39, 115–118.</w:t>
      </w:r>
    </w:p>
    <w:bookmarkEnd w:id="85"/>
    <w:bookmarkStart w:id="86" w:name="ref-perryEvolutionSearchModes1999"/>
    <w:p>
      <w:pPr>
        <w:pStyle w:val="Bibliography"/>
      </w:pPr>
      <w:r>
        <w:t xml:space="preserve">Perry, G. (1999). The evolution of search modes: Ecological versus phylogenetic perspectives.</w:t>
      </w:r>
      <w:r>
        <w:t xml:space="preserve"> </w:t>
      </w:r>
      <w:r>
        <w:rPr>
          <w:i/>
        </w:rPr>
        <w:t xml:space="preserve">The American Naturalist</w:t>
      </w:r>
      <w:r>
        <w:t xml:space="preserve">, 153, 98–109.</w:t>
      </w:r>
    </w:p>
    <w:bookmarkEnd w:id="86"/>
    <w:bookmarkStart w:id="87" w:name="ref-perryForagingModeLacertid1990"/>
    <w:p>
      <w:pPr>
        <w:pStyle w:val="Bibliography"/>
      </w:pPr>
      <w:r>
        <w:t xml:space="preserve">Perry, G., Werner, Y.L., Lampl, I., Rothenstein, D., Sivan, N. &amp; Lerner, A.</w:t>
      </w:r>
      <w:r>
        <w:t xml:space="preserve"> </w:t>
      </w:r>
      <w:r>
        <w:rPr>
          <w:i/>
        </w:rPr>
        <w:t xml:space="preserve">et al.</w:t>
      </w:r>
      <w:r>
        <w:t xml:space="preserve"> </w:t>
      </w:r>
      <w:r>
        <w:t xml:space="preserve">(1990). Foraging mode in lacertid lizards: Variation and correlates.</w:t>
      </w:r>
      <w:r>
        <w:t xml:space="preserve"> </w:t>
      </w:r>
      <w:r>
        <w:rPr>
          <w:i/>
        </w:rPr>
        <w:t xml:space="preserve">Amphibia-Reptilia</w:t>
      </w:r>
      <w:r>
        <w:t xml:space="preserve">, 11, 373–384.</w:t>
      </w:r>
    </w:p>
    <w:bookmarkEnd w:id="87"/>
    <w:bookmarkStart w:id="88"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88"/>
    <w:bookmarkStart w:id="89"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89"/>
    <w:bookmarkStart w:id="90"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90"/>
    <w:bookmarkStart w:id="91"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91"/>
    <w:bookmarkStart w:id="92"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92"/>
    <w:bookmarkStart w:id="93" w:name="ref-rossVirtualWorldsLaboratories2015"/>
    <w:p>
      <w:pPr>
        <w:pStyle w:val="Bibliography"/>
      </w:pPr>
      <w:r>
        <w:t xml:space="preserve">Ross, T.L., Castronova, E. &amp; Knowles, I. (2015). Virtual Worlds as Laboratories. In:</w:t>
      </w:r>
      <w:r>
        <w:t xml:space="preserve"> </w:t>
      </w:r>
      <w:r>
        <w:rPr>
          <w:i/>
        </w:rPr>
        <w:t xml:space="preserve">Emerging Trends in the Social and Behavioral Sciences</w:t>
      </w:r>
      <w:r>
        <w:t xml:space="preserve">. American Cancer Society, pp. 1–15.</w:t>
      </w:r>
    </w:p>
    <w:bookmarkEnd w:id="93"/>
    <w:bookmarkStart w:id="94"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94"/>
    <w:bookmarkStart w:id="95"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95"/>
    <w:bookmarkStart w:id="96"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96"/>
    <w:bookmarkStart w:id="97"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97"/>
    <w:bookmarkStart w:id="98"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98"/>
    <w:bookmarkStart w:id="99"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99"/>
    <w:bookmarkStart w:id="100"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100"/>
    <w:bookmarkStart w:id="101"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101"/>
    <w:bookmarkStart w:id="102"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102"/>
    <w:bookmarkStart w:id="103"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103"/>
    <w:bookmarkStart w:id="104"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104"/>
    <w:bookmarkEnd w:id="105"/>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25" Target="media/rId25.png" /><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44" Target="https://github.com/quantitative-ecologist/videogame_hunting_tactics-Rscripts" TargetMode="External" /></Relationships>
</file>

<file path=word/_rels/footnotes.xml.rels><?xml version="1.0" encoding="UTF-8"?>
<Relationships xmlns="http://schemas.openxmlformats.org/package/2006/relationships"><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44" Target="https://github.com/quantitative-ecologist/videogame_hunting_tactics-Rscrip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2021-04-28T23:03:40Z</dcterms:created>
  <dcterms:modified xsi:type="dcterms:W3CDTF">2021-04-28T23:03:40Z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