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on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An important result from field studies is that predators with contrasting hunting modes (ex. cursorial vs ambush) can cause opposing trophic cascades and act at different trophic levels</w:t>
      </w:r>
      <w:r>
        <w:t xml:space="preserve"> </w:t>
      </w:r>
      <w:r>
        <w:t xml:space="preserve">(Schmitz 2008; Romero &amp; Koricheva 2011)</w:t>
      </w:r>
      <w:r>
        <w:t xml:space="preserve">. For instance, predators may differ in the amount of individuals, species, or in the type of prey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Following these observations, there has been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Researchers who adressed these questions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Thus, accounting for individual variation in hunting mode during predator-prey interactions is a pressing need if we aim to understand the community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the availability, or the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in order to meet the energy/time required to successfully capture the type of prey they encounter</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has shown to be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If the individuals’ tactics allow them to reach similar capture rates, then predators with contrasting hunting modes may coexist within a same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may be difficult to test at the individual level in wild populations of free ranging predators.</w:t>
      </w:r>
    </w:p>
    <w:p>
      <w:pPr>
        <w:pStyle w:val="BodyText"/>
      </w:pPr>
      <w:r>
        <w:t xml:space="preserve">Habitat structure is a second important driver of individual differences in predator foraging mode, as it shapes opportunities of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that predators who hunt in open and homogeneous habitats tend to adopt a cursorial strategy, contrary to those hunting in heterogeneous and closed habitats who use ambushes</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be used to predict the tactic he should use. Heterogeneous habitats are expected to favor sit-and-wait/sit-and-pursue hunters as they offer perches and hiding grounds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 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In spite of the recent advancements in our understanding of the factors that promote foraging mode switching, most research is conducted under controlled laboratory experiments, which may fail to capture the nuances and complexities of predator species’ ecology in the wild (Carter et al., 2013; Niemelä &amp; Dingemanse, 2014).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Different challenges arise when researchers aim to investigate individual variability in hunting mode. To properly quantify multiple levels of variation in hunting tactics, it is necessary to repeatedly measure the behaviour of a large number of individuals under different environmental settings (Hertel et al., 2020). This may impose considerable financial, technical, and ethical challenges when studying larger or elusive wildlife, such as apex predators (Hertel et al., 2020). An additional challenge in empirical studies of predator-prey interactions is identifying traits in predators and prey that are easily observable, but also ecologicaly relevant.</w:t>
      </w:r>
    </w:p>
    <w:p>
      <w:pPr>
        <w:pStyle w:val="BodyText"/>
      </w:pPr>
      <w:r>
        <w:t xml:space="preserve">changer la première phrase pour dire plutôt que je propose!</w:t>
      </w:r>
    </w:p>
    <w:p>
      <w:pPr>
        <w:pStyle w:val="BodyText"/>
      </w:pPr>
      <w:r>
        <w:t xml:space="preserve">We tackled the problems associated with investigating individual variability in predator hunting mode by using the multiplayer online videogame Dead by Daylight (</w:t>
      </w:r>
      <w:r>
        <w:rPr>
          <w:i/>
        </w:rPr>
        <w:t xml:space="preserve">DBD</w:t>
      </w:r>
      <w:r>
        <w:t xml:space="preserve">) as our study system. This game pits a single player (predator) against a group of four players (prey), where the predator’s objective is to capture prey (Fig. 1). The use of online videogame data could provide multiple opportunities for ecologists who aim to study general ecological phenonena, to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vasts amount of repeated measurements from millions of individual players across temporal and environmental gradients, something considered precious for longitudinal ecological studies. This enables researchers to test ecological hypotheses that may be impossible to adress in the wild. Second, virtual settings are known and can be controlled by the observer, which provide means to test experimentaly how specific components of the environment shape the phenomenon of interest. Third, videogames such as</w:t>
      </w:r>
      <w:r>
        <w:t xml:space="preserve"> </w:t>
      </w:r>
      <w:r>
        <w:rPr>
          <w:i/>
        </w:rPr>
        <w:t xml:space="preserve">DBD</w:t>
      </w:r>
      <w:r>
        <w:t xml:space="preserve"> </w:t>
      </w:r>
      <w:r>
        <w:t xml:space="preserve">reproduce realistic ecological settings (in this case, a predator-prey interaction). For instance, players must balance tradeoffs to successfully win matches, and may specialise in distinct tactics to reach their goals. Prey can use a wide range of behaviours such as cooperation or hiding in order to successfully escape (Fig. 1 B and C). For example, they can cooperate to help conspecifics escape from capture (Cere et al., unpublished data), which predators may exploit to lure them in an ambush. These situations offer the possibility for predators to express different hunting tactics. Moreover, matches in</w:t>
      </w:r>
      <w:r>
        <w:t xml:space="preserve"> </w:t>
      </w:r>
      <w:r>
        <w:rPr>
          <w:i/>
        </w:rPr>
        <w:t xml:space="preserve">DBD</w:t>
      </w:r>
      <w:r>
        <w:t xml:space="preserve"> </w:t>
      </w:r>
      <w:r>
        <w:t xml:space="preserve">occur within different environmental settings (ex. forests, farmlands, urban areas) which vary in heterogeneity and complexity</w:t>
      </w:r>
      <w:r>
        <w:t xml:space="preserve"> </w:t>
      </w:r>
      <w:r>
        <w:t xml:space="preserve">(McCoy &amp; Bell 1991)</w:t>
      </w:r>
      <w:r>
        <w:t xml:space="preserve">, in the availability of perches and refugia, and in their surface area (Fig 1. D). Hence, predators may experience different prey encounter rates,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r>
        <w:t xml:space="preserve">D’ailleurs, les avantages des jeux multijoueurs ont été exploités pour faire des prédictions dans des sujets en sciences sociales, économiques, et épidémiologiques, sous des scénarios difficiles à mesurer dans la réalité (Lofgren et Fefferman, 2007; Balicer, 2007; Ahmad et al., 2014; Oultram, 2013; Ross et al., 2015). Ainsi, l’emploi de jeux vidéo multijoueurs pourrait se positionner entre les approches par simulation (théoriques), et les approches empiriques.</w:t>
      </w:r>
    </w:p>
    <w:p>
      <w:pPr>
        <w:pStyle w:val="Heading1"/>
      </w:pPr>
      <w:bookmarkStart w:id="26" w:name="references"/>
      <w:r>
        <w:t xml:space="preserve">References</w:t>
      </w:r>
      <w:bookmarkEnd w:id="26"/>
    </w:p>
    <w:bookmarkStart w:id="70" w:name="refs"/>
    <w:bookmarkStart w:id="27"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27"/>
    <w:bookmarkStart w:id="28"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28"/>
    <w:bookmarkStart w:id="29"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29"/>
    <w:bookmarkStart w:id="30"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30"/>
    <w:bookmarkStart w:id="31"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31"/>
    <w:bookmarkStart w:id="32"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32"/>
    <w:bookmarkStart w:id="33"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33"/>
    <w:bookmarkStart w:id="34"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34"/>
    <w:bookmarkStart w:id="35"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35"/>
    <w:bookmarkStart w:id="36"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36"/>
    <w:bookmarkStart w:id="37"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37"/>
    <w:bookmarkStart w:id="38"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38"/>
    <w:bookmarkStart w:id="39"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39"/>
    <w:bookmarkStart w:id="40"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40"/>
    <w:bookmarkStart w:id="41"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41"/>
    <w:bookmarkStart w:id="42"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42"/>
    <w:bookmarkStart w:id="43"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43"/>
    <w:bookmarkStart w:id="44"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44"/>
    <w:bookmarkStart w:id="45"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45"/>
    <w:bookmarkStart w:id="46"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46"/>
    <w:bookmarkStart w:id="47"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47"/>
    <w:bookmarkStart w:id="48"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48"/>
    <w:bookmarkStart w:id="49"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49"/>
    <w:bookmarkStart w:id="50"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50"/>
    <w:bookmarkStart w:id="51"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51"/>
    <w:bookmarkStart w:id="52"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52"/>
    <w:bookmarkStart w:id="53"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53"/>
    <w:bookmarkStart w:id="54"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54"/>
    <w:bookmarkStart w:id="55"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55"/>
    <w:bookmarkStart w:id="56"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56"/>
    <w:bookmarkStart w:id="57"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57"/>
    <w:bookmarkStart w:id="58"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58"/>
    <w:bookmarkStart w:id="59"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59"/>
    <w:bookmarkStart w:id="60"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60"/>
    <w:bookmarkStart w:id="61"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61"/>
    <w:bookmarkStart w:id="62"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62"/>
    <w:bookmarkStart w:id="63"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63"/>
    <w:bookmarkStart w:id="64"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64"/>
    <w:bookmarkStart w:id="65"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65"/>
    <w:bookmarkStart w:id="66"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66"/>
    <w:bookmarkStart w:id="67"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67"/>
    <w:bookmarkStart w:id="68"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68"/>
    <w:bookmarkStart w:id="69"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69"/>
    <w:bookmarkEnd w:id="70"/>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2021-03-30T12:46:44Z</dcterms:created>
  <dcterms:modified xsi:type="dcterms:W3CDTF">2021-03-30T12:46:44Z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