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20 March 2019 to 17 June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a predator took before his first capture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an active-pursuit tactic should exhibit greater average travel speed and rate of space covered, whereas those using a sit-and-wait/pursue tactic should instead be slower and spend a greater average proportion of time in an ambush position.</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fixed effects. We square-root transformed the four hunting behaviours (</w:t>
      </w:r>
      <w:r>
        <w:t xml:space="preserve">“</w:t>
      </w:r>
      <w:r>
        <w:t xml:space="preserve">y1</w:t>
      </w:r>
      <w:r>
        <w:t xml:space="preserve">”</w:t>
      </w:r>
      <w:r>
        <w:t xml:space="preserve"> </w:t>
      </w:r>
      <w:r>
        <w:t xml:space="preserve">= speed,</w:t>
      </w:r>
      <w:r>
        <w:t xml:space="preserve"> </w:t>
      </w:r>
      <w:r>
        <w:t xml:space="preserve">“</w:t>
      </w:r>
      <w:r>
        <w:t xml:space="preserve">y2</w:t>
      </w:r>
      <w:r>
        <w:t xml:space="preserve">”</w:t>
      </w:r>
      <w:r>
        <w:t xml:space="preserve"> </w:t>
      </w:r>
      <w:r>
        <w:t xml:space="preserve">= space,</w:t>
      </w:r>
      <w:r>
        <w:t xml:space="preserve"> </w:t>
      </w:r>
      <w:r>
        <w:t xml:space="preserve">“</w:t>
      </w:r>
      <w:r>
        <w:t xml:space="preserve">y3</w:t>
      </w:r>
      <w:r>
        <w:t xml:space="preserve">”</w:t>
      </w:r>
      <w:r>
        <w:t xml:space="preserve"> </w:t>
      </w:r>
      <w:r>
        <w:t xml:space="preserve">= guard,</w:t>
      </w:r>
      <w:r>
        <w:t xml:space="preserve"> </w:t>
      </w:r>
      <w:r>
        <w:t xml:space="preserve">“</w:t>
      </w:r>
      <w:r>
        <w:t xml:space="preserve">y4</w:t>
      </w:r>
      <w:r>
        <w:t xml:space="preserve">”</w:t>
      </w:r>
      <w:r>
        <w:t xml:space="preserve"> </w:t>
      </w:r>
      <w:r>
        <w:t xml:space="preserve">= time) to achieve normality and then defined each as having Gaussian distribution. All traits were then standardized to mean and unit variance (z-scores). The model was parametrized as (see</w:t>
      </w:r>
      <w:r>
        <w:t xml:space="preserve"> </w:t>
      </w:r>
      <w:r>
        <w:t xml:space="preserve">‘</w:t>
      </w:r>
      <w:r>
        <w:t xml:space="preserve">Parametrization of the multivariate mixed models</w:t>
      </w:r>
      <w:r>
        <w:t xml:space="preserve">’</w:t>
      </w:r>
      <w:r>
        <w:t xml:space="preserve"> </w:t>
      </w:r>
      <w:r>
        <w:t xml:space="preserve">in Supporting information for details):</w:t>
      </w:r>
    </w:p>
    <w:p>
      <w:pPr>
        <w:pStyle w:val="BodyText"/>
      </w:pPr>
      <w:r>
        <w:t xml:space="preserve">$</w:t>
      </w:r>
    </w:p>
    <w:p>
      <w:r>
        <w:br w:type="page"/>
      </w:r>
    </w:p>
    <w:p>
      <w:pPr>
        <w:pStyle w:val="Heading1"/>
      </w:pPr>
      <w:bookmarkStart w:id="37" w:name="acknowledgements"/>
      <w:r>
        <w:t xml:space="preserve">Acknowledgements:</w:t>
      </w:r>
      <w:bookmarkEnd w:id="37"/>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38" w:name="author-contributions"/>
      <w:r>
        <w:t xml:space="preserve">Author contributions:</w:t>
      </w:r>
      <w:bookmarkEnd w:id="38"/>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39" w:name="competing-interests"/>
      <w:r>
        <w:t xml:space="preserve">Competing interests:</w:t>
      </w:r>
      <w:bookmarkEnd w:id="39"/>
    </w:p>
    <w:p>
      <w:pPr>
        <w:pStyle w:val="FirstParagraph"/>
      </w:pPr>
      <w:r>
        <w:t xml:space="preserve">The authors declare no competing interests</w:t>
      </w:r>
    </w:p>
    <w:p>
      <w:pPr>
        <w:pStyle w:val="Heading1"/>
      </w:pPr>
      <w:bookmarkStart w:id="40" w:name="grant-information"/>
      <w:r>
        <w:t xml:space="preserve">Grant information:</w:t>
      </w:r>
      <w:bookmarkEnd w:id="40"/>
    </w:p>
    <w:p>
      <w:pPr>
        <w:pStyle w:val="FirstParagraph"/>
      </w:pPr>
      <w:r>
        <w:t xml:space="preserve">This project was funded by the Mitacs Accelerate Grant (#IT12054) through a partnership with Behaviour Interactive and Université du Québec à Montréal.</w:t>
      </w:r>
    </w:p>
    <w:p>
      <w:pPr>
        <w:pStyle w:val="Heading1"/>
      </w:pPr>
      <w:bookmarkStart w:id="41" w:name="data-availability-statement"/>
      <w:r>
        <w:t xml:space="preserve">Data availability statement:</w:t>
      </w:r>
      <w:bookmarkEnd w:id="41"/>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42">
        <w:r>
          <w:rPr>
            <w:rStyle w:val="Hyperlink"/>
          </w:rPr>
          <w:t xml:space="preserve">https://github.com/quantitative-ecologist/videogame_hunting_tactics-Rscripts</w:t>
        </w:r>
      </w:hyperlink>
      <w:r>
        <w:t xml:space="preserve">.</w:t>
      </w:r>
    </w:p>
    <w:p>
      <w:pPr>
        <w:pStyle w:val="Heading1"/>
      </w:pPr>
      <w:bookmarkStart w:id="43" w:name="references"/>
      <w:r>
        <w:t xml:space="preserve">References</w:t>
      </w:r>
      <w:bookmarkEnd w:id="43"/>
    </w:p>
    <w:bookmarkStart w:id="103" w:name="refs"/>
    <w:bookmarkStart w:id="44"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44"/>
    <w:bookmarkStart w:id="45"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45"/>
    <w:bookmarkStart w:id="46"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46"/>
    <w:bookmarkStart w:id="47"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47"/>
    <w:bookmarkStart w:id="48"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48"/>
    <w:bookmarkStart w:id="49"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49"/>
    <w:bookmarkStart w:id="50"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50"/>
    <w:bookmarkStart w:id="51"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51"/>
    <w:bookmarkStart w:id="52"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52"/>
    <w:bookmarkStart w:id="53"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53"/>
    <w:bookmarkStart w:id="54"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54"/>
    <w:bookmarkStart w:id="55"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55"/>
    <w:bookmarkStart w:id="56"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56"/>
    <w:bookmarkStart w:id="57"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57"/>
    <w:bookmarkStart w:id="58"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58"/>
    <w:bookmarkStart w:id="59"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59"/>
    <w:bookmarkStart w:id="60"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60"/>
    <w:bookmarkStart w:id="61"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61"/>
    <w:bookmarkStart w:id="62"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62"/>
    <w:bookmarkStart w:id="63"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63"/>
    <w:bookmarkStart w:id="64"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64"/>
    <w:bookmarkStart w:id="65"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65"/>
    <w:bookmarkStart w:id="66"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66"/>
    <w:bookmarkStart w:id="67"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67"/>
    <w:bookmarkStart w:id="68"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68"/>
    <w:bookmarkStart w:id="69"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69"/>
    <w:bookmarkStart w:id="70"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70"/>
    <w:bookmarkStart w:id="71"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71"/>
    <w:bookmarkStart w:id="72"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72"/>
    <w:bookmarkStart w:id="73"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73"/>
    <w:bookmarkStart w:id="74"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74"/>
    <w:bookmarkStart w:id="75"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75"/>
    <w:bookmarkStart w:id="76"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76"/>
    <w:bookmarkStart w:id="77"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77"/>
    <w:bookmarkStart w:id="78"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78"/>
    <w:bookmarkStart w:id="79"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79"/>
    <w:bookmarkStart w:id="80"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80"/>
    <w:bookmarkStart w:id="81"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81"/>
    <w:bookmarkStart w:id="82"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82"/>
    <w:bookmarkStart w:id="83"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83"/>
    <w:bookmarkStart w:id="84"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84"/>
    <w:bookmarkStart w:id="85"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85"/>
    <w:bookmarkStart w:id="86"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86"/>
    <w:bookmarkStart w:id="87"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87"/>
    <w:bookmarkStart w:id="88"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88"/>
    <w:bookmarkStart w:id="89"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89"/>
    <w:bookmarkStart w:id="90"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90"/>
    <w:bookmarkStart w:id="91"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91"/>
    <w:bookmarkStart w:id="92"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92"/>
    <w:bookmarkStart w:id="93"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93"/>
    <w:bookmarkStart w:id="94"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94"/>
    <w:bookmarkStart w:id="95"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95"/>
    <w:bookmarkStart w:id="96"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96"/>
    <w:bookmarkStart w:id="97"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97"/>
    <w:bookmarkStart w:id="98"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98"/>
    <w:bookmarkStart w:id="99"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99"/>
    <w:bookmarkStart w:id="100"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00"/>
    <w:bookmarkStart w:id="101"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01"/>
    <w:bookmarkStart w:id="102"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02"/>
    <w:bookmarkEnd w:id="103"/>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2"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2"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2021-04-26T21:00:17Z</dcterms:created>
  <dcterms:modified xsi:type="dcterms:W3CDTF">2021-04-26T21:00:17Z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