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XOXO LUXURY</w:t>
      </w:r>
    </w:p>
    <w:p>
      <w:pPr>
        <w:jc w:val="center"/>
      </w:pPr>
      <w:r>
        <w:rPr>
          <w:b/>
          <w:sz w:val="30"/>
        </w:rPr>
        <w:t>KPI QUẢN LÝ KỸ THUẬT</w:t>
      </w:r>
    </w:p>
    <w:p>
      <w:pPr>
        <w:jc w:val="center"/>
      </w:pPr>
      <w:r>
        <w:rPr>
          <w:i/>
          <w:sz w:val="21"/>
        </w:rPr>
        <w:t>Áp dụng làm policy riêng cho vị trí Quản lý kỹ thuật / Lead kỹ thuật khi tách vai trò quản lý khỏi KPI kỹ thuật full-time.</w:t>
      </w:r>
    </w:p>
    <w:p>
      <w:pPr>
        <w:pStyle w:val="Heading1"/>
      </w:pPr>
      <w:r>
        <w:rPr>
          <w:rFonts w:ascii="Arial" w:hAnsi="Arial"/>
          <w:sz w:val="25"/>
        </w:rPr>
        <w:t>1. Mục đích</w:t>
      </w:r>
    </w:p>
    <w:p>
      <w:pPr>
        <w:pStyle w:val="ListBullet"/>
        <w:spacing w:after="0"/>
      </w:pPr>
      <w:r>
        <w:t>Đo năng lực quản lý bộ phận kỹ thuật theo các trục: tiến độ, chất lượng, điều phối, xử lý phát sinh và đào tạo nhân sự.</w:t>
      </w:r>
    </w:p>
    <w:p>
      <w:pPr>
        <w:pStyle w:val="ListBullet"/>
        <w:spacing w:after="0"/>
      </w:pPr>
      <w:r>
        <w:t>Dùng làm căn cứ chấm KPI tháng, xếp loại quản lý kỹ thuật và map sang các quyền lợi liên quan nếu shop áp dụng phần thưởng trách nhiệm quản lý.</w:t>
      </w:r>
    </w:p>
    <w:p>
      <w:pPr>
        <w:pStyle w:val="ListBullet"/>
        <w:spacing w:after="0"/>
      </w:pPr>
      <w:r>
        <w:t>Không thay thế KPI Kỹ thuật Full-time khi nhân sự vẫn trực tiếp làm nghề; đây là bộ KPI riêng cho vai trò quản lý kỹ thuật.</w:t>
      </w:r>
    </w:p>
    <w:p>
      <w:pPr>
        <w:pStyle w:val="Heading1"/>
      </w:pPr>
      <w:r>
        <w:rPr>
          <w:rFonts w:ascii="Arial" w:hAnsi="Arial"/>
          <w:sz w:val="25"/>
        </w:rPr>
        <w:t>2. Nguyên tắc áp dụng</w:t>
      </w:r>
    </w:p>
    <w:p>
      <w:pPr>
        <w:pStyle w:val="ListBullet"/>
        <w:spacing w:after="0"/>
      </w:pPr>
      <w:r>
        <w:t>KPI Quản lý kỹ thuật đo vai trò quản lý tổ kỹ thuật, không đo sâu tay nghề cá nhân như KPI Kỹ thuật Full-time.</w:t>
      </w:r>
    </w:p>
    <w:p>
      <w:pPr>
        <w:pStyle w:val="ListBullet"/>
        <w:spacing w:after="0"/>
      </w:pPr>
      <w:r>
        <w:t>KPI này phù hợp khi nhân sự chịu trách nhiệm chính về điều phối, giữ tiến độ, giữ chất lượng, đào tạo người và phối hợp với sale / quản lý cửa hàng.</w:t>
      </w:r>
    </w:p>
    <w:p>
      <w:pPr>
        <w:pStyle w:val="ListBullet"/>
        <w:spacing w:after="0"/>
      </w:pPr>
      <w:r>
        <w:t>Tổng điểm KPI = 100 điểm. Giữ chung thang xếp loại A+, A, B, C, D như toàn hệ thống.</w:t>
      </w:r>
    </w:p>
    <w:p>
      <w:pPr>
        <w:pStyle w:val="Heading1"/>
      </w:pPr>
      <w:r>
        <w:rPr>
          <w:sz w:val="25"/>
        </w:rPr>
        <w:t>3. Cơ cấu KPI Quản lý kỹ thuật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left"/>
            </w:pPr>
            <w:r/>
            <w:r>
              <w:rPr>
                <w:rFonts w:ascii="Arial" w:hAnsi="Arial"/>
                <w:b/>
                <w:sz w:val="21"/>
              </w:rPr>
              <w:t>Nhóm KPI</w:t>
            </w:r>
          </w:p>
        </w:tc>
        <w:tc>
          <w:tcPr>
            <w:tcW w:type="dxa" w:w="3324"/>
            <w:vAlign w:val="center"/>
            <w:shd w:fill="D9EAF7"/>
          </w:tcPr>
          <w:p>
            <w:pPr>
              <w:jc w:val="left"/>
            </w:pPr>
            <w:r/>
            <w:r>
              <w:rPr>
                <w:rFonts w:ascii="Arial" w:hAnsi="Arial"/>
                <w:b/>
                <w:sz w:val="21"/>
              </w:rPr>
              <w:t>Trọng số</w:t>
            </w:r>
          </w:p>
        </w:tc>
        <w:tc>
          <w:tcPr>
            <w:tcW w:type="dxa" w:w="3324"/>
            <w:vAlign w:val="center"/>
            <w:shd w:fill="D9EAF7"/>
          </w:tcPr>
          <w:p>
            <w:pPr>
              <w:jc w:val="left"/>
            </w:pPr>
            <w:r/>
            <w:r>
              <w:rPr>
                <w:rFonts w:ascii="Arial" w:hAnsi="Arial"/>
                <w:b/>
                <w:sz w:val="21"/>
              </w:rPr>
              <w:t>Nội dung chính</w:t>
            </w:r>
          </w:p>
        </w:tc>
      </w:tr>
      <w:tr>
        <w:tc>
          <w:tcPr>
            <w:tcW w:type="dxa" w:w="3324"/>
            <w:vAlign w:val="center"/>
          </w:tcPr>
          <w:p>
            <w:pPr>
              <w:jc w:val="left"/>
            </w:pPr>
            <w:r/>
            <w:r>
              <w:rPr>
                <w:rFonts w:ascii="Arial" w:hAnsi="Arial"/>
                <w:b w:val="0"/>
                <w:sz w:val="21"/>
              </w:rPr>
              <w:t>I. Kết quả vận hành kỹ thuật</w:t>
            </w:r>
          </w:p>
        </w:tc>
        <w:tc>
          <w:tcPr>
            <w:tcW w:type="dxa" w:w="3324"/>
            <w:vAlign w:val="center"/>
          </w:tcPr>
          <w:p>
            <w:pPr>
              <w:jc w:val="left"/>
            </w:pPr>
            <w:r/>
            <w:r>
              <w:rPr>
                <w:rFonts w:ascii="Arial" w:hAnsi="Arial"/>
                <w:b w:val="0"/>
                <w:sz w:val="21"/>
              </w:rPr>
              <w:t>35</w:t>
            </w:r>
          </w:p>
        </w:tc>
        <w:tc>
          <w:tcPr>
            <w:tcW w:type="dxa" w:w="3324"/>
            <w:vAlign w:val="center"/>
          </w:tcPr>
          <w:p>
            <w:pPr>
              <w:jc w:val="left"/>
            </w:pPr>
            <w:r/>
            <w:r>
              <w:rPr>
                <w:rFonts w:ascii="Arial" w:hAnsi="Arial"/>
                <w:b w:val="0"/>
                <w:sz w:val="21"/>
              </w:rPr>
              <w:t>Tỷ lệ đúng hạn chung, kế hoạch hoàn thành, tỷ lệ đơn trễ</w:t>
            </w:r>
          </w:p>
        </w:tc>
      </w:tr>
      <w:tr>
        <w:tc>
          <w:tcPr>
            <w:tcW w:type="dxa" w:w="3324"/>
            <w:vAlign w:val="center"/>
          </w:tcPr>
          <w:p>
            <w:pPr>
              <w:jc w:val="left"/>
            </w:pPr>
            <w:r/>
            <w:r>
              <w:rPr>
                <w:rFonts w:ascii="Arial" w:hAnsi="Arial"/>
                <w:b w:val="0"/>
                <w:sz w:val="21"/>
              </w:rPr>
              <w:t>II. Chất lượng kỹ thuật</w:t>
            </w:r>
          </w:p>
        </w:tc>
        <w:tc>
          <w:tcPr>
            <w:tcW w:type="dxa" w:w="3324"/>
            <w:vAlign w:val="center"/>
          </w:tcPr>
          <w:p>
            <w:pPr>
              <w:jc w:val="left"/>
            </w:pPr>
            <w:r/>
            <w:r>
              <w:rPr>
                <w:rFonts w:ascii="Arial" w:hAnsi="Arial"/>
                <w:b w:val="0"/>
                <w:sz w:val="21"/>
              </w:rPr>
              <w:t>30</w:t>
            </w:r>
          </w:p>
        </w:tc>
        <w:tc>
          <w:tcPr>
            <w:tcW w:type="dxa" w:w="3324"/>
            <w:vAlign w:val="center"/>
          </w:tcPr>
          <w:p>
            <w:pPr>
              <w:jc w:val="left"/>
            </w:pPr>
            <w:r/>
            <w:r>
              <w:rPr>
                <w:rFonts w:ascii="Arial" w:hAnsi="Arial"/>
                <w:b w:val="0"/>
                <w:sz w:val="21"/>
              </w:rPr>
              <w:t>Rework / bảo hành, feedback không hài lòng, lỗi chất lượng nghiêm trọng</w:t>
            </w:r>
          </w:p>
        </w:tc>
      </w:tr>
      <w:tr>
        <w:tc>
          <w:tcPr>
            <w:tcW w:type="dxa" w:w="3324"/>
            <w:vAlign w:val="center"/>
          </w:tcPr>
          <w:p>
            <w:pPr>
              <w:jc w:val="left"/>
            </w:pPr>
            <w:r/>
            <w:r>
              <w:rPr>
                <w:rFonts w:ascii="Arial" w:hAnsi="Arial"/>
                <w:b w:val="0"/>
                <w:sz w:val="21"/>
              </w:rPr>
              <w:t>III. Điều phối và kiểm soát quy trình</w:t>
            </w:r>
          </w:p>
        </w:tc>
        <w:tc>
          <w:tcPr>
            <w:tcW w:type="dxa" w:w="3324"/>
            <w:vAlign w:val="center"/>
          </w:tcPr>
          <w:p>
            <w:pPr>
              <w:jc w:val="left"/>
            </w:pPr>
            <w:r/>
            <w:r>
              <w:rPr>
                <w:rFonts w:ascii="Arial" w:hAnsi="Arial"/>
                <w:b w:val="0"/>
                <w:sz w:val="21"/>
              </w:rPr>
              <w:t>20</w:t>
            </w:r>
          </w:p>
        </w:tc>
        <w:tc>
          <w:tcPr>
            <w:tcW w:type="dxa" w:w="3324"/>
            <w:vAlign w:val="center"/>
          </w:tcPr>
          <w:p>
            <w:pPr>
              <w:jc w:val="left"/>
            </w:pPr>
            <w:r/>
            <w:r>
              <w:rPr>
                <w:rFonts w:ascii="Arial" w:hAnsi="Arial"/>
                <w:b w:val="0"/>
                <w:sz w:val="21"/>
              </w:rPr>
              <w:t>Phân việc, xử lý phát sinh, tuân thủ quy trình chung</w:t>
            </w:r>
          </w:p>
        </w:tc>
      </w:tr>
      <w:tr>
        <w:tc>
          <w:tcPr>
            <w:tcW w:type="dxa" w:w="3324"/>
            <w:vAlign w:val="center"/>
          </w:tcPr>
          <w:p>
            <w:pPr>
              <w:jc w:val="left"/>
            </w:pPr>
            <w:r/>
            <w:r>
              <w:rPr>
                <w:rFonts w:ascii="Arial" w:hAnsi="Arial"/>
                <w:b w:val="0"/>
                <w:sz w:val="21"/>
              </w:rPr>
              <w:t>IV. Đào tạo và con người</w:t>
            </w:r>
          </w:p>
        </w:tc>
        <w:tc>
          <w:tcPr>
            <w:tcW w:type="dxa" w:w="3324"/>
            <w:vAlign w:val="center"/>
          </w:tcPr>
          <w:p>
            <w:pPr>
              <w:jc w:val="left"/>
            </w:pPr>
            <w:r/>
            <w:r>
              <w:rPr>
                <w:rFonts w:ascii="Arial" w:hAnsi="Arial"/>
                <w:b w:val="0"/>
                <w:sz w:val="21"/>
              </w:rPr>
              <w:t>15</w:t>
            </w:r>
          </w:p>
        </w:tc>
        <w:tc>
          <w:tcPr>
            <w:tcW w:type="dxa" w:w="3324"/>
            <w:vAlign w:val="center"/>
          </w:tcPr>
          <w:p>
            <w:pPr>
              <w:jc w:val="left"/>
            </w:pPr>
            <w:r/>
            <w:r>
              <w:rPr>
                <w:rFonts w:ascii="Arial" w:hAnsi="Arial"/>
                <w:b w:val="0"/>
                <w:sz w:val="21"/>
              </w:rPr>
              <w:t>Đào tạo kỹ thuật viên, tác phong và phối hợp nội bộ</w:t>
            </w:r>
          </w:p>
        </w:tc>
      </w:tr>
      <w:tr>
        <w:tc>
          <w:tcPr>
            <w:tcW w:type="dxa" w:w="3324"/>
            <w:vAlign w:val="center"/>
          </w:tcPr>
          <w:p>
            <w:pPr>
              <w:jc w:val="left"/>
            </w:pPr>
            <w:r/>
            <w:r>
              <w:rPr>
                <w:rFonts w:ascii="Arial" w:hAnsi="Arial"/>
                <w:b w:val="0"/>
                <w:sz w:val="21"/>
              </w:rPr>
              <w:t>Tổng</w:t>
            </w:r>
          </w:p>
        </w:tc>
        <w:tc>
          <w:tcPr>
            <w:tcW w:type="dxa" w:w="3324"/>
            <w:vAlign w:val="center"/>
          </w:tcPr>
          <w:p>
            <w:pPr>
              <w:jc w:val="left"/>
            </w:pPr>
            <w:r/>
            <w:r>
              <w:rPr>
                <w:rFonts w:ascii="Arial" w:hAnsi="Arial"/>
                <w:b w:val="0"/>
                <w:sz w:val="21"/>
              </w:rPr>
              <w:t>100</w:t>
            </w:r>
          </w:p>
        </w:tc>
        <w:tc>
          <w:tcPr>
            <w:tcW w:type="dxa" w:w="3324"/>
            <w:vAlign w:val="center"/>
          </w:tcPr>
          <w:p>
            <w:pPr>
              <w:jc w:val="left"/>
            </w:pPr>
            <w:r/>
            <w:r>
              <w:rPr>
                <w:rFonts w:ascii="Arial" w:hAnsi="Arial"/>
                <w:b w:val="0"/>
                <w:sz w:val="21"/>
              </w:rPr>
              <w:t>Xếp loại A+, A, B, C, D</w:t>
            </w:r>
          </w:p>
        </w:tc>
      </w:tr>
    </w:tbl>
    <w:p>
      <w:pPr>
        <w:pStyle w:val="Heading1"/>
      </w:pPr>
      <w:r>
        <w:t>4. Bảng chỉ tiêu chi tiết</w:t>
      </w:r>
    </w:p>
    <w:p>
      <w:pPr>
        <w:pStyle w:val="Heading2"/>
      </w:pPr>
      <w:r>
        <w:rPr>
          <w:b/>
          <w:sz w:val="23"/>
        </w:rPr>
        <w:t>I. Kết quả vận hành kỹ thuật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EAF4EA"/>
          </w:tcPr>
          <w:p>
            <w:pPr>
              <w:jc w:val="left"/>
            </w:pPr>
            <w:r/>
            <w:r>
              <w:rPr>
                <w:rFonts w:ascii="Arial" w:hAnsi="Arial"/>
                <w:b/>
                <w:sz w:val="20"/>
              </w:rPr>
              <w:t>STT</w:t>
            </w:r>
          </w:p>
        </w:tc>
        <w:tc>
          <w:tcPr>
            <w:tcW w:type="dxa" w:w="1425"/>
            <w:vAlign w:val="center"/>
            <w:shd w:fill="EAF4EA"/>
          </w:tcPr>
          <w:p>
            <w:pPr>
              <w:jc w:val="left"/>
            </w:pPr>
            <w:r/>
            <w:r>
              <w:rPr>
                <w:rFonts w:ascii="Arial" w:hAnsi="Arial"/>
                <w:b/>
                <w:sz w:val="20"/>
              </w:rPr>
              <w:t>Chỉ tiêu</w:t>
            </w:r>
          </w:p>
        </w:tc>
        <w:tc>
          <w:tcPr>
            <w:tcW w:type="dxa" w:w="1425"/>
            <w:vAlign w:val="center"/>
            <w:shd w:fill="EAF4EA"/>
          </w:tcPr>
          <w:p>
            <w:pPr>
              <w:jc w:val="left"/>
            </w:pPr>
            <w:r/>
            <w:r>
              <w:rPr>
                <w:rFonts w:ascii="Arial" w:hAnsi="Arial"/>
                <w:b/>
                <w:sz w:val="20"/>
              </w:rPr>
              <w:t>Trọng số</w:t>
            </w:r>
          </w:p>
        </w:tc>
        <w:tc>
          <w:tcPr>
            <w:tcW w:type="dxa" w:w="1425"/>
            <w:vAlign w:val="center"/>
            <w:shd w:fill="EAF4EA"/>
          </w:tcPr>
          <w:p>
            <w:pPr>
              <w:jc w:val="left"/>
            </w:pPr>
            <w:r/>
            <w:r>
              <w:rPr>
                <w:rFonts w:ascii="Arial" w:hAnsi="Arial"/>
                <w:b/>
                <w:sz w:val="20"/>
              </w:rPr>
              <w:t>Nguồn DL</w:t>
            </w:r>
          </w:p>
        </w:tc>
        <w:tc>
          <w:tcPr>
            <w:tcW w:type="dxa" w:w="1425"/>
            <w:vAlign w:val="center"/>
            <w:shd w:fill="EAF4EA"/>
          </w:tcPr>
          <w:p>
            <w:pPr>
              <w:jc w:val="left"/>
            </w:pPr>
            <w:r/>
            <w:r>
              <w:rPr>
                <w:rFonts w:ascii="Arial" w:hAnsi="Arial"/>
                <w:b/>
                <w:sz w:val="20"/>
              </w:rPr>
              <w:t>Source key</w:t>
            </w:r>
          </w:p>
        </w:tc>
        <w:tc>
          <w:tcPr>
            <w:tcW w:type="dxa" w:w="1425"/>
            <w:vAlign w:val="center"/>
            <w:shd w:fill="EAF4EA"/>
          </w:tcPr>
          <w:p>
            <w:pPr>
              <w:jc w:val="left"/>
            </w:pPr>
            <w:r/>
            <w:r>
              <w:rPr>
                <w:rFonts w:ascii="Arial" w:hAnsi="Arial"/>
                <w:b/>
                <w:sz w:val="20"/>
              </w:rPr>
              <w:t>Cách chấm gợi ý</w:t>
            </w:r>
          </w:p>
        </w:tc>
        <w:tc>
          <w:tcPr>
            <w:tcW w:type="dxa" w:w="1425"/>
            <w:vAlign w:val="center"/>
            <w:shd w:fill="EAF4EA"/>
          </w:tcPr>
          <w:p>
            <w:pPr>
              <w:jc w:val="left"/>
            </w:pPr>
            <w:r/>
            <w:r>
              <w:rPr>
                <w:rFonts w:ascii="Arial" w:hAnsi="Arial"/>
                <w:b/>
                <w:sz w:val="20"/>
              </w:rPr>
              <w:t>Ghi chú</w:t>
            </w:r>
          </w:p>
        </w:tc>
      </w:tr>
      <w:tr>
        <w:tc>
          <w:tcPr>
            <w:tcW w:type="dxa" w:w="1425"/>
            <w:vAlign w:val="center"/>
          </w:tcPr>
          <w:p>
            <w:pPr>
              <w:jc w:val="left"/>
            </w:pPr>
            <w:r/>
            <w:r>
              <w:rPr>
                <w:rFonts w:ascii="Arial" w:hAnsi="Arial"/>
                <w:b w:val="0"/>
                <w:sz w:val="19"/>
              </w:rPr>
              <w:t>1</w:t>
            </w:r>
          </w:p>
        </w:tc>
        <w:tc>
          <w:tcPr>
            <w:tcW w:type="dxa" w:w="1425"/>
            <w:vAlign w:val="center"/>
          </w:tcPr>
          <w:p>
            <w:pPr>
              <w:jc w:val="left"/>
            </w:pPr>
            <w:r/>
            <w:r>
              <w:rPr>
                <w:rFonts w:ascii="Arial" w:hAnsi="Arial"/>
                <w:b w:val="0"/>
                <w:sz w:val="19"/>
              </w:rPr>
              <w:t>Tỷ lệ đúng hạn chung của bộ phận kỹ thuật</w:t>
            </w:r>
          </w:p>
        </w:tc>
        <w:tc>
          <w:tcPr>
            <w:tcW w:type="dxa" w:w="1425"/>
            <w:vAlign w:val="center"/>
          </w:tcPr>
          <w:p>
            <w:pPr>
              <w:jc w:val="left"/>
            </w:pPr>
            <w:r/>
            <w:r>
              <w:rPr>
                <w:rFonts w:ascii="Arial" w:hAnsi="Arial"/>
                <w:b w:val="0"/>
                <w:sz w:val="19"/>
              </w:rPr>
              <w:t>15</w:t>
            </w:r>
          </w:p>
        </w:tc>
        <w:tc>
          <w:tcPr>
            <w:tcW w:type="dxa" w:w="1425"/>
            <w:vAlign w:val="center"/>
          </w:tcPr>
          <w:p>
            <w:pPr>
              <w:jc w:val="left"/>
            </w:pPr>
            <w:r/>
            <w:r>
              <w:rPr>
                <w:rFonts w:ascii="Arial" w:hAnsi="Arial"/>
                <w:b w:val="0"/>
                <w:sz w:val="19"/>
              </w:rPr>
              <w:t>Auto</w:t>
            </w:r>
          </w:p>
        </w:tc>
        <w:tc>
          <w:tcPr>
            <w:tcW w:type="dxa" w:w="1425"/>
            <w:vAlign w:val="center"/>
          </w:tcPr>
          <w:p>
            <w:pPr>
              <w:jc w:val="left"/>
            </w:pPr>
            <w:r/>
            <w:r>
              <w:rPr>
                <w:rFonts w:ascii="Arial" w:hAnsi="Arial"/>
                <w:b w:val="0"/>
                <w:sz w:val="19"/>
              </w:rPr>
              <w:t>team_on_time_completion_rate</w:t>
            </w:r>
          </w:p>
        </w:tc>
        <w:tc>
          <w:tcPr>
            <w:tcW w:type="dxa" w:w="1425"/>
            <w:vAlign w:val="center"/>
          </w:tcPr>
          <w:p>
            <w:pPr>
              <w:jc w:val="left"/>
            </w:pPr>
            <w:r/>
            <w:r>
              <w:rPr>
                <w:rFonts w:ascii="Arial" w:hAnsi="Arial"/>
                <w:b w:val="0"/>
                <w:sz w:val="19"/>
              </w:rPr>
              <w:t>≥ 90% = 15đ; 80–89% = 10đ; 70–79% = 5đ; &lt;70% = 0đ</w:t>
            </w:r>
          </w:p>
        </w:tc>
        <w:tc>
          <w:tcPr>
            <w:tcW w:type="dxa" w:w="1425"/>
            <w:vAlign w:val="center"/>
          </w:tcPr>
          <w:p>
            <w:pPr>
              <w:jc w:val="left"/>
            </w:pPr>
            <w:r/>
            <w:r>
              <w:rPr>
                <w:rFonts w:ascii="Arial" w:hAnsi="Arial"/>
                <w:b w:val="0"/>
                <w:sz w:val="19"/>
              </w:rPr>
              <w:t>Quản lý kỹ thuật chịu trách nhiệm chính về tiến độ chung của bộ phận.</w:t>
            </w:r>
          </w:p>
        </w:tc>
      </w:tr>
      <w:tr>
        <w:tc>
          <w:tcPr>
            <w:tcW w:type="dxa" w:w="1425"/>
            <w:vAlign w:val="center"/>
          </w:tcPr>
          <w:p>
            <w:pPr>
              <w:jc w:val="left"/>
            </w:pPr>
            <w:r/>
            <w:r>
              <w:rPr>
                <w:rFonts w:ascii="Arial" w:hAnsi="Arial"/>
                <w:b w:val="0"/>
                <w:sz w:val="19"/>
              </w:rPr>
              <w:t>2</w:t>
            </w:r>
          </w:p>
        </w:tc>
        <w:tc>
          <w:tcPr>
            <w:tcW w:type="dxa" w:w="1425"/>
            <w:vAlign w:val="center"/>
          </w:tcPr>
          <w:p>
            <w:pPr>
              <w:jc w:val="left"/>
            </w:pPr>
            <w:r/>
            <w:r>
              <w:rPr>
                <w:rFonts w:ascii="Arial" w:hAnsi="Arial"/>
                <w:b w:val="0"/>
                <w:sz w:val="19"/>
              </w:rPr>
              <w:t>Tỷ lệ đơn hoàn thành đúng kế hoạch trong tháng</w:t>
            </w:r>
          </w:p>
        </w:tc>
        <w:tc>
          <w:tcPr>
            <w:tcW w:type="dxa" w:w="1425"/>
            <w:vAlign w:val="center"/>
          </w:tcPr>
          <w:p>
            <w:pPr>
              <w:jc w:val="left"/>
            </w:pPr>
            <w:r/>
            <w:r>
              <w:rPr>
                <w:rFonts w:ascii="Arial" w:hAnsi="Arial"/>
                <w:b w:val="0"/>
                <w:sz w:val="19"/>
              </w:rPr>
              <w:t>10</w:t>
            </w:r>
          </w:p>
        </w:tc>
        <w:tc>
          <w:tcPr>
            <w:tcW w:type="dxa" w:w="1425"/>
            <w:vAlign w:val="center"/>
          </w:tcPr>
          <w:p>
            <w:pPr>
              <w:jc w:val="left"/>
            </w:pPr>
            <w:r/>
            <w:r>
              <w:rPr>
                <w:rFonts w:ascii="Arial" w:hAnsi="Arial"/>
                <w:b w:val="0"/>
                <w:sz w:val="19"/>
              </w:rPr>
              <w:t>Auto/Hybrid</w:t>
            </w:r>
          </w:p>
        </w:tc>
        <w:tc>
          <w:tcPr>
            <w:tcW w:type="dxa" w:w="1425"/>
            <w:vAlign w:val="center"/>
          </w:tcPr>
          <w:p>
            <w:pPr>
              <w:jc w:val="left"/>
            </w:pPr>
            <w:r/>
            <w:r>
              <w:rPr>
                <w:rFonts w:ascii="Arial" w:hAnsi="Arial"/>
                <w:b w:val="0"/>
                <w:sz w:val="19"/>
              </w:rPr>
              <w:t>team_completed_jobs_vs_plan</w:t>
            </w:r>
          </w:p>
        </w:tc>
        <w:tc>
          <w:tcPr>
            <w:tcW w:type="dxa" w:w="1425"/>
            <w:vAlign w:val="center"/>
          </w:tcPr>
          <w:p>
            <w:pPr>
              <w:jc w:val="left"/>
            </w:pPr>
            <w:r/>
            <w:r>
              <w:rPr>
                <w:rFonts w:ascii="Arial" w:hAnsi="Arial"/>
                <w:b w:val="0"/>
                <w:sz w:val="19"/>
              </w:rPr>
              <w:t>Đạt 100% kế hoạch = 10đ; 90–99% = 7đ; 80–89% = 4đ; &lt;80% = 0đ</w:t>
            </w:r>
          </w:p>
        </w:tc>
        <w:tc>
          <w:tcPr>
            <w:tcW w:type="dxa" w:w="1425"/>
            <w:vAlign w:val="center"/>
          </w:tcPr>
          <w:p>
            <w:pPr>
              <w:jc w:val="left"/>
            </w:pPr>
            <w:r/>
            <w:r>
              <w:rPr>
                <w:rFonts w:ascii="Arial" w:hAnsi="Arial"/>
                <w:b w:val="0"/>
                <w:sz w:val="19"/>
              </w:rPr>
              <w:t>Đo mức độ hoàn thành kế hoạch tháng của cả bộ phận.</w:t>
            </w:r>
          </w:p>
        </w:tc>
      </w:tr>
      <w:tr>
        <w:tc>
          <w:tcPr>
            <w:tcW w:type="dxa" w:w="1425"/>
            <w:vAlign w:val="center"/>
          </w:tcPr>
          <w:p>
            <w:pPr>
              <w:jc w:val="left"/>
            </w:pPr>
            <w:r/>
            <w:r>
              <w:rPr>
                <w:rFonts w:ascii="Arial" w:hAnsi="Arial"/>
                <w:b w:val="0"/>
                <w:sz w:val="19"/>
              </w:rPr>
              <w:t>3</w:t>
            </w:r>
          </w:p>
        </w:tc>
        <w:tc>
          <w:tcPr>
            <w:tcW w:type="dxa" w:w="1425"/>
            <w:vAlign w:val="center"/>
          </w:tcPr>
          <w:p>
            <w:pPr>
              <w:jc w:val="left"/>
            </w:pPr>
            <w:r/>
            <w:r>
              <w:rPr>
                <w:rFonts w:ascii="Arial" w:hAnsi="Arial"/>
                <w:b w:val="0"/>
                <w:sz w:val="19"/>
              </w:rPr>
              <w:t>Tỷ lệ đơn bị trễ của bộ phận kỹ thuật</w:t>
            </w:r>
          </w:p>
        </w:tc>
        <w:tc>
          <w:tcPr>
            <w:tcW w:type="dxa" w:w="1425"/>
            <w:vAlign w:val="center"/>
          </w:tcPr>
          <w:p>
            <w:pPr>
              <w:jc w:val="left"/>
            </w:pPr>
            <w:r/>
            <w:r>
              <w:rPr>
                <w:rFonts w:ascii="Arial" w:hAnsi="Arial"/>
                <w:b w:val="0"/>
                <w:sz w:val="19"/>
              </w:rPr>
              <w:t>10</w:t>
            </w:r>
          </w:p>
        </w:tc>
        <w:tc>
          <w:tcPr>
            <w:tcW w:type="dxa" w:w="1425"/>
            <w:vAlign w:val="center"/>
          </w:tcPr>
          <w:p>
            <w:pPr>
              <w:jc w:val="left"/>
            </w:pPr>
            <w:r/>
            <w:r>
              <w:rPr>
                <w:rFonts w:ascii="Arial" w:hAnsi="Arial"/>
                <w:b w:val="0"/>
                <w:sz w:val="19"/>
              </w:rPr>
              <w:t>Auto</w:t>
            </w:r>
          </w:p>
        </w:tc>
        <w:tc>
          <w:tcPr>
            <w:tcW w:type="dxa" w:w="1425"/>
            <w:vAlign w:val="center"/>
          </w:tcPr>
          <w:p>
            <w:pPr>
              <w:jc w:val="left"/>
            </w:pPr>
            <w:r/>
            <w:r>
              <w:rPr>
                <w:rFonts w:ascii="Arial" w:hAnsi="Arial"/>
                <w:b w:val="0"/>
                <w:sz w:val="19"/>
              </w:rPr>
              <w:t>team_late_jobs_count</w:t>
            </w:r>
          </w:p>
        </w:tc>
        <w:tc>
          <w:tcPr>
            <w:tcW w:type="dxa" w:w="1425"/>
            <w:vAlign w:val="center"/>
          </w:tcPr>
          <w:p>
            <w:pPr>
              <w:jc w:val="left"/>
            </w:pPr>
            <w:r/>
            <w:r>
              <w:rPr>
                <w:rFonts w:ascii="Arial" w:hAnsi="Arial"/>
                <w:b w:val="0"/>
                <w:sz w:val="19"/>
              </w:rPr>
              <w:t>0–2 đơn trễ = 10đ; 3–4 đơn = 7đ; 5–6 đơn = 3đ; &gt;6 đơn = 0đ</w:t>
            </w:r>
          </w:p>
        </w:tc>
        <w:tc>
          <w:tcPr>
            <w:tcW w:type="dxa" w:w="1425"/>
            <w:vAlign w:val="center"/>
          </w:tcPr>
          <w:p>
            <w:pPr>
              <w:jc w:val="left"/>
            </w:pPr>
            <w:r/>
            <w:r>
              <w:rPr>
                <w:rFonts w:ascii="Arial" w:hAnsi="Arial"/>
                <w:b w:val="0"/>
                <w:sz w:val="19"/>
              </w:rPr>
              <w:t>Đo ngược để nhìn rõ mức nghẽn việc và khả năng giữ deadline của toàn tổ.</w:t>
            </w:r>
          </w:p>
        </w:tc>
      </w:tr>
    </w:tbl>
    <w:p/>
    <w:p>
      <w:pPr>
        <w:pStyle w:val="Heading2"/>
      </w:pPr>
      <w:r>
        <w:rPr>
          <w:b/>
          <w:sz w:val="23"/>
        </w:rPr>
        <w:t>II. Chất lượng kỹ thuật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EAF4EA"/>
          </w:tcPr>
          <w:p>
            <w:pPr>
              <w:jc w:val="left"/>
            </w:pPr>
            <w:r/>
            <w:r>
              <w:rPr>
                <w:rFonts w:ascii="Arial" w:hAnsi="Arial"/>
                <w:b/>
                <w:sz w:val="20"/>
              </w:rPr>
              <w:t>STT</w:t>
            </w:r>
          </w:p>
        </w:tc>
        <w:tc>
          <w:tcPr>
            <w:tcW w:type="dxa" w:w="1425"/>
            <w:vAlign w:val="center"/>
            <w:shd w:fill="EAF4EA"/>
          </w:tcPr>
          <w:p>
            <w:pPr>
              <w:jc w:val="left"/>
            </w:pPr>
            <w:r/>
            <w:r>
              <w:rPr>
                <w:rFonts w:ascii="Arial" w:hAnsi="Arial"/>
                <w:b/>
                <w:sz w:val="20"/>
              </w:rPr>
              <w:t>Chỉ tiêu</w:t>
            </w:r>
          </w:p>
        </w:tc>
        <w:tc>
          <w:tcPr>
            <w:tcW w:type="dxa" w:w="1425"/>
            <w:vAlign w:val="center"/>
            <w:shd w:fill="EAF4EA"/>
          </w:tcPr>
          <w:p>
            <w:pPr>
              <w:jc w:val="left"/>
            </w:pPr>
            <w:r/>
            <w:r>
              <w:rPr>
                <w:rFonts w:ascii="Arial" w:hAnsi="Arial"/>
                <w:b/>
                <w:sz w:val="20"/>
              </w:rPr>
              <w:t>Trọng số</w:t>
            </w:r>
          </w:p>
        </w:tc>
        <w:tc>
          <w:tcPr>
            <w:tcW w:type="dxa" w:w="1425"/>
            <w:vAlign w:val="center"/>
            <w:shd w:fill="EAF4EA"/>
          </w:tcPr>
          <w:p>
            <w:pPr>
              <w:jc w:val="left"/>
            </w:pPr>
            <w:r/>
            <w:r>
              <w:rPr>
                <w:rFonts w:ascii="Arial" w:hAnsi="Arial"/>
                <w:b/>
                <w:sz w:val="20"/>
              </w:rPr>
              <w:t>Nguồn DL</w:t>
            </w:r>
          </w:p>
        </w:tc>
        <w:tc>
          <w:tcPr>
            <w:tcW w:type="dxa" w:w="1425"/>
            <w:vAlign w:val="center"/>
            <w:shd w:fill="EAF4EA"/>
          </w:tcPr>
          <w:p>
            <w:pPr>
              <w:jc w:val="left"/>
            </w:pPr>
            <w:r/>
            <w:r>
              <w:rPr>
                <w:rFonts w:ascii="Arial" w:hAnsi="Arial"/>
                <w:b/>
                <w:sz w:val="20"/>
              </w:rPr>
              <w:t>Source key</w:t>
            </w:r>
          </w:p>
        </w:tc>
        <w:tc>
          <w:tcPr>
            <w:tcW w:type="dxa" w:w="1425"/>
            <w:vAlign w:val="center"/>
            <w:shd w:fill="EAF4EA"/>
          </w:tcPr>
          <w:p>
            <w:pPr>
              <w:jc w:val="left"/>
            </w:pPr>
            <w:r/>
            <w:r>
              <w:rPr>
                <w:rFonts w:ascii="Arial" w:hAnsi="Arial"/>
                <w:b/>
                <w:sz w:val="20"/>
              </w:rPr>
              <w:t>Cách chấm gợi ý</w:t>
            </w:r>
          </w:p>
        </w:tc>
        <w:tc>
          <w:tcPr>
            <w:tcW w:type="dxa" w:w="1425"/>
            <w:vAlign w:val="center"/>
            <w:shd w:fill="EAF4EA"/>
          </w:tcPr>
          <w:p>
            <w:pPr>
              <w:jc w:val="left"/>
            </w:pPr>
            <w:r/>
            <w:r>
              <w:rPr>
                <w:rFonts w:ascii="Arial" w:hAnsi="Arial"/>
                <w:b/>
                <w:sz w:val="20"/>
              </w:rPr>
              <w:t>Ghi chú</w:t>
            </w:r>
          </w:p>
        </w:tc>
      </w:tr>
      <w:tr>
        <w:tc>
          <w:tcPr>
            <w:tcW w:type="dxa" w:w="1425"/>
            <w:vAlign w:val="center"/>
          </w:tcPr>
          <w:p>
            <w:pPr>
              <w:jc w:val="left"/>
            </w:pPr>
            <w:r/>
            <w:r>
              <w:rPr>
                <w:rFonts w:ascii="Arial" w:hAnsi="Arial"/>
                <w:b w:val="0"/>
                <w:sz w:val="19"/>
              </w:rPr>
              <w:t>4</w:t>
            </w:r>
          </w:p>
        </w:tc>
        <w:tc>
          <w:tcPr>
            <w:tcW w:type="dxa" w:w="1425"/>
            <w:vAlign w:val="center"/>
          </w:tcPr>
          <w:p>
            <w:pPr>
              <w:jc w:val="left"/>
            </w:pPr>
            <w:r/>
            <w:r>
              <w:rPr>
                <w:rFonts w:ascii="Arial" w:hAnsi="Arial"/>
                <w:b w:val="0"/>
                <w:sz w:val="19"/>
              </w:rPr>
              <w:t>Tỷ lệ làm lại / bảo hành chung của bộ phận</w:t>
            </w:r>
          </w:p>
        </w:tc>
        <w:tc>
          <w:tcPr>
            <w:tcW w:type="dxa" w:w="1425"/>
            <w:vAlign w:val="center"/>
          </w:tcPr>
          <w:p>
            <w:pPr>
              <w:jc w:val="left"/>
            </w:pPr>
            <w:r/>
            <w:r>
              <w:rPr>
                <w:rFonts w:ascii="Arial" w:hAnsi="Arial"/>
                <w:b w:val="0"/>
                <w:sz w:val="19"/>
              </w:rPr>
              <w:t>10</w:t>
            </w:r>
          </w:p>
        </w:tc>
        <w:tc>
          <w:tcPr>
            <w:tcW w:type="dxa" w:w="1425"/>
            <w:vAlign w:val="center"/>
          </w:tcPr>
          <w:p>
            <w:pPr>
              <w:jc w:val="left"/>
            </w:pPr>
            <w:r/>
            <w:r>
              <w:rPr>
                <w:rFonts w:ascii="Arial" w:hAnsi="Arial"/>
                <w:b w:val="0"/>
                <w:sz w:val="19"/>
              </w:rPr>
              <w:t>Auto</w:t>
            </w:r>
          </w:p>
        </w:tc>
        <w:tc>
          <w:tcPr>
            <w:tcW w:type="dxa" w:w="1425"/>
            <w:vAlign w:val="center"/>
          </w:tcPr>
          <w:p>
            <w:pPr>
              <w:jc w:val="left"/>
            </w:pPr>
            <w:r/>
            <w:r>
              <w:rPr>
                <w:rFonts w:ascii="Arial" w:hAnsi="Arial"/>
                <w:b w:val="0"/>
                <w:sz w:val="19"/>
              </w:rPr>
              <w:t>team_rework_count</w:t>
            </w:r>
          </w:p>
        </w:tc>
        <w:tc>
          <w:tcPr>
            <w:tcW w:type="dxa" w:w="1425"/>
            <w:vAlign w:val="center"/>
          </w:tcPr>
          <w:p>
            <w:pPr>
              <w:jc w:val="left"/>
            </w:pPr>
            <w:r/>
            <w:r>
              <w:rPr>
                <w:rFonts w:ascii="Arial" w:hAnsi="Arial"/>
                <w:b w:val="0"/>
                <w:sz w:val="19"/>
              </w:rPr>
              <w:t>Mức rất thấp / đạt chuẩn = 10đ; trung bình = 6đ; cao = 0–3đ</w:t>
            </w:r>
          </w:p>
        </w:tc>
        <w:tc>
          <w:tcPr>
            <w:tcW w:type="dxa" w:w="1425"/>
            <w:vAlign w:val="center"/>
          </w:tcPr>
          <w:p>
            <w:pPr>
              <w:jc w:val="left"/>
            </w:pPr>
            <w:r/>
            <w:r>
              <w:rPr>
                <w:rFonts w:ascii="Arial" w:hAnsi="Arial"/>
                <w:b w:val="0"/>
                <w:sz w:val="19"/>
              </w:rPr>
              <w:t>Quản lý kỹ thuật phải giữ chất lượng đầu ra, không để hàng sửa đi sửa lại nhiều.</w:t>
            </w:r>
          </w:p>
        </w:tc>
      </w:tr>
      <w:tr>
        <w:tc>
          <w:tcPr>
            <w:tcW w:type="dxa" w:w="1425"/>
            <w:vAlign w:val="center"/>
          </w:tcPr>
          <w:p>
            <w:pPr>
              <w:jc w:val="left"/>
            </w:pPr>
            <w:r/>
            <w:r>
              <w:rPr>
                <w:rFonts w:ascii="Arial" w:hAnsi="Arial"/>
                <w:b w:val="0"/>
                <w:sz w:val="19"/>
              </w:rPr>
              <w:t>5</w:t>
            </w:r>
          </w:p>
        </w:tc>
        <w:tc>
          <w:tcPr>
            <w:tcW w:type="dxa" w:w="1425"/>
            <w:vAlign w:val="center"/>
          </w:tcPr>
          <w:p>
            <w:pPr>
              <w:jc w:val="left"/>
            </w:pPr>
            <w:r/>
            <w:r>
              <w:rPr>
                <w:rFonts w:ascii="Arial" w:hAnsi="Arial"/>
                <w:b w:val="0"/>
                <w:sz w:val="19"/>
              </w:rPr>
              <w:t>Feedback không hài lòng liên quan đến kỹ thuật</w:t>
            </w:r>
          </w:p>
        </w:tc>
        <w:tc>
          <w:tcPr>
            <w:tcW w:type="dxa" w:w="1425"/>
            <w:vAlign w:val="center"/>
          </w:tcPr>
          <w:p>
            <w:pPr>
              <w:jc w:val="left"/>
            </w:pPr>
            <w:r/>
            <w:r>
              <w:rPr>
                <w:rFonts w:ascii="Arial" w:hAnsi="Arial"/>
                <w:b w:val="0"/>
                <w:sz w:val="19"/>
              </w:rPr>
              <w:t>10</w:t>
            </w:r>
          </w:p>
        </w:tc>
        <w:tc>
          <w:tcPr>
            <w:tcW w:type="dxa" w:w="1425"/>
            <w:vAlign w:val="center"/>
          </w:tcPr>
          <w:p>
            <w:pPr>
              <w:jc w:val="left"/>
            </w:pPr>
            <w:r/>
            <w:r>
              <w:rPr>
                <w:rFonts w:ascii="Arial" w:hAnsi="Arial"/>
                <w:b w:val="0"/>
                <w:sz w:val="19"/>
              </w:rPr>
              <w:t>Hybrid/Manual</w:t>
            </w:r>
          </w:p>
        </w:tc>
        <w:tc>
          <w:tcPr>
            <w:tcW w:type="dxa" w:w="1425"/>
            <w:vAlign w:val="center"/>
          </w:tcPr>
          <w:p>
            <w:pPr>
              <w:jc w:val="left"/>
            </w:pPr>
            <w:r/>
            <w:r>
              <w:rPr>
                <w:rFonts w:ascii="Arial" w:hAnsi="Arial"/>
                <w:b w:val="0"/>
                <w:sz w:val="19"/>
              </w:rPr>
              <w:t>team_bad_feedback_count</w:t>
            </w:r>
          </w:p>
        </w:tc>
        <w:tc>
          <w:tcPr>
            <w:tcW w:type="dxa" w:w="1425"/>
            <w:vAlign w:val="center"/>
          </w:tcPr>
          <w:p>
            <w:pPr>
              <w:jc w:val="left"/>
            </w:pPr>
            <w:r/>
            <w:r>
              <w:rPr>
                <w:rFonts w:ascii="Arial" w:hAnsi="Arial"/>
                <w:b w:val="0"/>
                <w:sz w:val="19"/>
              </w:rPr>
              <w:t>0 case = 10đ; 1 case nhẹ = 7đ; 2 case = 4đ; từ 3 case trở lên = 0đ</w:t>
            </w:r>
          </w:p>
        </w:tc>
        <w:tc>
          <w:tcPr>
            <w:tcW w:type="dxa" w:w="1425"/>
            <w:vAlign w:val="center"/>
          </w:tcPr>
          <w:p>
            <w:pPr>
              <w:jc w:val="left"/>
            </w:pPr>
            <w:r/>
            <w:r>
              <w:rPr>
                <w:rFonts w:ascii="Arial" w:hAnsi="Arial"/>
                <w:b w:val="0"/>
                <w:sz w:val="19"/>
              </w:rPr>
              <w:t>Phản ánh chất lượng thật từ phía khách hàng.</w:t>
            </w:r>
          </w:p>
        </w:tc>
      </w:tr>
      <w:tr>
        <w:tc>
          <w:tcPr>
            <w:tcW w:type="dxa" w:w="1425"/>
            <w:vAlign w:val="center"/>
          </w:tcPr>
          <w:p>
            <w:pPr>
              <w:jc w:val="left"/>
            </w:pPr>
            <w:r/>
            <w:r>
              <w:rPr>
                <w:rFonts w:ascii="Arial" w:hAnsi="Arial"/>
                <w:b w:val="0"/>
                <w:sz w:val="19"/>
              </w:rPr>
              <w:t>6</w:t>
            </w:r>
          </w:p>
        </w:tc>
        <w:tc>
          <w:tcPr>
            <w:tcW w:type="dxa" w:w="1425"/>
            <w:vAlign w:val="center"/>
          </w:tcPr>
          <w:p>
            <w:pPr>
              <w:jc w:val="left"/>
            </w:pPr>
            <w:r/>
            <w:r>
              <w:rPr>
                <w:rFonts w:ascii="Arial" w:hAnsi="Arial"/>
                <w:b w:val="0"/>
                <w:sz w:val="19"/>
              </w:rPr>
              <w:t>Lỗi chất lượng nghiêm trọng</w:t>
            </w:r>
          </w:p>
        </w:tc>
        <w:tc>
          <w:tcPr>
            <w:tcW w:type="dxa" w:w="1425"/>
            <w:vAlign w:val="center"/>
          </w:tcPr>
          <w:p>
            <w:pPr>
              <w:jc w:val="left"/>
            </w:pPr>
            <w:r/>
            <w:r>
              <w:rPr>
                <w:rFonts w:ascii="Arial" w:hAnsi="Arial"/>
                <w:b w:val="0"/>
                <w:sz w:val="19"/>
              </w:rPr>
              <w:t>10</w:t>
            </w:r>
          </w:p>
        </w:tc>
        <w:tc>
          <w:tcPr>
            <w:tcW w:type="dxa" w:w="1425"/>
            <w:vAlign w:val="center"/>
          </w:tcPr>
          <w:p>
            <w:pPr>
              <w:jc w:val="left"/>
            </w:pPr>
            <w:r/>
            <w:r>
              <w:rPr>
                <w:rFonts w:ascii="Arial" w:hAnsi="Arial"/>
                <w:b w:val="0"/>
                <w:sz w:val="19"/>
              </w:rPr>
              <w:t>Manual/Hybrid</w:t>
            </w:r>
          </w:p>
        </w:tc>
        <w:tc>
          <w:tcPr>
            <w:tcW w:type="dxa" w:w="1425"/>
            <w:vAlign w:val="center"/>
          </w:tcPr>
          <w:p>
            <w:pPr>
              <w:jc w:val="left"/>
            </w:pPr>
            <w:r/>
            <w:r>
              <w:rPr>
                <w:rFonts w:ascii="Arial" w:hAnsi="Arial"/>
                <w:b w:val="0"/>
                <w:sz w:val="19"/>
              </w:rPr>
              <w:t>team_critical_quality_error_count</w:t>
            </w:r>
          </w:p>
        </w:tc>
        <w:tc>
          <w:tcPr>
            <w:tcW w:type="dxa" w:w="1425"/>
            <w:vAlign w:val="center"/>
          </w:tcPr>
          <w:p>
            <w:pPr>
              <w:jc w:val="left"/>
            </w:pPr>
            <w:r/>
            <w:r>
              <w:rPr>
                <w:rFonts w:ascii="Arial" w:hAnsi="Arial"/>
                <w:b w:val="0"/>
                <w:sz w:val="19"/>
              </w:rPr>
              <w:t>Không có lỗi = 10đ; có 1 lỗi nghiêm trọng = 0đ mục này</w:t>
            </w:r>
          </w:p>
        </w:tc>
        <w:tc>
          <w:tcPr>
            <w:tcW w:type="dxa" w:w="1425"/>
            <w:vAlign w:val="center"/>
          </w:tcPr>
          <w:p>
            <w:pPr>
              <w:jc w:val="left"/>
            </w:pPr>
            <w:r/>
            <w:r>
              <w:rPr>
                <w:rFonts w:ascii="Arial" w:hAnsi="Arial"/>
                <w:b w:val="0"/>
                <w:sz w:val="19"/>
              </w:rPr>
              <w:t>Ví dụ sai màu nặng, làm hỏng thêm, giấu lỗi, bàn giao sản phẩm lỗi nặng.</w:t>
            </w:r>
          </w:p>
        </w:tc>
      </w:tr>
    </w:tbl>
    <w:p/>
    <w:p>
      <w:pPr>
        <w:pStyle w:val="Heading2"/>
      </w:pPr>
      <w:r>
        <w:rPr>
          <w:b/>
          <w:sz w:val="23"/>
        </w:rPr>
        <w:t>III. Điều phối và kiểm soát quy trình</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EAF4EA"/>
          </w:tcPr>
          <w:p>
            <w:pPr>
              <w:jc w:val="left"/>
            </w:pPr>
            <w:r/>
            <w:r>
              <w:rPr>
                <w:rFonts w:ascii="Arial" w:hAnsi="Arial"/>
                <w:b/>
                <w:sz w:val="20"/>
              </w:rPr>
              <w:t>STT</w:t>
            </w:r>
          </w:p>
        </w:tc>
        <w:tc>
          <w:tcPr>
            <w:tcW w:type="dxa" w:w="1425"/>
            <w:vAlign w:val="center"/>
            <w:shd w:fill="EAF4EA"/>
          </w:tcPr>
          <w:p>
            <w:pPr>
              <w:jc w:val="left"/>
            </w:pPr>
            <w:r/>
            <w:r>
              <w:rPr>
                <w:rFonts w:ascii="Arial" w:hAnsi="Arial"/>
                <w:b/>
                <w:sz w:val="20"/>
              </w:rPr>
              <w:t>Chỉ tiêu</w:t>
            </w:r>
          </w:p>
        </w:tc>
        <w:tc>
          <w:tcPr>
            <w:tcW w:type="dxa" w:w="1425"/>
            <w:vAlign w:val="center"/>
            <w:shd w:fill="EAF4EA"/>
          </w:tcPr>
          <w:p>
            <w:pPr>
              <w:jc w:val="left"/>
            </w:pPr>
            <w:r/>
            <w:r>
              <w:rPr>
                <w:rFonts w:ascii="Arial" w:hAnsi="Arial"/>
                <w:b/>
                <w:sz w:val="20"/>
              </w:rPr>
              <w:t>Trọng số</w:t>
            </w:r>
          </w:p>
        </w:tc>
        <w:tc>
          <w:tcPr>
            <w:tcW w:type="dxa" w:w="1425"/>
            <w:vAlign w:val="center"/>
            <w:shd w:fill="EAF4EA"/>
          </w:tcPr>
          <w:p>
            <w:pPr>
              <w:jc w:val="left"/>
            </w:pPr>
            <w:r/>
            <w:r>
              <w:rPr>
                <w:rFonts w:ascii="Arial" w:hAnsi="Arial"/>
                <w:b/>
                <w:sz w:val="20"/>
              </w:rPr>
              <w:t>Nguồn DL</w:t>
            </w:r>
          </w:p>
        </w:tc>
        <w:tc>
          <w:tcPr>
            <w:tcW w:type="dxa" w:w="1425"/>
            <w:vAlign w:val="center"/>
            <w:shd w:fill="EAF4EA"/>
          </w:tcPr>
          <w:p>
            <w:pPr>
              <w:jc w:val="left"/>
            </w:pPr>
            <w:r/>
            <w:r>
              <w:rPr>
                <w:rFonts w:ascii="Arial" w:hAnsi="Arial"/>
                <w:b/>
                <w:sz w:val="20"/>
              </w:rPr>
              <w:t>Source key</w:t>
            </w:r>
          </w:p>
        </w:tc>
        <w:tc>
          <w:tcPr>
            <w:tcW w:type="dxa" w:w="1425"/>
            <w:vAlign w:val="center"/>
            <w:shd w:fill="EAF4EA"/>
          </w:tcPr>
          <w:p>
            <w:pPr>
              <w:jc w:val="left"/>
            </w:pPr>
            <w:r/>
            <w:r>
              <w:rPr>
                <w:rFonts w:ascii="Arial" w:hAnsi="Arial"/>
                <w:b/>
                <w:sz w:val="20"/>
              </w:rPr>
              <w:t>Cách chấm gợi ý</w:t>
            </w:r>
          </w:p>
        </w:tc>
        <w:tc>
          <w:tcPr>
            <w:tcW w:type="dxa" w:w="1425"/>
            <w:vAlign w:val="center"/>
            <w:shd w:fill="EAF4EA"/>
          </w:tcPr>
          <w:p>
            <w:pPr>
              <w:jc w:val="left"/>
            </w:pPr>
            <w:r/>
            <w:r>
              <w:rPr>
                <w:rFonts w:ascii="Arial" w:hAnsi="Arial"/>
                <w:b/>
                <w:sz w:val="20"/>
              </w:rPr>
              <w:t>Ghi chú</w:t>
            </w:r>
          </w:p>
        </w:tc>
      </w:tr>
      <w:tr>
        <w:tc>
          <w:tcPr>
            <w:tcW w:type="dxa" w:w="1425"/>
            <w:vAlign w:val="center"/>
          </w:tcPr>
          <w:p>
            <w:pPr>
              <w:jc w:val="left"/>
            </w:pPr>
            <w:r/>
            <w:r>
              <w:rPr>
                <w:rFonts w:ascii="Arial" w:hAnsi="Arial"/>
                <w:b w:val="0"/>
                <w:sz w:val="19"/>
              </w:rPr>
              <w:t>7</w:t>
            </w:r>
          </w:p>
        </w:tc>
        <w:tc>
          <w:tcPr>
            <w:tcW w:type="dxa" w:w="1425"/>
            <w:vAlign w:val="center"/>
          </w:tcPr>
          <w:p>
            <w:pPr>
              <w:jc w:val="left"/>
            </w:pPr>
            <w:r/>
            <w:r>
              <w:rPr>
                <w:rFonts w:ascii="Arial" w:hAnsi="Arial"/>
                <w:b w:val="0"/>
                <w:sz w:val="19"/>
              </w:rPr>
              <w:t>Phân việc / điều phối đơn hợp lý</w:t>
            </w:r>
          </w:p>
        </w:tc>
        <w:tc>
          <w:tcPr>
            <w:tcW w:type="dxa" w:w="1425"/>
            <w:vAlign w:val="center"/>
          </w:tcPr>
          <w:p>
            <w:pPr>
              <w:jc w:val="left"/>
            </w:pPr>
            <w:r/>
            <w:r>
              <w:rPr>
                <w:rFonts w:ascii="Arial" w:hAnsi="Arial"/>
                <w:b w:val="0"/>
                <w:sz w:val="19"/>
              </w:rPr>
              <w:t>10</w:t>
            </w:r>
          </w:p>
        </w:tc>
        <w:tc>
          <w:tcPr>
            <w:tcW w:type="dxa" w:w="1425"/>
            <w:vAlign w:val="center"/>
          </w:tcPr>
          <w:p>
            <w:pPr>
              <w:jc w:val="left"/>
            </w:pPr>
            <w:r/>
            <w:r>
              <w:rPr>
                <w:rFonts w:ascii="Arial" w:hAnsi="Arial"/>
                <w:b w:val="0"/>
                <w:sz w:val="19"/>
              </w:rPr>
              <w:t>Manual</w:t>
            </w:r>
          </w:p>
        </w:tc>
        <w:tc>
          <w:tcPr>
            <w:tcW w:type="dxa" w:w="1425"/>
            <w:vAlign w:val="center"/>
          </w:tcPr>
          <w:p>
            <w:pPr>
              <w:jc w:val="left"/>
            </w:pPr>
            <w:r/>
            <w:r>
              <w:rPr>
                <w:rFonts w:ascii="Arial" w:hAnsi="Arial"/>
                <w:b w:val="0"/>
                <w:sz w:val="19"/>
              </w:rPr>
              <w:t>technical_assignment_management_score</w:t>
            </w:r>
          </w:p>
        </w:tc>
        <w:tc>
          <w:tcPr>
            <w:tcW w:type="dxa" w:w="1425"/>
            <w:vAlign w:val="center"/>
          </w:tcPr>
          <w:p>
            <w:pPr>
              <w:jc w:val="left"/>
            </w:pPr>
            <w:r/>
            <w:r>
              <w:rPr>
                <w:rFonts w:ascii="Arial" w:hAnsi="Arial"/>
                <w:b w:val="0"/>
                <w:sz w:val="19"/>
              </w:rPr>
              <w:t>Điều phối tốt = 10đ; có lỗi nhẹ = 7đ; gây nghẽn nhiều = 0–4đ</w:t>
            </w:r>
          </w:p>
        </w:tc>
        <w:tc>
          <w:tcPr>
            <w:tcW w:type="dxa" w:w="1425"/>
            <w:vAlign w:val="center"/>
          </w:tcPr>
          <w:p>
            <w:pPr>
              <w:jc w:val="left"/>
            </w:pPr>
            <w:r/>
            <w:r>
              <w:rPr>
                <w:rFonts w:ascii="Arial" w:hAnsi="Arial"/>
                <w:b w:val="0"/>
                <w:sz w:val="19"/>
              </w:rPr>
              <w:t>Biết chia việc đúng người, đúng độ khó, đúng tiến độ.</w:t>
            </w:r>
          </w:p>
        </w:tc>
      </w:tr>
      <w:tr>
        <w:tc>
          <w:tcPr>
            <w:tcW w:type="dxa" w:w="1425"/>
            <w:vAlign w:val="center"/>
          </w:tcPr>
          <w:p>
            <w:pPr>
              <w:jc w:val="left"/>
            </w:pPr>
            <w:r/>
            <w:r>
              <w:rPr>
                <w:rFonts w:ascii="Arial" w:hAnsi="Arial"/>
                <w:b w:val="0"/>
                <w:sz w:val="19"/>
              </w:rPr>
              <w:t>8</w:t>
            </w:r>
          </w:p>
        </w:tc>
        <w:tc>
          <w:tcPr>
            <w:tcW w:type="dxa" w:w="1425"/>
            <w:vAlign w:val="center"/>
          </w:tcPr>
          <w:p>
            <w:pPr>
              <w:jc w:val="left"/>
            </w:pPr>
            <w:r/>
            <w:r>
              <w:rPr>
                <w:rFonts w:ascii="Arial" w:hAnsi="Arial"/>
                <w:b w:val="0"/>
                <w:sz w:val="19"/>
              </w:rPr>
              <w:t>Xử lý phát sinh, gia hạn, phối hợp nội bộ</w:t>
            </w:r>
          </w:p>
        </w:tc>
        <w:tc>
          <w:tcPr>
            <w:tcW w:type="dxa" w:w="1425"/>
            <w:vAlign w:val="center"/>
          </w:tcPr>
          <w:p>
            <w:pPr>
              <w:jc w:val="left"/>
            </w:pPr>
            <w:r/>
            <w:r>
              <w:rPr>
                <w:rFonts w:ascii="Arial" w:hAnsi="Arial"/>
                <w:b w:val="0"/>
                <w:sz w:val="19"/>
              </w:rPr>
              <w:t>5</w:t>
            </w:r>
          </w:p>
        </w:tc>
        <w:tc>
          <w:tcPr>
            <w:tcW w:type="dxa" w:w="1425"/>
            <w:vAlign w:val="center"/>
          </w:tcPr>
          <w:p>
            <w:pPr>
              <w:jc w:val="left"/>
            </w:pPr>
            <w:r/>
            <w:r>
              <w:rPr>
                <w:rFonts w:ascii="Arial" w:hAnsi="Arial"/>
                <w:b w:val="0"/>
                <w:sz w:val="19"/>
              </w:rPr>
              <w:t>Hybrid/Manual</w:t>
            </w:r>
          </w:p>
        </w:tc>
        <w:tc>
          <w:tcPr>
            <w:tcW w:type="dxa" w:w="1425"/>
            <w:vAlign w:val="center"/>
          </w:tcPr>
          <w:p>
            <w:pPr>
              <w:jc w:val="left"/>
            </w:pPr>
            <w:r/>
            <w:r>
              <w:rPr>
                <w:rFonts w:ascii="Arial" w:hAnsi="Arial"/>
                <w:b w:val="0"/>
                <w:sz w:val="19"/>
              </w:rPr>
              <w:t>technical_issue_handling_score</w:t>
            </w:r>
          </w:p>
        </w:tc>
        <w:tc>
          <w:tcPr>
            <w:tcW w:type="dxa" w:w="1425"/>
            <w:vAlign w:val="center"/>
          </w:tcPr>
          <w:p>
            <w:pPr>
              <w:jc w:val="left"/>
            </w:pPr>
            <w:r/>
            <w:r>
              <w:rPr>
                <w:rFonts w:ascii="Arial" w:hAnsi="Arial"/>
                <w:b w:val="0"/>
                <w:sz w:val="19"/>
              </w:rPr>
              <w:t>Xử lý tốt = 5đ; chậm / thiếu chủ động = 2–3đ; kém = 0đ</w:t>
            </w:r>
          </w:p>
        </w:tc>
        <w:tc>
          <w:tcPr>
            <w:tcW w:type="dxa" w:w="1425"/>
            <w:vAlign w:val="center"/>
          </w:tcPr>
          <w:p>
            <w:pPr>
              <w:jc w:val="left"/>
            </w:pPr>
            <w:r/>
            <w:r>
              <w:rPr>
                <w:rFonts w:ascii="Arial" w:hAnsi="Arial"/>
                <w:b w:val="0"/>
                <w:sz w:val="19"/>
              </w:rPr>
              <w:t>Khi có case khó, thiếu vật liệu, xin gia hạn, đổi hướng xử lý phải báo và xử lý gọn.</w:t>
            </w:r>
          </w:p>
        </w:tc>
      </w:tr>
      <w:tr>
        <w:tc>
          <w:tcPr>
            <w:tcW w:type="dxa" w:w="1425"/>
            <w:vAlign w:val="center"/>
          </w:tcPr>
          <w:p>
            <w:pPr>
              <w:jc w:val="left"/>
            </w:pPr>
            <w:r/>
            <w:r>
              <w:rPr>
                <w:rFonts w:ascii="Arial" w:hAnsi="Arial"/>
                <w:b w:val="0"/>
                <w:sz w:val="19"/>
              </w:rPr>
              <w:t>9</w:t>
            </w:r>
          </w:p>
        </w:tc>
        <w:tc>
          <w:tcPr>
            <w:tcW w:type="dxa" w:w="1425"/>
            <w:vAlign w:val="center"/>
          </w:tcPr>
          <w:p>
            <w:pPr>
              <w:jc w:val="left"/>
            </w:pPr>
            <w:r/>
            <w:r>
              <w:rPr>
                <w:rFonts w:ascii="Arial" w:hAnsi="Arial"/>
                <w:b w:val="0"/>
                <w:sz w:val="19"/>
              </w:rPr>
              <w:t>Tuân thủ quy trình kỹ thuật của toàn bộ phận</w:t>
            </w:r>
          </w:p>
        </w:tc>
        <w:tc>
          <w:tcPr>
            <w:tcW w:type="dxa" w:w="1425"/>
            <w:vAlign w:val="center"/>
          </w:tcPr>
          <w:p>
            <w:pPr>
              <w:jc w:val="left"/>
            </w:pPr>
            <w:r/>
            <w:r>
              <w:rPr>
                <w:rFonts w:ascii="Arial" w:hAnsi="Arial"/>
                <w:b w:val="0"/>
                <w:sz w:val="19"/>
              </w:rPr>
              <w:t>5</w:t>
            </w:r>
          </w:p>
        </w:tc>
        <w:tc>
          <w:tcPr>
            <w:tcW w:type="dxa" w:w="1425"/>
            <w:vAlign w:val="center"/>
          </w:tcPr>
          <w:p>
            <w:pPr>
              <w:jc w:val="left"/>
            </w:pPr>
            <w:r/>
            <w:r>
              <w:rPr>
                <w:rFonts w:ascii="Arial" w:hAnsi="Arial"/>
                <w:b w:val="0"/>
                <w:sz w:val="19"/>
              </w:rPr>
              <w:t>Manual/Hybrid</w:t>
            </w:r>
          </w:p>
        </w:tc>
        <w:tc>
          <w:tcPr>
            <w:tcW w:type="dxa" w:w="1425"/>
            <w:vAlign w:val="center"/>
          </w:tcPr>
          <w:p>
            <w:pPr>
              <w:jc w:val="left"/>
            </w:pPr>
            <w:r/>
            <w:r>
              <w:rPr>
                <w:rFonts w:ascii="Arial" w:hAnsi="Arial"/>
                <w:b w:val="0"/>
                <w:sz w:val="19"/>
              </w:rPr>
              <w:t>team_technical_process_compliance_score</w:t>
            </w:r>
          </w:p>
        </w:tc>
        <w:tc>
          <w:tcPr>
            <w:tcW w:type="dxa" w:w="1425"/>
            <w:vAlign w:val="center"/>
          </w:tcPr>
          <w:p>
            <w:pPr>
              <w:jc w:val="left"/>
            </w:pPr>
            <w:r/>
            <w:r>
              <w:rPr>
                <w:rFonts w:ascii="Arial" w:hAnsi="Arial"/>
                <w:b w:val="0"/>
                <w:sz w:val="19"/>
              </w:rPr>
              <w:t>Tuân thủ tốt = 5đ; có lỗi nhẹ = 3đ; vi phạm nhiều = 0đ</w:t>
            </w:r>
          </w:p>
        </w:tc>
        <w:tc>
          <w:tcPr>
            <w:tcW w:type="dxa" w:w="1425"/>
            <w:vAlign w:val="center"/>
          </w:tcPr>
          <w:p>
            <w:pPr>
              <w:jc w:val="left"/>
            </w:pPr>
            <w:r/>
            <w:r>
              <w:rPr>
                <w:rFonts w:ascii="Arial" w:hAnsi="Arial"/>
                <w:b w:val="0"/>
                <w:sz w:val="19"/>
              </w:rPr>
              <w:t>Giữ chuẩn quy trình chung, không để nhân sự làm ẩu, bỏ bước, sai checklist.</w:t>
            </w:r>
          </w:p>
        </w:tc>
      </w:tr>
    </w:tbl>
    <w:p/>
    <w:p>
      <w:pPr>
        <w:pStyle w:val="Heading2"/>
      </w:pPr>
      <w:r>
        <w:rPr>
          <w:b/>
          <w:sz w:val="23"/>
        </w:rPr>
        <w:t>IV. Đào tạo và con người</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EAF4EA"/>
          </w:tcPr>
          <w:p>
            <w:pPr>
              <w:jc w:val="left"/>
            </w:pPr>
            <w:r/>
            <w:r>
              <w:rPr>
                <w:rFonts w:ascii="Arial" w:hAnsi="Arial"/>
                <w:b/>
                <w:sz w:val="20"/>
              </w:rPr>
              <w:t>STT</w:t>
            </w:r>
          </w:p>
        </w:tc>
        <w:tc>
          <w:tcPr>
            <w:tcW w:type="dxa" w:w="1425"/>
            <w:vAlign w:val="center"/>
            <w:shd w:fill="EAF4EA"/>
          </w:tcPr>
          <w:p>
            <w:pPr>
              <w:jc w:val="left"/>
            </w:pPr>
            <w:r/>
            <w:r>
              <w:rPr>
                <w:rFonts w:ascii="Arial" w:hAnsi="Arial"/>
                <w:b/>
                <w:sz w:val="20"/>
              </w:rPr>
              <w:t>Chỉ tiêu</w:t>
            </w:r>
          </w:p>
        </w:tc>
        <w:tc>
          <w:tcPr>
            <w:tcW w:type="dxa" w:w="1425"/>
            <w:vAlign w:val="center"/>
            <w:shd w:fill="EAF4EA"/>
          </w:tcPr>
          <w:p>
            <w:pPr>
              <w:jc w:val="left"/>
            </w:pPr>
            <w:r/>
            <w:r>
              <w:rPr>
                <w:rFonts w:ascii="Arial" w:hAnsi="Arial"/>
                <w:b/>
                <w:sz w:val="20"/>
              </w:rPr>
              <w:t>Trọng số</w:t>
            </w:r>
          </w:p>
        </w:tc>
        <w:tc>
          <w:tcPr>
            <w:tcW w:type="dxa" w:w="1425"/>
            <w:vAlign w:val="center"/>
            <w:shd w:fill="EAF4EA"/>
          </w:tcPr>
          <w:p>
            <w:pPr>
              <w:jc w:val="left"/>
            </w:pPr>
            <w:r/>
            <w:r>
              <w:rPr>
                <w:rFonts w:ascii="Arial" w:hAnsi="Arial"/>
                <w:b/>
                <w:sz w:val="20"/>
              </w:rPr>
              <w:t>Nguồn DL</w:t>
            </w:r>
          </w:p>
        </w:tc>
        <w:tc>
          <w:tcPr>
            <w:tcW w:type="dxa" w:w="1425"/>
            <w:vAlign w:val="center"/>
            <w:shd w:fill="EAF4EA"/>
          </w:tcPr>
          <w:p>
            <w:pPr>
              <w:jc w:val="left"/>
            </w:pPr>
            <w:r/>
            <w:r>
              <w:rPr>
                <w:rFonts w:ascii="Arial" w:hAnsi="Arial"/>
                <w:b/>
                <w:sz w:val="20"/>
              </w:rPr>
              <w:t>Source key</w:t>
            </w:r>
          </w:p>
        </w:tc>
        <w:tc>
          <w:tcPr>
            <w:tcW w:type="dxa" w:w="1425"/>
            <w:vAlign w:val="center"/>
            <w:shd w:fill="EAF4EA"/>
          </w:tcPr>
          <w:p>
            <w:pPr>
              <w:jc w:val="left"/>
            </w:pPr>
            <w:r/>
            <w:r>
              <w:rPr>
                <w:rFonts w:ascii="Arial" w:hAnsi="Arial"/>
                <w:b/>
                <w:sz w:val="20"/>
              </w:rPr>
              <w:t>Cách chấm gợi ý</w:t>
            </w:r>
          </w:p>
        </w:tc>
        <w:tc>
          <w:tcPr>
            <w:tcW w:type="dxa" w:w="1425"/>
            <w:vAlign w:val="center"/>
            <w:shd w:fill="EAF4EA"/>
          </w:tcPr>
          <w:p>
            <w:pPr>
              <w:jc w:val="left"/>
            </w:pPr>
            <w:r/>
            <w:r>
              <w:rPr>
                <w:rFonts w:ascii="Arial" w:hAnsi="Arial"/>
                <w:b/>
                <w:sz w:val="20"/>
              </w:rPr>
              <w:t>Ghi chú</w:t>
            </w:r>
          </w:p>
        </w:tc>
      </w:tr>
      <w:tr>
        <w:tc>
          <w:tcPr>
            <w:tcW w:type="dxa" w:w="1425"/>
            <w:vAlign w:val="center"/>
          </w:tcPr>
          <w:p>
            <w:pPr>
              <w:jc w:val="left"/>
            </w:pPr>
            <w:r/>
            <w:r>
              <w:rPr>
                <w:rFonts w:ascii="Arial" w:hAnsi="Arial"/>
                <w:b w:val="0"/>
                <w:sz w:val="19"/>
              </w:rPr>
              <w:t>10</w:t>
            </w:r>
          </w:p>
        </w:tc>
        <w:tc>
          <w:tcPr>
            <w:tcW w:type="dxa" w:w="1425"/>
            <w:vAlign w:val="center"/>
          </w:tcPr>
          <w:p>
            <w:pPr>
              <w:jc w:val="left"/>
            </w:pPr>
            <w:r/>
            <w:r>
              <w:rPr>
                <w:rFonts w:ascii="Arial" w:hAnsi="Arial"/>
                <w:b w:val="0"/>
                <w:sz w:val="19"/>
              </w:rPr>
              <w:t>Kèm cặp / đào tạo kỹ thuật viên</w:t>
            </w:r>
          </w:p>
        </w:tc>
        <w:tc>
          <w:tcPr>
            <w:tcW w:type="dxa" w:w="1425"/>
            <w:vAlign w:val="center"/>
          </w:tcPr>
          <w:p>
            <w:pPr>
              <w:jc w:val="left"/>
            </w:pPr>
            <w:r/>
            <w:r>
              <w:rPr>
                <w:rFonts w:ascii="Arial" w:hAnsi="Arial"/>
                <w:b w:val="0"/>
                <w:sz w:val="19"/>
              </w:rPr>
              <w:t>10</w:t>
            </w:r>
          </w:p>
        </w:tc>
        <w:tc>
          <w:tcPr>
            <w:tcW w:type="dxa" w:w="1425"/>
            <w:vAlign w:val="center"/>
          </w:tcPr>
          <w:p>
            <w:pPr>
              <w:jc w:val="left"/>
            </w:pPr>
            <w:r/>
            <w:r>
              <w:rPr>
                <w:rFonts w:ascii="Arial" w:hAnsi="Arial"/>
                <w:b w:val="0"/>
                <w:sz w:val="19"/>
              </w:rPr>
              <w:t>Manual/Hybrid</w:t>
            </w:r>
          </w:p>
        </w:tc>
        <w:tc>
          <w:tcPr>
            <w:tcW w:type="dxa" w:w="1425"/>
            <w:vAlign w:val="center"/>
          </w:tcPr>
          <w:p>
            <w:pPr>
              <w:jc w:val="left"/>
            </w:pPr>
            <w:r/>
            <w:r>
              <w:rPr>
                <w:rFonts w:ascii="Arial" w:hAnsi="Arial"/>
                <w:b w:val="0"/>
                <w:sz w:val="19"/>
              </w:rPr>
              <w:t>technical_training_completion_score</w:t>
            </w:r>
          </w:p>
        </w:tc>
        <w:tc>
          <w:tcPr>
            <w:tcW w:type="dxa" w:w="1425"/>
            <w:vAlign w:val="center"/>
          </w:tcPr>
          <w:p>
            <w:pPr>
              <w:jc w:val="left"/>
            </w:pPr>
            <w:r/>
            <w:r>
              <w:rPr>
                <w:rFonts w:ascii="Arial" w:hAnsi="Arial"/>
                <w:b w:val="0"/>
                <w:sz w:val="19"/>
              </w:rPr>
              <w:t>Có đào tạo, có kèm cặp, có theo dõi = 10đ; không đều = 5–7đ; gần như không đào tạo = 0–3đ</w:t>
            </w:r>
          </w:p>
        </w:tc>
        <w:tc>
          <w:tcPr>
            <w:tcW w:type="dxa" w:w="1425"/>
            <w:vAlign w:val="center"/>
          </w:tcPr>
          <w:p>
            <w:pPr>
              <w:jc w:val="left"/>
            </w:pPr>
            <w:r/>
            <w:r>
              <w:rPr>
                <w:rFonts w:ascii="Arial" w:hAnsi="Arial"/>
                <w:b w:val="0"/>
                <w:sz w:val="19"/>
              </w:rPr>
              <w:t>Kéo tay nghề đội ngũ đi lên, không chỉ lo chạy đơn.</w:t>
            </w:r>
          </w:p>
        </w:tc>
      </w:tr>
      <w:tr>
        <w:tc>
          <w:tcPr>
            <w:tcW w:type="dxa" w:w="1425"/>
            <w:vAlign w:val="center"/>
          </w:tcPr>
          <w:p>
            <w:pPr>
              <w:jc w:val="left"/>
            </w:pPr>
            <w:r/>
            <w:r>
              <w:rPr>
                <w:rFonts w:ascii="Arial" w:hAnsi="Arial"/>
                <w:b w:val="0"/>
                <w:sz w:val="19"/>
              </w:rPr>
              <w:t>11</w:t>
            </w:r>
          </w:p>
        </w:tc>
        <w:tc>
          <w:tcPr>
            <w:tcW w:type="dxa" w:w="1425"/>
            <w:vAlign w:val="center"/>
          </w:tcPr>
          <w:p>
            <w:pPr>
              <w:jc w:val="left"/>
            </w:pPr>
            <w:r/>
            <w:r>
              <w:rPr>
                <w:rFonts w:ascii="Arial" w:hAnsi="Arial"/>
                <w:b w:val="0"/>
                <w:sz w:val="19"/>
              </w:rPr>
              <w:t>Tác phong / phối hợp nội bộ của bộ phận kỹ thuật</w:t>
            </w:r>
          </w:p>
        </w:tc>
        <w:tc>
          <w:tcPr>
            <w:tcW w:type="dxa" w:w="1425"/>
            <w:vAlign w:val="center"/>
          </w:tcPr>
          <w:p>
            <w:pPr>
              <w:jc w:val="left"/>
            </w:pPr>
            <w:r/>
            <w:r>
              <w:rPr>
                <w:rFonts w:ascii="Arial" w:hAnsi="Arial"/>
                <w:b w:val="0"/>
                <w:sz w:val="19"/>
              </w:rPr>
              <w:t>5</w:t>
            </w:r>
          </w:p>
        </w:tc>
        <w:tc>
          <w:tcPr>
            <w:tcW w:type="dxa" w:w="1425"/>
            <w:vAlign w:val="center"/>
          </w:tcPr>
          <w:p>
            <w:pPr>
              <w:jc w:val="left"/>
            </w:pPr>
            <w:r/>
            <w:r>
              <w:rPr>
                <w:rFonts w:ascii="Arial" w:hAnsi="Arial"/>
                <w:b w:val="0"/>
                <w:sz w:val="19"/>
              </w:rPr>
              <w:t>Manual</w:t>
            </w:r>
          </w:p>
        </w:tc>
        <w:tc>
          <w:tcPr>
            <w:tcW w:type="dxa" w:w="1425"/>
            <w:vAlign w:val="center"/>
          </w:tcPr>
          <w:p>
            <w:pPr>
              <w:jc w:val="left"/>
            </w:pPr>
            <w:r/>
            <w:r>
              <w:rPr>
                <w:rFonts w:ascii="Arial" w:hAnsi="Arial"/>
                <w:b w:val="0"/>
                <w:sz w:val="19"/>
              </w:rPr>
              <w:t>team_conduct_cooperation_score</w:t>
            </w:r>
          </w:p>
        </w:tc>
        <w:tc>
          <w:tcPr>
            <w:tcW w:type="dxa" w:w="1425"/>
            <w:vAlign w:val="center"/>
          </w:tcPr>
          <w:p>
            <w:pPr>
              <w:jc w:val="left"/>
            </w:pPr>
            <w:r/>
            <w:r>
              <w:rPr>
                <w:rFonts w:ascii="Arial" w:hAnsi="Arial"/>
                <w:b w:val="0"/>
                <w:sz w:val="19"/>
              </w:rPr>
              <w:t>Tốt = 5đ; có lỗi nhẹ = 3đ; nhiều phản ánh = 0đ</w:t>
            </w:r>
          </w:p>
        </w:tc>
        <w:tc>
          <w:tcPr>
            <w:tcW w:type="dxa" w:w="1425"/>
            <w:vAlign w:val="center"/>
          </w:tcPr>
          <w:p>
            <w:pPr>
              <w:jc w:val="left"/>
            </w:pPr>
            <w:r/>
            <w:r>
              <w:rPr>
                <w:rFonts w:ascii="Arial" w:hAnsi="Arial"/>
                <w:b w:val="0"/>
                <w:sz w:val="19"/>
              </w:rPr>
              <w:t>Giữ tinh thần làm việc, phối hợp với sale và trong xưởng.</w:t>
            </w:r>
          </w:p>
        </w:tc>
      </w:tr>
    </w:tbl>
    <w:p/>
    <w:p>
      <w:pPr>
        <w:pStyle w:val="Heading1"/>
      </w:pPr>
      <w:r>
        <w:t>5. Thang xếp loại KPI</w:t>
      </w:r>
    </w:p>
    <w:p>
      <w:pPr>
        <w:pStyle w:val="ListBullet"/>
      </w:pPr>
      <w:r>
        <w:t>A+: 95–100 điểm</w:t>
      </w:r>
    </w:p>
    <w:p>
      <w:pPr>
        <w:pStyle w:val="ListBullet"/>
      </w:pPr>
      <w:r>
        <w:t>A: 85–94 điểm</w:t>
      </w:r>
    </w:p>
    <w:p>
      <w:pPr>
        <w:pStyle w:val="ListBullet"/>
      </w:pPr>
      <w:r>
        <w:t>B: 75–84 điểm</w:t>
      </w:r>
    </w:p>
    <w:p>
      <w:pPr>
        <w:pStyle w:val="ListBullet"/>
      </w:pPr>
      <w:r>
        <w:t>C: 65–74 điểm</w:t>
      </w:r>
    </w:p>
    <w:p>
      <w:pPr>
        <w:pStyle w:val="ListBullet"/>
      </w:pPr>
      <w:r>
        <w:t>D: dưới 65 điểm</w:t>
      </w:r>
    </w:p>
    <w:p>
      <w:pPr>
        <w:pStyle w:val="Heading1"/>
      </w:pPr>
      <w:r>
        <w:t>6. Gợi ý cách dùng thực tế</w:t>
      </w:r>
    </w:p>
    <w:p>
      <w:pPr>
        <w:pStyle w:val="ListBullet"/>
      </w:pPr>
      <w:r>
        <w:t>Nếu anh Dũng vẫn trực tiếp làm nghề như kỹ thuật viên chính, hiện tại vẫn nên giữ KPI Kỹ thuật Full-time cho phần cá nhân.</w:t>
      </w:r>
    </w:p>
    <w:p>
      <w:pPr>
        <w:pStyle w:val="ListBullet"/>
      </w:pPr>
      <w:r>
        <w:t>Bộ KPI Quản lý kỹ thuật này nên tạo sẵn dưới dạng policy riêng để dùng khi shop đủ người, hoặc khi cần tách rõ vai trò quản lý khỏi vai trò trực tiếp sản xuất.</w:t>
      </w:r>
    </w:p>
    <w:p>
      <w:pPr>
        <w:pStyle w:val="ListBullet"/>
      </w:pPr>
      <w:r>
        <w:t>Có thể dùng bộ KPI này làm căn cứ xét phần thưởng trách nhiệm quản lý nếu sau này shop áp dụng chính sách riêng cho quản lý kỹ thuật.</w:t>
      </w:r>
    </w:p>
    <w:p>
      <w:pPr>
        <w:pStyle w:val="Heading1"/>
      </w:pPr>
      <w:r>
        <w:t>7. Gợi ý source key/backend để dev chuẩn bị</w:t>
      </w:r>
    </w:p>
    <w:p>
      <w:pPr>
        <w:pStyle w:val="ListBullet"/>
      </w:pPr>
      <w:r>
        <w:t>team_on_time_completion_rate</w:t>
      </w:r>
    </w:p>
    <w:p>
      <w:pPr>
        <w:pStyle w:val="ListBullet"/>
      </w:pPr>
      <w:r>
        <w:t>team_completed_jobs_vs_plan</w:t>
      </w:r>
    </w:p>
    <w:p>
      <w:pPr>
        <w:pStyle w:val="ListBullet"/>
      </w:pPr>
      <w:r>
        <w:t>team_late_jobs_count</w:t>
      </w:r>
    </w:p>
    <w:p>
      <w:pPr>
        <w:pStyle w:val="ListBullet"/>
      </w:pPr>
      <w:r>
        <w:t>team_rework_count</w:t>
      </w:r>
    </w:p>
    <w:p>
      <w:pPr>
        <w:pStyle w:val="ListBullet"/>
      </w:pPr>
      <w:r>
        <w:t>team_bad_feedback_count</w:t>
      </w:r>
    </w:p>
    <w:p>
      <w:pPr>
        <w:pStyle w:val="ListBullet"/>
      </w:pPr>
      <w:r>
        <w:t>team_critical_quality_error_count</w:t>
      </w:r>
    </w:p>
    <w:p>
      <w:pPr>
        <w:pStyle w:val="ListBullet"/>
      </w:pPr>
      <w:r>
        <w:t>technical_assignment_management_score</w:t>
      </w:r>
    </w:p>
    <w:p>
      <w:pPr>
        <w:pStyle w:val="ListBullet"/>
      </w:pPr>
      <w:r>
        <w:t>technical_issue_handling_score</w:t>
      </w:r>
    </w:p>
    <w:p>
      <w:pPr>
        <w:pStyle w:val="ListBullet"/>
      </w:pPr>
      <w:r>
        <w:t>team_technical_process_compliance_score</w:t>
      </w:r>
    </w:p>
    <w:p>
      <w:pPr>
        <w:pStyle w:val="ListBullet"/>
      </w:pPr>
      <w:r>
        <w:t>technical_training_completion_score</w:t>
      </w:r>
    </w:p>
    <w:p>
      <w:pPr>
        <w:pStyle w:val="ListBullet"/>
      </w:pPr>
      <w:r>
        <w:t>team_conduct_cooperation_score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