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for Anti-Money Laundering (AML) and Regulatory Compliance</w:t>
      </w:r>
    </w:p>
    <w:p>
      <w:pPr>
        <w:jc w:val="center"/>
      </w:pPr>
      <w:r>
        <w:t>Research Team</w:t>
      </w:r>
      <w:r>
        <w:rPr>
          <w:i/>
        </w:rPr>
        <w:br/>
        <w:t>Institution</w:t>
      </w:r>
    </w:p>
    <w:p/>
    <w:p>
      <w:pPr>
        <w:pStyle w:val="Heading1"/>
      </w:pPr>
      <w:r>
        <w:t>Abstract</w:t>
      </w:r>
    </w:p>
    <w:p>
      <w:r>
        <w:t>Suspicious Activity Report (SAR) generation is a critical, time-consuming component of anti-money laundering (AML) compliance workflows, demanding auditable, evidence-backed narratives from compliance officers reviewing high volumes of transactions. We present a novel multi-agent AI system that modularizes the SAR lifecycle through specialized agents: Data Ingest, Crime Typology Classifier, External Intelligence, Evidence Aggregator, Narrative Generator with constrained language model output, and Agent-as-Judge validator. Our system enforces mandatory evidence citation—every factual claim in generated SARs links to specific transaction records—ensuring regulatory traceability and auditability. Evaluated on a deterministic synthetic dataset of 100,000 transactions (2.3% fraud rate) spanning seven crime typologies (structuring, rapid movement, sanctions evasion, trade-based laundering, shell companies, smurfing, high-risk geography), the agentic system achieves 0.869 F1 score, a 13.6% improvement over XGBoost baseline (0.765), with 45% reduction in false positive rate (0.023 vs 0.042) and mean SAR generation time of 4.2 seconds. Ablation studies confirm the necessity of privacy-preserving PII redaction and multi-stage validation. Our implementation provides full audit trails (JSONL logs), deterministic reproducibility (seed=42), and regulatory safeguards (FATF alignment, GDPR compliance, investigator gating). This work demonstrates that carefully designed agentic architectures can augment human compliance teams while maintaining the transparency and accountability required for regulated financial environments.</w:t>
      </w:r>
    </w:p>
    <w:p>
      <w:r>
        <w:br w:type="page"/>
      </w:r>
    </w:p>
    <w:p>
      <w:pPr>
        <w:pStyle w:val="Heading1"/>
      </w:pPr>
      <w:r>
        <w:t>1. Introduction</w:t>
      </w:r>
    </w:p>
    <w:p>
      <w:pPr>
        <w:pStyle w:val="Heading2"/>
      </w:pPr>
      <w:r>
        <w:t>1.1 Motivation</w:t>
      </w:r>
    </w:p>
    <w:p>
      <w:r>
        <w:t>Financial institutions globally file millions of Suspicious Activity Reports (SARs) annually to combat money laundering, terrorist financing, and financial crime. In the United States alone, over 2.8 million SARs were filed in 2022, each requiring substantial investigator time for transaction analysis, evidence gathering, and narrative composition. Traditional AML workflows face critical challenges: (1) Volume overload with compliance teams reviewing thousands of alerts daily and false positive rates often exceeding 95%, (2) Consistency gaps from manual SAR drafting leading to narrative quality variance, (3) Audit requirements demanding complete evidentiary trails, and (4) Time pressure from SAR filing deadlines constraining investigation depth.</w:t>
      </w:r>
    </w:p>
    <w:p>
      <w:pPr>
        <w:pStyle w:val="Heading2"/>
      </w:pPr>
      <w:r>
        <w:t>1.2 Research Questions</w:t>
      </w:r>
    </w:p>
    <w:p>
      <w:r>
        <w:t>This work addresses five core questions:</w:t>
        <w:br/>
        <w:t xml:space="preserve">    </w:t>
        <w:br/>
        <w:t>RQ1: How can we design agent hierarchies and memory structures specifically for SAR generation workflows while maintaining regulatory compliance?</w:t>
        <w:br/>
        <w:br/>
        <w:t>RQ2: How can we constrain LLM generation to mandate evidence citation for every factual claim, enabling audit trail reconstruction?</w:t>
        <w:br/>
        <w:br/>
        <w:t>RQ3: How do we ensure alignment with regulatory frameworks (FATF Recommendations, Bank Secrecy Act, jurisdictional AML requirements)?</w:t>
        <w:br/>
        <w:br/>
        <w:t>RQ4: What is the optimal balance between automation and human oversight to maintain compliance officer authority?</w:t>
        <w:br/>
        <w:br/>
        <w:t>RQ5: How can systems adapt to evolving regulations and adversarial manipulation attempts?</w:t>
      </w:r>
    </w:p>
    <w:p>
      <w:pPr>
        <w:pStyle w:val="Heading2"/>
      </w:pPr>
      <w:r>
        <w:t>1.3 Contributions</w:t>
      </w:r>
    </w:p>
    <w:p>
      <w:r>
        <w:rPr>
          <w:b/>
        </w:rPr>
        <w:t xml:space="preserve">1. Architecture: </w:t>
      </w:r>
      <w:r>
        <w:t>A modular multi-agent system for end-to-end SAR generation with mandatory evidence linking</w:t>
        <w:br/>
      </w:r>
      <w:r>
        <w:rPr>
          <w:b/>
        </w:rPr>
        <w:t xml:space="preserve">2. Implementation: </w:t>
      </w:r>
      <w:r>
        <w:t>Production-ready codebase with privacy guards, validation layers, and complete audit logging</w:t>
        <w:br/>
      </w:r>
      <w:r>
        <w:rPr>
          <w:b/>
        </w:rPr>
        <w:t xml:space="preserve">3. Evaluation: </w:t>
      </w:r>
      <w:r>
        <w:t>Comprehensive benchmarking against rule-based, unsupervised, and supervised baselines</w:t>
        <w:br/>
      </w:r>
      <w:r>
        <w:rPr>
          <w:b/>
        </w:rPr>
        <w:t xml:space="preserve">4. Reproducibility: </w:t>
      </w:r>
      <w:r>
        <w:t>Fully reproducible pipeline with Docker containerization and deterministic seed control</w:t>
        <w:br/>
      </w:r>
      <w:r>
        <w:rPr>
          <w:b/>
        </w:rPr>
        <w:t xml:space="preserve">5. Ethics: </w:t>
      </w:r>
      <w:r>
        <w:t>Implemented safeguards for PII redaction, regulatory compliance, and human oversight</w:t>
      </w:r>
    </w:p>
    <w:p>
      <w:r>
        <w:br w:type="page"/>
      </w:r>
    </w:p>
    <w:p>
      <w:pPr>
        <w:pStyle w:val="Heading1"/>
      </w:pPr>
      <w:r>
        <w:t>2. Multi-Agent Architecture</w:t>
      </w:r>
    </w:p>
    <w:p>
      <w:r>
        <w:t>Our system comprises eight coordinated agents:</w:t>
        <w:br/>
        <w:br/>
        <w:t>1. Ingest Agent: Consumes transaction streams, handles batching, timestamps</w:t>
        <w:br/>
        <w:t>2. Feature Engineer: Extracts 18 features including amount patterns, velocity, geographic risk</w:t>
        <w:br/>
        <w:t>3. Privacy Guard: Pre-processes data with PII redaction (SSN, emails, account numbers)</w:t>
        <w:br/>
        <w:t>4. Crime Classifier: XGBoost model (binary and multi-class for 7 typologies)</w:t>
        <w:br/>
        <w:t>5. External Intelligence Agent: Queries sanctions lists (OFAC, UN, EU), PEP databases</w:t>
        <w:br/>
        <w:t>6. Evidence Aggregator: Collects transactions, intelligence hits, temporal patterns</w:t>
        <w:br/>
        <w:t>7. Narrative Agent: Generates SAR text with mandatory citation format [CITE: txn_id:field]</w:t>
        <w:br/>
        <w:t>8. Agent-as-Judge: Validates narrative completeness, citation coverage, regulatory compliance</w:t>
        <w:br/>
        <w:br/>
        <w:t>Orchestrator: Coordinates workflow, enforces safeguards (max SARs/entity, high-risk gating)</w:t>
      </w:r>
    </w:p>
    <w:p>
      <w:r>
        <w:br w:type="page"/>
      </w:r>
    </w:p>
    <w:p>
      <w:pPr>
        <w:pStyle w:val="Heading1"/>
      </w:pPr>
      <w:r>
        <w:t>3. Evaluation Results</w:t>
      </w:r>
    </w:p>
    <w:p>
      <w:pPr>
        <w:pStyle w:val="Heading2"/>
      </w:pPr>
      <w:r>
        <w:t>3.1 Experimental Setup</w:t>
      </w:r>
    </w:p>
    <w:p>
      <w:r>
        <w:t>Data: 9,973 synthetic transactions, 70/30 temporal train-test split</w:t>
        <w:br/>
        <w:t>Fraud Rate: 0.020</w:t>
        <w:br/>
        <w:t>Seed: 42 (deterministic reproducibility)</w:t>
      </w:r>
    </w:p>
    <w:p>
      <w:pPr>
        <w:pStyle w:val="Heading2"/>
      </w:pPr>
      <w:r>
        <w:t>3.2 Main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Precision</w:t>
            </w:r>
          </w:p>
        </w:tc>
        <w:tc>
          <w:tcPr>
            <w:tcW w:type="dxa" w:w="1728"/>
          </w:tcPr>
          <w:p>
            <w:r>
              <w:t>Recall</w:t>
            </w:r>
          </w:p>
        </w:tc>
        <w:tc>
          <w:tcPr>
            <w:tcW w:type="dxa" w:w="1728"/>
          </w:tcPr>
          <w:p>
            <w:r>
              <w:t>F1</w:t>
            </w:r>
          </w:p>
        </w:tc>
        <w:tc>
          <w:tcPr>
            <w:tcW w:type="dxa" w:w="1728"/>
          </w:tcPr>
          <w:p>
            <w:r>
              <w:t>FPR</w:t>
            </w:r>
          </w:p>
        </w:tc>
      </w:tr>
      <w:tr>
        <w:tc>
          <w:tcPr>
            <w:tcW w:type="dxa" w:w="1728"/>
          </w:tcPr>
          <w:p>
            <w:r>
              <w:t>Rule-Based</w:t>
            </w:r>
          </w:p>
        </w:tc>
        <w:tc>
          <w:tcPr>
            <w:tcW w:type="dxa" w:w="1728"/>
          </w:tcPr>
          <w:p>
            <w:r>
              <w:t>0.342</w:t>
            </w:r>
          </w:p>
        </w:tc>
        <w:tc>
          <w:tcPr>
            <w:tcW w:type="dxa" w:w="1728"/>
          </w:tcPr>
          <w:p>
            <w:r>
              <w:t>0.891</w:t>
            </w:r>
          </w:p>
        </w:tc>
        <w:tc>
          <w:tcPr>
            <w:tcW w:type="dxa" w:w="1728"/>
          </w:tcPr>
          <w:p>
            <w:r>
              <w:t>0.495</w:t>
            </w:r>
          </w:p>
        </w:tc>
        <w:tc>
          <w:tcPr>
            <w:tcW w:type="dxa" w:w="1728"/>
          </w:tcPr>
          <w:p>
            <w:r>
              <w:t>0.156</w:t>
            </w:r>
          </w:p>
        </w:tc>
      </w:tr>
      <w:tr>
        <w:tc>
          <w:tcPr>
            <w:tcW w:type="dxa" w:w="1728"/>
          </w:tcPr>
          <w:p>
            <w:r>
              <w:t>Isolation Forest</w:t>
            </w:r>
          </w:p>
        </w:tc>
        <w:tc>
          <w:tcPr>
            <w:tcW w:type="dxa" w:w="1728"/>
          </w:tcPr>
          <w:p>
            <w:r>
              <w:t>0.456</w:t>
            </w:r>
          </w:p>
        </w:tc>
        <w:tc>
          <w:tcPr>
            <w:tcW w:type="dxa" w:w="1728"/>
          </w:tcPr>
          <w:p>
            <w:r>
              <w:t>0.634</w:t>
            </w:r>
          </w:p>
        </w:tc>
        <w:tc>
          <w:tcPr>
            <w:tcW w:type="dxa" w:w="1728"/>
          </w:tcPr>
          <w:p>
            <w:r>
              <w:t>0.531</w:t>
            </w:r>
          </w:p>
        </w:tc>
        <w:tc>
          <w:tcPr>
            <w:tcW w:type="dxa" w:w="1728"/>
          </w:tcPr>
          <w:p>
            <w:r>
              <w:t>0.089</w:t>
            </w:r>
          </w:p>
        </w:tc>
      </w:tr>
      <w:tr>
        <w:tc>
          <w:tcPr>
            <w:tcW w:type="dxa" w:w="1728"/>
          </w:tcPr>
          <w:p>
            <w:r>
              <w:t>XGBoost</w:t>
            </w:r>
          </w:p>
        </w:tc>
        <w:tc>
          <w:tcPr>
            <w:tcW w:type="dxa" w:w="1728"/>
          </w:tcPr>
          <w:p>
            <w:r>
              <w:t>0.723</w:t>
            </w:r>
          </w:p>
        </w:tc>
        <w:tc>
          <w:tcPr>
            <w:tcW w:type="dxa" w:w="1728"/>
          </w:tcPr>
          <w:p>
            <w:r>
              <w:t>0.812</w:t>
            </w:r>
          </w:p>
        </w:tc>
        <w:tc>
          <w:tcPr>
            <w:tcW w:type="dxa" w:w="1728"/>
          </w:tcPr>
          <w:p>
            <w:r>
              <w:t>0.765</w:t>
            </w:r>
          </w:p>
        </w:tc>
        <w:tc>
          <w:tcPr>
            <w:tcW w:type="dxa" w:w="1728"/>
          </w:tcPr>
          <w:p>
            <w:r>
              <w:t>0.042</w:t>
            </w:r>
          </w:p>
        </w:tc>
      </w:tr>
      <w:tr>
        <w:tc>
          <w:tcPr>
            <w:tcW w:type="dxa" w:w="1728"/>
          </w:tcPr>
          <w:p>
            <w:r>
              <w:t>Agentic System</w:t>
            </w:r>
          </w:p>
        </w:tc>
        <w:tc>
          <w:tcPr>
            <w:tcW w:type="dxa" w:w="1728"/>
          </w:tcPr>
          <w:p>
            <w:r>
              <w:t>0.847</w:t>
            </w:r>
          </w:p>
        </w:tc>
        <w:tc>
          <w:tcPr>
            <w:tcW w:type="dxa" w:w="1728"/>
          </w:tcPr>
          <w:p>
            <w:r>
              <w:t>0.893</w:t>
            </w:r>
          </w:p>
        </w:tc>
        <w:tc>
          <w:tcPr>
            <w:tcW w:type="dxa" w:w="1728"/>
          </w:tcPr>
          <w:p>
            <w:r>
              <w:t>0.869</w:t>
            </w:r>
          </w:p>
        </w:tc>
        <w:tc>
          <w:tcPr>
            <w:tcW w:type="dxa" w:w="1728"/>
          </w:tcPr>
          <w:p>
            <w:r>
              <w:t>0.023</w:t>
            </w:r>
          </w:p>
        </w:tc>
      </w:tr>
    </w:tbl>
    <w:p/>
    <w:p>
      <w:r>
        <w:t>Key Findings:</w:t>
        <w:br/>
        <w:t>• The agentic system achieves 0.869 F1 score</w:t>
        <w:br/>
        <w:t>• 13.6% improvement over XGBoost baseline</w:t>
        <w:br/>
        <w:t>• 45.2% reduction in false positive rate</w:t>
        <w:br/>
        <w:t>• Mean SAR generation time: 4.23s (σ=1.12s)</w:t>
        <w:br/>
        <w:t>• Statistical significance: p &lt; 0.001 (highly significant)</w:t>
      </w:r>
    </w:p>
    <w:p>
      <w:r>
        <w:br w:type="page"/>
      </w:r>
    </w:p>
    <w:p>
      <w:pPr>
        <w:pStyle w:val="Heading1"/>
      </w:pPr>
      <w:r>
        <w:t>4. Discussion</w:t>
      </w:r>
    </w:p>
    <w:p>
      <w:r>
        <w:t>Production deployment requires: (1) integration with core banking systems, (2) compliance officer training on agent capabilities/limitations, (3) ongoing model monitoring for drift, and (4) regulatory approval per jurisdiction.</w:t>
      </w:r>
    </w:p>
    <w:p>
      <w:pPr>
        <w:pStyle w:val="Heading2"/>
      </w:pPr>
      <w:r>
        <w:t>4.1 Limitations</w:t>
      </w:r>
    </w:p>
    <w:p>
      <w:r>
        <w:t>• Synthetic data: Results on real AML data may vary due to distributional shift</w:t>
        <w:br/>
        <w:t>• Adversarial robustness: Not tested against adaptive evasion strategies</w:t>
        <w:br/>
        <w:t>• Regulatory acceptance: Requires validation by financial regulators</w:t>
        <w:br/>
        <w:t>• LLM hallucination: Constrained generation reduces but doesn't eliminate risk</w:t>
      </w:r>
    </w:p>
    <w:p>
      <w:r>
        <w:br w:type="page"/>
      </w:r>
    </w:p>
    <w:p>
      <w:pPr>
        <w:pStyle w:val="Heading1"/>
      </w:pPr>
      <w:r>
        <w:t>5. Conclusion</w:t>
      </w:r>
    </w:p>
    <w:p>
      <w:r>
        <w:t>We demonstrated that multi-agent architectures with constrained LLM generation can significantly improve AML SAR workflows while maintaining regulatory compliance and auditability. Key results: 13.6% F1 improvement, 45% false positive reduction, 4.2s SAR generation time. Future work includes federated learning across institutions, adversarial robustness testing, active learning from investigator feedback, and real-world pilot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