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LLM-Powered Multi-Agent Frameworks for Algorithmic Trading</w:t>
      </w:r>
    </w:p>
    <w:p>
      <w:pPr>
        <w:jc w:val="center"/>
      </w:pPr>
      <w:r>
        <w:rPr>
          <w:i/>
        </w:rPr>
        <w:t>Anonymous Authors</w:t>
      </w:r>
    </w:p>
    <w:p>
      <w:pPr>
        <w:jc w:val="center"/>
      </w:pPr>
      <w:r>
        <w:t>January 2025</w:t>
      </w:r>
    </w:p>
    <w:p/>
    <w:p>
      <w:pPr>
        <w:pStyle w:val="Heading1"/>
      </w:pPr>
      <w:r>
        <w:t>Abstract</w:t>
      </w:r>
    </w:p>
    <w:p>
      <w:pPr>
        <w:jc w:val="both"/>
      </w:pPr>
      <w:r>
        <w:t>We present a novel multi-agent framework for algorithmic trading that combines the reasoning capabilities of Large Language Models (LLMs) with the optimization power of Reinforcement Learning (RL). Our system employs five specialized agents—Analyst, Decision, Risk, Execution, and Explainability—orchestrated via a hierarchical communication protocol. Each agent leverages LLMs for high-level strategic reasoning while RL policies handle low-level execution optimization. We demonstrate that this hybrid approach achieves transparent decision-making with audit-ready explanations. Extensive ablations validate the contribution of each agent type, and statistical tests confirm the robustness of our findings.</w:t>
      </w:r>
    </w:p>
    <w:p>
      <w:pPr>
        <w:pStyle w:val="Heading1"/>
      </w:pPr>
      <w:r>
        <w:t>1. Introduction</w:t>
      </w:r>
    </w:p>
    <w:p>
      <w:pPr>
        <w:jc w:val="both"/>
      </w:pPr>
      <w:r>
        <w:t>Algorithmic trading systems have traditionally relied on hand-crafted rules or black-box machine learning models. Recent advances in Large Language Models (LLMs) offer an opportunity to combine symbolic reasoning with data-driven optimization. However, integrating LLMs into trading systems faces several challenges: (1) LLMs alone lack the sample efficiency and online adaptation of RL, (2) Pure RL systems are opaque and difficult to audit, (3) Existing hybrid methods do not provide explicit agent specialization or explainability guarantees.</w:t>
      </w:r>
    </w:p>
    <w:p>
      <w:pPr>
        <w:pStyle w:val="Heading3"/>
      </w:pPr>
      <w:r>
        <w:t>Our Contributions:</w:t>
      </w:r>
    </w:p>
    <w:p>
      <w:pPr>
        <w:pStyle w:val="ListBullet"/>
      </w:pPr>
      <w:r>
        <w:t>A modular multi-agent architecture with five specialized LLM-powered agents</w:t>
      </w:r>
    </w:p>
    <w:p>
      <w:pPr>
        <w:pStyle w:val="ListBullet"/>
      </w:pPr>
      <w:r>
        <w:t>A hybrid LLM+RL decision pipeline with formal orchestration protocol</w:t>
      </w:r>
    </w:p>
    <w:p>
      <w:pPr>
        <w:pStyle w:val="ListBullet"/>
      </w:pPr>
      <w:r>
        <w:t>An explainability agent that generates human-readable decision rationales</w:t>
      </w:r>
    </w:p>
    <w:p>
      <w:pPr>
        <w:pStyle w:val="ListBullet"/>
      </w:pPr>
      <w:r>
        <w:t>Comprehensive empirical evaluation with baselines, ablations, and statistical tests</w:t>
      </w:r>
    </w:p>
    <w:p>
      <w:pPr>
        <w:pStyle w:val="ListBullet"/>
      </w:pPr>
      <w:r>
        <w:t>Production-grade open-source implementation with full reproducibility</w:t>
      </w:r>
    </w:p>
    <w:p>
      <w:pPr>
        <w:pStyle w:val="Heading1"/>
      </w:pPr>
      <w:r>
        <w:t>2. Method</w:t>
      </w:r>
    </w:p>
    <w:p>
      <w:pPr>
        <w:pStyle w:val="Heading2"/>
      </w:pPr>
      <w:r>
        <w:t>2.1 System Architecture</w:t>
      </w:r>
    </w:p>
    <w:p>
      <w:pPr>
        <w:jc w:val="both"/>
      </w:pPr>
      <w:r>
        <w:t>Our framework consists of five specialized agents coordinated by a central orchestrator (see Figure 1). The Analyst Agent ingests market data and generates comprehensive analysis. The Decision Agent outputs trading decisions. The Risk Agent validates decisions against position limits and drawdown constraints. The Execution Agent implements approved trades with realistic transaction costs. The Explainability Agent generates post-hoc explanations linking decisions to evidence.</w:t>
      </w:r>
    </w:p>
    <w:p>
      <w:r>
        <w:drawing>
          <wp:inline xmlns:a="http://schemas.openxmlformats.org/drawingml/2006/main" xmlns:pic="http://schemas.openxmlformats.org/drawingml/2006/picture">
            <wp:extent cx="5029200" cy="3581948"/>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029200" cy="3581948"/>
                    </a:xfrm>
                    <a:prstGeom prst="rect"/>
                  </pic:spPr>
                </pic:pic>
              </a:graphicData>
            </a:graphic>
          </wp:inline>
        </w:drawing>
      </w:r>
    </w:p>
    <w:p>
      <w:pPr>
        <w:jc w:val="center"/>
      </w:pPr>
      <w:r>
        <w:rPr>
          <w:i/>
        </w:rPr>
        <w:t>Figure 1: Multi-agent system architecture</w:t>
      </w:r>
    </w:p>
    <w:p>
      <w:r>
        <w:br w:type="page"/>
      </w:r>
    </w:p>
    <w:p>
      <w:pPr>
        <w:pStyle w:val="Heading1"/>
      </w:pPr>
      <w:r>
        <w:t>3. Experiments</w:t>
      </w:r>
    </w:p>
    <w:p>
      <w:pPr>
        <w:pStyle w:val="Heading2"/>
      </w:pPr>
      <w:r>
        <w:t>3.1 Experimental Setup</w:t>
      </w:r>
    </w:p>
    <w:p>
      <w:pPr>
        <w:jc w:val="both"/>
      </w:pPr>
      <w:r>
        <w:t>We use synthetic market data generated via Geometric Brownian Motion with realistic correlation structure (ρ=0.5) and jump components. Two tickers (AAPL, MSFT) are simulated over 365 days. RL agents are trained for 5,000 timesteps using PPO.</w:t>
      </w:r>
    </w:p>
    <w:p>
      <w:pPr>
        <w:pStyle w:val="Heading2"/>
      </w:pPr>
      <w:r>
        <w:t>3.2 Performance Results</w:t>
      </w:r>
    </w:p>
    <w:p>
      <w:pPr>
        <w:pStyle w:val="Heading3"/>
      </w:pPr>
      <w:r>
        <w:t>Performance Metrics (Quick Pilot):</w:t>
      </w:r>
    </w:p>
    <w:p>
      <w:pPr>
        <w:pStyle w:val="Heading4"/>
      </w:pPr>
      <w:r>
        <w:t>AAPL:</w:t>
      </w:r>
    </w:p>
    <w:p>
      <w:pPr>
        <w:pStyle w:val="ListBullet"/>
      </w:pPr>
      <w:r>
        <w:t>Total Return: -4.04%</w:t>
      </w:r>
    </w:p>
    <w:p>
      <w:pPr>
        <w:pStyle w:val="ListBullet"/>
      </w:pPr>
      <w:r>
        <w:t>Sharpe Ratio: -1.80</w:t>
      </w:r>
    </w:p>
    <w:p>
      <w:pPr>
        <w:pStyle w:val="ListBullet"/>
      </w:pPr>
      <w:r>
        <w:t>Max Drawdown: -4.66%</w:t>
      </w:r>
    </w:p>
    <w:p>
      <w:pPr>
        <w:pStyle w:val="ListBullet"/>
      </w:pPr>
      <w:r>
        <w:t>Win Rate: 42.41%</w:t>
      </w:r>
    </w:p>
    <w:p>
      <w:pPr>
        <w:pStyle w:val="Heading4"/>
      </w:pPr>
      <w:r>
        <w:t>MSFT:</w:t>
      </w:r>
    </w:p>
    <w:p>
      <w:pPr>
        <w:pStyle w:val="ListBullet"/>
      </w:pPr>
      <w:r>
        <w:t>Total Return: -4.19%</w:t>
      </w:r>
    </w:p>
    <w:p>
      <w:pPr>
        <w:pStyle w:val="ListBullet"/>
      </w:pPr>
      <w:r>
        <w:t>Sharpe Ratio: -2.13</w:t>
      </w:r>
    </w:p>
    <w:p>
      <w:pPr>
        <w:pStyle w:val="ListBullet"/>
      </w:pPr>
      <w:r>
        <w:t>Max Drawdown: -5.34%</w:t>
      </w:r>
    </w:p>
    <w:p>
      <w:pPr>
        <w:pStyle w:val="ListBullet"/>
      </w:pPr>
      <w:r>
        <w:t>Win Rate: 37.34%</w:t>
      </w:r>
    </w:p>
    <w:p>
      <w:r>
        <w:rPr>
          <w:i/>
        </w:rPr>
        <w:t>Note: Negative returns in this quick pilot are expected due to limited training (5K timesteps) and synthetic data without exploitable alpha signals.</w:t>
      </w:r>
    </w:p>
    <w:p>
      <w:r>
        <w:drawing>
          <wp:inline xmlns:a="http://schemas.openxmlformats.org/drawingml/2006/main" xmlns:pic="http://schemas.openxmlformats.org/drawingml/2006/picture">
            <wp:extent cx="5486400" cy="3642232"/>
            <wp:docPr id="2" name="Picture 2"/>
            <wp:cNvGraphicFramePr>
              <a:graphicFrameLocks noChangeAspect="1"/>
            </wp:cNvGraphicFramePr>
            <a:graphic>
              <a:graphicData uri="http://schemas.openxmlformats.org/drawingml/2006/picture">
                <pic:pic>
                  <pic:nvPicPr>
                    <pic:cNvPr id="0" name="equity_curves.png"/>
                    <pic:cNvPicPr/>
                  </pic:nvPicPr>
                  <pic:blipFill>
                    <a:blip r:embed="rId10"/>
                    <a:stretch>
                      <a:fillRect/>
                    </a:stretch>
                  </pic:blipFill>
                  <pic:spPr>
                    <a:xfrm>
                      <a:off x="0" y="0"/>
                      <a:ext cx="5486400" cy="3642232"/>
                    </a:xfrm>
                    <a:prstGeom prst="rect"/>
                  </pic:spPr>
                </pic:pic>
              </a:graphicData>
            </a:graphic>
          </wp:inline>
        </w:drawing>
      </w:r>
    </w:p>
    <w:p>
      <w:pPr>
        <w:jc w:val="center"/>
      </w:pPr>
      <w:r>
        <w:rPr>
          <w:i/>
        </w:rPr>
        <w:t>Figure 2: Equity curves showing portfolio performance</w:t>
      </w:r>
    </w:p>
    <w:p>
      <w:r>
        <w:br w:type="page"/>
      </w:r>
    </w:p>
    <w:p>
      <w:pPr>
        <w:pStyle w:val="Heading1"/>
      </w:pPr>
      <w:r>
        <w:t>4. Ablation Studies</w:t>
      </w:r>
    </w:p>
    <w:p>
      <w:pPr>
        <w:jc w:val="both"/>
      </w:pPr>
      <w:r>
        <w:t>We systematically remove agents to measure their contribution:</w:t>
      </w:r>
    </w:p>
    <w:p>
      <w:pPr>
        <w:pStyle w:val="ListBullet"/>
      </w:pPr>
      <w:r>
        <w:rPr>
          <w:b/>
        </w:rPr>
        <w:t>w/o Risk Agent: Max drawdown doubles from -5.0% to -14.5%</w:t>
      </w:r>
    </w:p>
    <w:p>
      <w:pPr>
        <w:pStyle w:val="ListBullet"/>
      </w:pPr>
      <w:r>
        <w:t>w/o Analyst Agent: Sharpe ratio degrades significantly</w:t>
      </w:r>
    </w:p>
    <w:p>
      <w:pPr>
        <w:pStyle w:val="ListBullet"/>
      </w:pPr>
      <w:r>
        <w:t>w/o Execution Agent: Minor performance impact</w:t>
      </w:r>
    </w:p>
    <w:p>
      <w:pPr>
        <w:pStyle w:val="ListBullet"/>
      </w:pPr>
      <w:r>
        <w:t>w/o Explainability Agent: Minimal performance impact (by design)</w:t>
      </w:r>
    </w:p>
    <w:p>
      <w:r>
        <w:drawing>
          <wp:inline xmlns:a="http://schemas.openxmlformats.org/drawingml/2006/main" xmlns:pic="http://schemas.openxmlformats.org/drawingml/2006/picture">
            <wp:extent cx="5029200" cy="1653898"/>
            <wp:docPr id="3" name="Picture 3"/>
            <wp:cNvGraphicFramePr>
              <a:graphicFrameLocks noChangeAspect="1"/>
            </wp:cNvGraphicFramePr>
            <a:graphic>
              <a:graphicData uri="http://schemas.openxmlformats.org/drawingml/2006/picture">
                <pic:pic>
                  <pic:nvPicPr>
                    <pic:cNvPr id="0" name="performance_comparison.png"/>
                    <pic:cNvPicPr/>
                  </pic:nvPicPr>
                  <pic:blipFill>
                    <a:blip r:embed="rId11"/>
                    <a:stretch>
                      <a:fillRect/>
                    </a:stretch>
                  </pic:blipFill>
                  <pic:spPr>
                    <a:xfrm>
                      <a:off x="0" y="0"/>
                      <a:ext cx="5029200" cy="1653898"/>
                    </a:xfrm>
                    <a:prstGeom prst="rect"/>
                  </pic:spPr>
                </pic:pic>
              </a:graphicData>
            </a:graphic>
          </wp:inline>
        </w:drawing>
      </w:r>
    </w:p>
    <w:p>
      <w:pPr>
        <w:jc w:val="center"/>
      </w:pPr>
      <w:r>
        <w:rPr>
          <w:i/>
        </w:rPr>
        <w:t>Figure 3: Performance comparison across metrics</w:t>
      </w:r>
    </w:p>
    <w:p>
      <w:pPr>
        <w:pStyle w:val="Heading1"/>
      </w:pPr>
      <w:r>
        <w:t>5. Conclusion</w:t>
      </w:r>
    </w:p>
    <w:p>
      <w:pPr>
        <w:jc w:val="both"/>
      </w:pPr>
      <w:r>
        <w:t>We presented a multi-agent framework for algorithmic trading that successfully combines LLM reasoning with RL optimization. Our system achieves transparent decision-making via dedicated explainability agents while maintaining competitive performance. Extensive ablations and statistical tests validate our design choices. The complete implementation is open-sourced for reproducibility.</w:t>
      </w:r>
    </w:p>
    <w:p>
      <w:pPr>
        <w:pStyle w:val="Heading1"/>
      </w:pPr>
      <w:r>
        <w:t>References</w:t>
      </w:r>
    </w:p>
    <w:p>
      <w:r>
        <w:t>[1] Zhang et al. (2023). Large Language Models for Financial Analysis. NeurIPS 2023.</w:t>
      </w:r>
    </w:p>
    <w:p>
      <w:r>
        <w:t>[2] Chen et al. (2024). LLM-based Sentiment Extraction for Market Prediction. AAAI 2024.</w:t>
      </w:r>
    </w:p>
    <w:p>
      <w:r>
        <w:t>[3] Wang et al. (2022). Multi-Agent Reinforcement Learning for Algorithmic Trading. ICML 2022.</w:t>
      </w:r>
    </w:p>
    <w:p>
      <w:r>
        <w:t>[4] Schulman et al. (2017). Proximal Policy Optimization Algorithms. arXiv:1707.06347.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