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ADFB" w14:textId="77777777" w:rsidR="002806BA" w:rsidRPr="00526140" w:rsidRDefault="00000000" w:rsidP="00526140">
      <w:pPr>
        <w:pStyle w:val="Heading1"/>
        <w:jc w:val="center"/>
        <w:rPr>
          <w:rFonts w:ascii="Times New Roman" w:hAnsi="Times New Roman" w:cs="Times New Roman"/>
          <w:color w:val="000000" w:themeColor="text1"/>
        </w:rPr>
      </w:pPr>
      <w:bookmarkStart w:id="0" w:name="X16b70735c48acd2cc25918eafc01f286a9a371f"/>
      <w:r w:rsidRPr="00526140">
        <w:rPr>
          <w:rFonts w:ascii="Times New Roman" w:hAnsi="Times New Roman" w:cs="Times New Roman"/>
          <w:color w:val="000000" w:themeColor="text1"/>
        </w:rPr>
        <w:t>Multi-Agent Reinforcement Learning for Portfolio Optimization and Risk Diversification</w:t>
      </w:r>
      <w:bookmarkEnd w:id="0"/>
    </w:p>
    <w:p w14:paraId="39954D53" w14:textId="77777777" w:rsidR="002806BA" w:rsidRPr="00526140" w:rsidRDefault="00000000" w:rsidP="00526140">
      <w:pPr>
        <w:pStyle w:val="FirstParagraph"/>
        <w:jc w:val="center"/>
        <w:rPr>
          <w:rFonts w:ascii="Times New Roman" w:hAnsi="Times New Roman" w:cs="Times New Roman"/>
          <w:color w:val="000000" w:themeColor="text1"/>
        </w:rPr>
      </w:pPr>
      <w:r w:rsidRPr="00526140">
        <w:rPr>
          <w:rFonts w:ascii="Times New Roman" w:hAnsi="Times New Roman" w:cs="Times New Roman"/>
          <w:b/>
          <w:color w:val="000000" w:themeColor="text1"/>
        </w:rPr>
        <w:t>Abrar Ahmed</w:t>
      </w:r>
    </w:p>
    <w:p w14:paraId="2FC44C82" w14:textId="77777777" w:rsidR="002806BA" w:rsidRPr="00526140" w:rsidRDefault="00000000" w:rsidP="00526140">
      <w:pPr>
        <w:pStyle w:val="BodyText"/>
        <w:jc w:val="center"/>
        <w:rPr>
          <w:rFonts w:ascii="Times New Roman" w:hAnsi="Times New Roman" w:cs="Times New Roman"/>
          <w:color w:val="000000" w:themeColor="text1"/>
        </w:rPr>
      </w:pPr>
      <w:r w:rsidRPr="00526140">
        <w:rPr>
          <w:rFonts w:ascii="Times New Roman" w:hAnsi="Times New Roman" w:cs="Times New Roman"/>
          <w:i/>
          <w:color w:val="000000" w:themeColor="text1"/>
        </w:rPr>
        <w:t>January 2025</w:t>
      </w:r>
    </w:p>
    <w:p w14:paraId="18B7EB86" w14:textId="77777777" w:rsidR="002806BA" w:rsidRPr="00526140" w:rsidRDefault="00000000" w:rsidP="00526140">
      <w:pPr>
        <w:jc w:val="center"/>
        <w:rPr>
          <w:rFonts w:ascii="Times New Roman" w:hAnsi="Times New Roman" w:cs="Times New Roman"/>
          <w:color w:val="000000" w:themeColor="text1"/>
        </w:rPr>
      </w:pPr>
      <w:r>
        <w:rPr>
          <w:rFonts w:ascii="Times New Roman" w:hAnsi="Times New Roman" w:cs="Times New Roman"/>
          <w:color w:val="000000" w:themeColor="text1"/>
        </w:rPr>
        <w:pict w14:anchorId="2861B18B">
          <v:rect id="_x0000_i1025" style="width:0;height:1.5pt" o:hralign="center" o:hrstd="t" o:hr="t"/>
        </w:pict>
      </w:r>
    </w:p>
    <w:p w14:paraId="62D3346A" w14:textId="77777777" w:rsidR="002806BA" w:rsidRPr="00526140" w:rsidRDefault="00000000">
      <w:pPr>
        <w:pStyle w:val="Heading2"/>
        <w:rPr>
          <w:rFonts w:ascii="Times New Roman" w:hAnsi="Times New Roman" w:cs="Times New Roman"/>
          <w:color w:val="000000" w:themeColor="text1"/>
        </w:rPr>
      </w:pPr>
      <w:bookmarkStart w:id="1" w:name="abstract"/>
      <w:r w:rsidRPr="00526140">
        <w:rPr>
          <w:rFonts w:ascii="Times New Roman" w:hAnsi="Times New Roman" w:cs="Times New Roman"/>
          <w:color w:val="000000" w:themeColor="text1"/>
        </w:rPr>
        <w:t>ABSTRACT</w:t>
      </w:r>
      <w:bookmarkEnd w:id="1"/>
    </w:p>
    <w:p w14:paraId="5B8EC450"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Traditional portfolio optimization strategies often rely on single-agent models that struggle to adapt to dynamic market conditions and fail to achieve optimal diversification. This paper introduces a novel </w:t>
      </w:r>
      <w:r w:rsidRPr="00526140">
        <w:rPr>
          <w:rFonts w:ascii="Times New Roman" w:hAnsi="Times New Roman" w:cs="Times New Roman"/>
          <w:b/>
          <w:color w:val="000000" w:themeColor="text1"/>
        </w:rPr>
        <w:t>Multi-Agent Deep Deterministic Policy Gradient (MADDPG)</w:t>
      </w:r>
      <w:r w:rsidRPr="00526140">
        <w:rPr>
          <w:rFonts w:ascii="Times New Roman" w:hAnsi="Times New Roman" w:cs="Times New Roman"/>
          <w:color w:val="000000" w:themeColor="text1"/>
        </w:rPr>
        <w:t xml:space="preserve"> framework for portfolio optimization that leverages cooperative reinforcement learning to build diversified portfolios with superior risk-adjusted returns. Our approach models multiple independent agents, each managing a sub-portfolio, while promoting inter-agent coordination through a shared centralized critic and an explicit diversity-promoting reward structure.</w:t>
      </w:r>
    </w:p>
    <w:p w14:paraId="0F0E09EE"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 xml:space="preserve">We demonstrate that the multi-agent approach achieves a </w:t>
      </w:r>
      <w:r w:rsidRPr="00526140">
        <w:rPr>
          <w:rFonts w:ascii="Times New Roman" w:hAnsi="Times New Roman" w:cs="Times New Roman"/>
          <w:b/>
          <w:color w:val="000000" w:themeColor="text1"/>
        </w:rPr>
        <w:t xml:space="preserve">Sharpe ratio of </w:t>
      </w:r>
      <m:oMath>
        <m:r>
          <w:rPr>
            <w:rFonts w:ascii="Cambria Math" w:hAnsi="Cambria Math" w:cs="Times New Roman"/>
            <w:color w:val="000000" w:themeColor="text1"/>
          </w:rPr>
          <m:t>1.347±0.156</m:t>
        </m:r>
      </m:oMath>
      <w:r w:rsidRPr="00526140">
        <w:rPr>
          <w:rFonts w:ascii="Times New Roman" w:hAnsi="Times New Roman" w:cs="Times New Roman"/>
          <w:color w:val="000000" w:themeColor="text1"/>
        </w:rPr>
        <w:t xml:space="preserve">, representing an </w:t>
      </w:r>
      <m:oMath>
        <m:r>
          <w:rPr>
            <w:rFonts w:ascii="Cambria Math" w:hAnsi="Cambria Math" w:cs="Times New Roman"/>
            <w:color w:val="000000" w:themeColor="text1"/>
          </w:rPr>
          <m:t>81.5%</m:t>
        </m:r>
      </m:oMath>
      <w:r w:rsidRPr="00526140">
        <w:rPr>
          <w:rFonts w:ascii="Times New Roman" w:hAnsi="Times New Roman" w:cs="Times New Roman"/>
          <w:b/>
          <w:color w:val="000000" w:themeColor="text1"/>
        </w:rPr>
        <w:t xml:space="preserve"> improvement</w:t>
      </w:r>
      <w:r w:rsidRPr="00526140">
        <w:rPr>
          <w:rFonts w:ascii="Times New Roman" w:hAnsi="Times New Roman" w:cs="Times New Roman"/>
          <w:color w:val="000000" w:themeColor="text1"/>
        </w:rPr>
        <w:t xml:space="preserve"> over equal-weight baselines (</w:t>
      </w:r>
      <m:oMath>
        <m:r>
          <w:rPr>
            <w:rFonts w:ascii="Cambria Math" w:hAnsi="Cambria Math" w:cs="Times New Roman"/>
            <w:color w:val="000000" w:themeColor="text1"/>
          </w:rPr>
          <m:t>0.742±0.124</m:t>
        </m:r>
      </m:oMath>
      <w:r w:rsidRPr="00526140">
        <w:rPr>
          <w:rFonts w:ascii="Times New Roman" w:hAnsi="Times New Roman" w:cs="Times New Roman"/>
          <w:color w:val="000000" w:themeColor="text1"/>
        </w:rPr>
        <w:t xml:space="preserve">), a </w:t>
      </w:r>
      <m:oMath>
        <m:r>
          <w:rPr>
            <w:rFonts w:ascii="Cambria Math" w:hAnsi="Cambria Math" w:cs="Times New Roman"/>
            <w:color w:val="000000" w:themeColor="text1"/>
          </w:rPr>
          <m:t>31.9%</m:t>
        </m:r>
      </m:oMath>
      <w:r w:rsidRPr="00526140">
        <w:rPr>
          <w:rFonts w:ascii="Times New Roman" w:hAnsi="Times New Roman" w:cs="Times New Roman"/>
          <w:color w:val="000000" w:themeColor="text1"/>
        </w:rPr>
        <w:t xml:space="preserve"> improvement over MADDPG without a diversity penalty (</w:t>
      </w:r>
      <m:oMath>
        <m:r>
          <w:rPr>
            <w:rFonts w:ascii="Cambria Math" w:hAnsi="Cambria Math" w:cs="Times New Roman"/>
            <w:color w:val="000000" w:themeColor="text1"/>
          </w:rPr>
          <m:t>1.021±0.189</m:t>
        </m:r>
      </m:oMath>
      <w:r w:rsidRPr="00526140">
        <w:rPr>
          <w:rFonts w:ascii="Times New Roman" w:hAnsi="Times New Roman" w:cs="Times New Roman"/>
          <w:color w:val="000000" w:themeColor="text1"/>
        </w:rPr>
        <w:t xml:space="preserve">), and a </w:t>
      </w:r>
      <m:oMath>
        <m:r>
          <w:rPr>
            <w:rFonts w:ascii="Cambria Math" w:hAnsi="Cambria Math" w:cs="Times New Roman"/>
            <w:color w:val="000000" w:themeColor="text1"/>
          </w:rPr>
          <m:t>369%</m:t>
        </m:r>
      </m:oMath>
      <w:r w:rsidRPr="00526140">
        <w:rPr>
          <w:rFonts w:ascii="Times New Roman" w:hAnsi="Times New Roman" w:cs="Times New Roman"/>
          <w:color w:val="000000" w:themeColor="text1"/>
        </w:rPr>
        <w:t xml:space="preserve"> improvement over random strategies (</w:t>
      </w:r>
      <m:oMath>
        <m:r>
          <w:rPr>
            <w:rFonts w:ascii="Cambria Math" w:hAnsi="Cambria Math" w:cs="Times New Roman"/>
            <w:color w:val="000000" w:themeColor="text1"/>
          </w:rPr>
          <m:t>0.287±0.185</m:t>
        </m:r>
      </m:oMath>
      <w:r w:rsidRPr="00526140">
        <w:rPr>
          <w:rFonts w:ascii="Times New Roman" w:hAnsi="Times New Roman" w:cs="Times New Roman"/>
          <w:color w:val="000000" w:themeColor="text1"/>
        </w:rPr>
        <w:t xml:space="preserve">). Furthermore, our framework reduces maximum drawdown by </w:t>
      </w:r>
      <m:oMath>
        <m:r>
          <w:rPr>
            <w:rFonts w:ascii="Cambria Math" w:hAnsi="Cambria Math" w:cs="Times New Roman"/>
            <w:color w:val="000000" w:themeColor="text1"/>
          </w:rPr>
          <m:t>38.7%</m:t>
        </m:r>
      </m:oMath>
      <w:r w:rsidRPr="00526140">
        <w:rPr>
          <w:rFonts w:ascii="Times New Roman" w:hAnsi="Times New Roman" w:cs="Times New Roman"/>
          <w:color w:val="000000" w:themeColor="text1"/>
        </w:rPr>
        <w:t xml:space="preserve"> compared to equal-weight strategies, </w:t>
      </w:r>
      <m:oMath>
        <m:r>
          <w:rPr>
            <w:rFonts w:ascii="Cambria Math" w:hAnsi="Cambria Math" w:cs="Times New Roman"/>
            <w:color w:val="000000" w:themeColor="text1"/>
          </w:rPr>
          <m:t>42.8%</m:t>
        </m:r>
      </m:oMath>
      <w:r w:rsidRPr="00526140">
        <w:rPr>
          <w:rFonts w:ascii="Times New Roman" w:hAnsi="Times New Roman" w:cs="Times New Roman"/>
          <w:color w:val="000000" w:themeColor="text1"/>
        </w:rPr>
        <w:t xml:space="preserve"> compared to single-agent approaches, and </w:t>
      </w:r>
      <m:oMath>
        <m:r>
          <w:rPr>
            <w:rFonts w:ascii="Cambria Math" w:hAnsi="Cambria Math" w:cs="Times New Roman"/>
            <w:color w:val="000000" w:themeColor="text1"/>
          </w:rPr>
          <m:t>62.8%</m:t>
        </m:r>
      </m:oMath>
      <w:r w:rsidRPr="00526140">
        <w:rPr>
          <w:rFonts w:ascii="Times New Roman" w:hAnsi="Times New Roman" w:cs="Times New Roman"/>
          <w:color w:val="000000" w:themeColor="text1"/>
        </w:rPr>
        <w:t xml:space="preserve"> compared to random allocation. Ablation studies reveal that the optimal diversity weight </w:t>
      </w:r>
      <m:oMath>
        <m:r>
          <w:rPr>
            <w:rFonts w:ascii="Cambria Math" w:hAnsi="Cambria Math" w:cs="Times New Roman"/>
            <w:color w:val="000000" w:themeColor="text1"/>
          </w:rPr>
          <m:t>λ=0.15</m:t>
        </m:r>
      </m:oMath>
      <w:r w:rsidRPr="00526140">
        <w:rPr>
          <w:rFonts w:ascii="Times New Roman" w:hAnsi="Times New Roman" w:cs="Times New Roman"/>
          <w:color w:val="000000" w:themeColor="text1"/>
        </w:rPr>
        <w:t xml:space="preserve"> and a configuration of four agents provide the best balance between return maximization and risk diversification. The results validate that cooperative multi-agent reinforcement learning with explicit diversity rewards can effectively balance return maximization with risk diversification, offering a promising and practically feasible approach for institutional asset management in volatile markets.</w:t>
      </w:r>
    </w:p>
    <w:p w14:paraId="289FB346" w14:textId="77777777" w:rsidR="002806BA" w:rsidRPr="00526140" w:rsidRDefault="00000000">
      <w:pPr>
        <w:rPr>
          <w:rFonts w:ascii="Times New Roman" w:hAnsi="Times New Roman" w:cs="Times New Roman"/>
          <w:color w:val="000000" w:themeColor="text1"/>
        </w:rPr>
      </w:pPr>
      <w:r>
        <w:rPr>
          <w:rFonts w:ascii="Times New Roman" w:hAnsi="Times New Roman" w:cs="Times New Roman"/>
          <w:color w:val="000000" w:themeColor="text1"/>
        </w:rPr>
        <w:pict w14:anchorId="46E4F93D">
          <v:rect id="_x0000_i1026" style="width:0;height:1.5pt" o:hralign="center" o:hrstd="t" o:hr="t"/>
        </w:pict>
      </w:r>
    </w:p>
    <w:p w14:paraId="11AD46AB" w14:textId="77777777" w:rsidR="002806BA" w:rsidRPr="00526140" w:rsidRDefault="00000000">
      <w:pPr>
        <w:pStyle w:val="Heading1"/>
        <w:rPr>
          <w:rFonts w:ascii="Times New Roman" w:hAnsi="Times New Roman" w:cs="Times New Roman"/>
          <w:color w:val="000000" w:themeColor="text1"/>
        </w:rPr>
      </w:pPr>
      <w:bookmarkStart w:id="2" w:name="introduction"/>
      <w:r w:rsidRPr="00526140">
        <w:rPr>
          <w:rFonts w:ascii="Times New Roman" w:hAnsi="Times New Roman" w:cs="Times New Roman"/>
          <w:color w:val="000000" w:themeColor="text1"/>
        </w:rPr>
        <w:t>1. Introduction</w:t>
      </w:r>
      <w:bookmarkEnd w:id="2"/>
    </w:p>
    <w:p w14:paraId="3F7CD77A"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quest for optimal asset allocation has been a long-standing challenge in financial economics since the mid-20th century. </w:t>
      </w:r>
      <w:r w:rsidRPr="00526140">
        <w:rPr>
          <w:rFonts w:ascii="Times New Roman" w:hAnsi="Times New Roman" w:cs="Times New Roman"/>
          <w:b/>
          <w:color w:val="000000" w:themeColor="text1"/>
        </w:rPr>
        <w:t>Modern Portfolio Theory (MPT)</w:t>
      </w:r>
      <w:r w:rsidRPr="00526140">
        <w:rPr>
          <w:rFonts w:ascii="Times New Roman" w:hAnsi="Times New Roman" w:cs="Times New Roman"/>
          <w:color w:val="000000" w:themeColor="text1"/>
        </w:rPr>
        <w:t>, pioneered by Harry Markowitz in 1952, established the mathematical foundation for diversifying investments to maximize expected returns for a given level of risk [1]. While MPT and its subsequent evolutions, such as the Capital Asset Pricing Model (CAPM) and the Black-Litterman model, provided rigorous frameworks, they are often criticized for their reliance on historical covariance matrices and the assumption of normally distributed returns. In reality, financial markets are characterized by non-stationarity, fat-tailed distributions, and complex non-linear dependencies that traditional linear models fail to capture.</w:t>
      </w:r>
    </w:p>
    <w:p w14:paraId="3363367E"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lastRenderedPageBreak/>
        <w:t xml:space="preserve">The emergence of </w:t>
      </w:r>
      <w:r w:rsidRPr="00526140">
        <w:rPr>
          <w:rFonts w:ascii="Times New Roman" w:hAnsi="Times New Roman" w:cs="Times New Roman"/>
          <w:b/>
          <w:color w:val="000000" w:themeColor="text1"/>
        </w:rPr>
        <w:t>Deep Reinforcement Learning (DRL)</w:t>
      </w:r>
      <w:r w:rsidRPr="00526140">
        <w:rPr>
          <w:rFonts w:ascii="Times New Roman" w:hAnsi="Times New Roman" w:cs="Times New Roman"/>
          <w:color w:val="000000" w:themeColor="text1"/>
        </w:rPr>
        <w:t xml:space="preserve"> has offered a paradigm shift in quantitative finance. Unlike static optimization, RL agents learn through interaction with a dynamic environment, allowing them to adapt to changing market regimes. However, single-agent RL models often suffer from “winner-take-all” tendencies, where the agent concentrates capital into a few high-performing assets, thereby increasing idiosyncratic risk. This concentration risk is particularly dangerous during market crashes when asset correlations tend to converge to one.</w:t>
      </w:r>
    </w:p>
    <w:p w14:paraId="002E4B15"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b/>
          <w:color w:val="000000" w:themeColor="text1"/>
        </w:rPr>
        <w:t>Multi-Agent Reinforcement Learning (MARL)</w:t>
      </w:r>
      <w:r w:rsidRPr="00526140">
        <w:rPr>
          <w:rFonts w:ascii="Times New Roman" w:hAnsi="Times New Roman" w:cs="Times New Roman"/>
          <w:color w:val="000000" w:themeColor="text1"/>
        </w:rPr>
        <w:t xml:space="preserve"> presents a sophisticated alternative by decomposing the global portfolio optimization problem into localized sub-tasks. In our proposed framework, multiple agents operate in a cooperative environment, each responsible for a subset of assets organized by sector. By utilizing a centralized critic that observes the global state and the actions of all agents during training, the system can learn complex coordination strategies that are impossible for a single agent to master. This structure mirrors the organizational hierarchy of large hedge funds, where specialized desk managers coordinate under a chief investment officer to achieve fund-wide objectives.</w:t>
      </w:r>
    </w:p>
    <w:p w14:paraId="0B0306CD" w14:textId="77777777" w:rsidR="002806BA" w:rsidRPr="00526140" w:rsidRDefault="00000000">
      <w:pPr>
        <w:pStyle w:val="Heading2"/>
        <w:rPr>
          <w:rFonts w:ascii="Times New Roman" w:hAnsi="Times New Roman" w:cs="Times New Roman"/>
          <w:color w:val="000000" w:themeColor="text1"/>
        </w:rPr>
      </w:pPr>
      <w:bookmarkStart w:id="3" w:name="motivation-and-significance"/>
      <w:r w:rsidRPr="00526140">
        <w:rPr>
          <w:rFonts w:ascii="Times New Roman" w:hAnsi="Times New Roman" w:cs="Times New Roman"/>
          <w:color w:val="000000" w:themeColor="text1"/>
        </w:rPr>
        <w:t>1.1 Motivation and Significance</w:t>
      </w:r>
      <w:bookmarkEnd w:id="3"/>
    </w:p>
    <w:p w14:paraId="0E28935C"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 motivation for this research stems from several critical challenges in modern asset management. First, the increasing frequency of “black swan” events—such as the 2008 financial crisis, the 2020 COVID-19 pandemic, and recent market volatility—necessitates models that can dynamically adjust risk exposure. Second, as the universe of investable assets expands to include cryptocurrencies, ESG-linked securities, and alternative assets, the computational complexity of traditional optimization grows exponentially. MARL offers a scalable solution through parallelized decision-making.</w:t>
      </w:r>
    </w:p>
    <w:p w14:paraId="45A9EAB5"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Third, by explicitly rewarding diversity among agents through a mathematically-defined correlation penalty, we address the fundamental trade-off between individual agent performance and collective portfolio stability. Unlike passive diversification strategies, our approach actively learns to maintain low correlation between agent strategies even during market stress periods. Finally, empirical evidence from our experiments demonstrates that this approach achieves superior risk-adjusted returns compared to both traditional methods and recent deep learning approaches, while maintaining practical feasibility in terms of transaction costs and turnover.</w:t>
      </w:r>
    </w:p>
    <w:p w14:paraId="229DF87C" w14:textId="77777777" w:rsidR="002806BA" w:rsidRPr="00526140" w:rsidRDefault="00000000">
      <w:pPr>
        <w:pStyle w:val="Heading1"/>
        <w:rPr>
          <w:rFonts w:ascii="Times New Roman" w:hAnsi="Times New Roman" w:cs="Times New Roman"/>
          <w:color w:val="000000" w:themeColor="text1"/>
        </w:rPr>
      </w:pPr>
      <w:bookmarkStart w:id="4" w:name="literature-review"/>
      <w:r w:rsidRPr="00526140">
        <w:rPr>
          <w:rFonts w:ascii="Times New Roman" w:hAnsi="Times New Roman" w:cs="Times New Roman"/>
          <w:color w:val="000000" w:themeColor="text1"/>
        </w:rPr>
        <w:t>2. Literature Review</w:t>
      </w:r>
      <w:bookmarkEnd w:id="4"/>
    </w:p>
    <w:p w14:paraId="21527D39"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 literature on portfolio optimization can be broadly categorized into three eras: the classical period, the machine learning transition, and the current multi-agent frontier.</w:t>
      </w:r>
    </w:p>
    <w:p w14:paraId="749AB4D1" w14:textId="77777777" w:rsidR="002806BA" w:rsidRPr="00526140" w:rsidRDefault="00000000">
      <w:pPr>
        <w:pStyle w:val="Heading2"/>
        <w:rPr>
          <w:rFonts w:ascii="Times New Roman" w:hAnsi="Times New Roman" w:cs="Times New Roman"/>
          <w:color w:val="000000" w:themeColor="text1"/>
        </w:rPr>
      </w:pPr>
      <w:bookmarkStart w:id="5" w:name="classical-and-heuristic-approaches"/>
      <w:r w:rsidRPr="00526140">
        <w:rPr>
          <w:rFonts w:ascii="Times New Roman" w:hAnsi="Times New Roman" w:cs="Times New Roman"/>
          <w:color w:val="000000" w:themeColor="text1"/>
        </w:rPr>
        <w:t>2.1 Classical and Heuristic Approaches</w:t>
      </w:r>
      <w:bookmarkEnd w:id="5"/>
    </w:p>
    <w:p w14:paraId="6E17B035"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Markowitz’s mean-variance optimization [1] remains the benchmark for most institutional frameworks. The efficient frontier concept provides a theoretical basis for optimal portfolio construction by maximizing expected return for a given level of risk. However, its sensitivity to input parameters often leads to “error maximization,” where small changes in expected returns result in drastic shifts in weights. To mitigate this, researchers introduced robust optimization </w:t>
      </w:r>
      <w:r w:rsidRPr="00526140">
        <w:rPr>
          <w:rFonts w:ascii="Times New Roman" w:hAnsi="Times New Roman" w:cs="Times New Roman"/>
          <w:color w:val="000000" w:themeColor="text1"/>
        </w:rPr>
        <w:lastRenderedPageBreak/>
        <w:t>techniques and Bayesian approaches like the Black-Litterman model [2], which incorporates investor views with market equilibrium assumptions. Risk parity strategies, which allocate capital proportionally to the inverse of asset volatility, have gained popularity for their stability [3]. Despite these improvements, these models remain essentially static and struggle with the high-frequency volatility and regime changes characteristic of modern markets.</w:t>
      </w:r>
    </w:p>
    <w:p w14:paraId="1DCFCBE1" w14:textId="77777777" w:rsidR="002806BA" w:rsidRPr="00526140" w:rsidRDefault="00000000">
      <w:pPr>
        <w:pStyle w:val="Heading2"/>
        <w:rPr>
          <w:rFonts w:ascii="Times New Roman" w:hAnsi="Times New Roman" w:cs="Times New Roman"/>
          <w:color w:val="000000" w:themeColor="text1"/>
        </w:rPr>
      </w:pPr>
      <w:bookmarkStart w:id="6" w:name="single-agent-reinforcement-learning"/>
      <w:r w:rsidRPr="00526140">
        <w:rPr>
          <w:rFonts w:ascii="Times New Roman" w:hAnsi="Times New Roman" w:cs="Times New Roman"/>
          <w:color w:val="000000" w:themeColor="text1"/>
        </w:rPr>
        <w:t>2.2 Single-Agent Reinforcement Learning</w:t>
      </w:r>
      <w:bookmarkEnd w:id="6"/>
    </w:p>
    <w:p w14:paraId="47CD3C7F"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 application of RL to trading was pioneered by Moody et al. (1998), who introduced direct reinforcement for trading systems [4]. With the rise of deep learning, algorithms such as Deep Q-Networks (DQN) [9], Policy Gradients [8], and Proximal Policy Optimization (PPO) [6] have been applied to portfolio management. Jiang et al. (2017) proposed a DRL framework using convolutional networks for feature extraction and policy gradients for portfolio optimization [12]. Zhang et al. (2020) demonstrated that Deep Deterministic Policy Gradient (DDPG) could achieve competitive performance on cryptocurrency portfolio management [18]. While these models can capture non-linear patterns in market data, they are prone to overfitting on historical noise and often fail to maintain diversification without manually engineered constraints. The concentration problem remains a fundamental limitation of single-agent approaches.</w:t>
      </w:r>
    </w:p>
    <w:p w14:paraId="2796B219" w14:textId="77777777" w:rsidR="002806BA" w:rsidRPr="00526140" w:rsidRDefault="00000000">
      <w:pPr>
        <w:pStyle w:val="Heading2"/>
        <w:rPr>
          <w:rFonts w:ascii="Times New Roman" w:hAnsi="Times New Roman" w:cs="Times New Roman"/>
          <w:color w:val="000000" w:themeColor="text1"/>
        </w:rPr>
      </w:pPr>
      <w:bookmarkStart w:id="7" w:name="multi-agent-systems-in-finance"/>
      <w:r w:rsidRPr="00526140">
        <w:rPr>
          <w:rFonts w:ascii="Times New Roman" w:hAnsi="Times New Roman" w:cs="Times New Roman"/>
          <w:color w:val="000000" w:themeColor="text1"/>
        </w:rPr>
        <w:t>2.3 Multi-Agent Systems in Finance</w:t>
      </w:r>
      <w:bookmarkEnd w:id="7"/>
    </w:p>
    <w:p w14:paraId="5B3B3A61"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shift toward MARL is driven by the need for robustness, scalability, and explicit modeling of diverse strategies. Lowe et al. (2017) introduced the MADDPG algorithm, which addressed the non-stationarity problem in multi-agent environments through </w:t>
      </w:r>
      <w:r w:rsidRPr="00526140">
        <w:rPr>
          <w:rFonts w:ascii="Times New Roman" w:hAnsi="Times New Roman" w:cs="Times New Roman"/>
          <w:b/>
          <w:color w:val="000000" w:themeColor="text1"/>
        </w:rPr>
        <w:t>centralized training and decentralized execution (CTDE)</w:t>
      </w:r>
      <w:r w:rsidRPr="00526140">
        <w:rPr>
          <w:rFonts w:ascii="Times New Roman" w:hAnsi="Times New Roman" w:cs="Times New Roman"/>
          <w:color w:val="000000" w:themeColor="text1"/>
        </w:rPr>
        <w:t xml:space="preserve"> [3]. This paradigm allows each agent to learn its policy using a centralized critic that has access to the observations and actions of all agents during training, while at execution time, each agent acts independently based only on its local observation.</w:t>
      </w:r>
    </w:p>
    <w:p w14:paraId="0A3B7827" w14:textId="77777777" w:rsidR="002806BA" w:rsidRPr="00526140" w:rsidRDefault="00000000">
      <w:pPr>
        <w:pStyle w:val="Heading3"/>
        <w:rPr>
          <w:rFonts w:ascii="Times New Roman" w:hAnsi="Times New Roman" w:cs="Times New Roman"/>
          <w:color w:val="000000" w:themeColor="text1"/>
        </w:rPr>
      </w:pPr>
      <w:bookmarkStart w:id="8" w:name="recent-multi-agent-portfolio-systems"/>
      <w:r w:rsidRPr="00526140">
        <w:rPr>
          <w:rFonts w:ascii="Times New Roman" w:hAnsi="Times New Roman" w:cs="Times New Roman"/>
          <w:color w:val="000000" w:themeColor="text1"/>
        </w:rPr>
        <w:t>2.3.1 Recent Multi-Agent Portfolio Systems</w:t>
      </w:r>
      <w:bookmarkEnd w:id="8"/>
    </w:p>
    <w:p w14:paraId="267D2CA3"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 multi-agent approach has been explored in several recent works:</w:t>
      </w:r>
    </w:p>
    <w:p w14:paraId="2B263319"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MAPS (Lee et al., 2020) [21]:</w:t>
      </w:r>
      <w:r w:rsidRPr="00526140">
        <w:rPr>
          <w:rFonts w:ascii="Times New Roman" w:hAnsi="Times New Roman" w:cs="Times New Roman"/>
          <w:color w:val="000000" w:themeColor="text1"/>
        </w:rPr>
        <w:t xml:space="preserve"> The Multi-Agent reinforcement learning-based Portfolio management System (MAPS) uses a cooperative system where each agent is an independent “investor” using DQN. Its key innovation is a diversification penalty based on the correlation of “positional confidence vectors” (Q-values for long vs. short positions) between agents.</w:t>
      </w:r>
    </w:p>
    <w:p w14:paraId="7382FD4D"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MSPM (Huang &amp; Tanaka, 2022) [22]:</w:t>
      </w:r>
      <w:r w:rsidRPr="00526140">
        <w:rPr>
          <w:rFonts w:ascii="Times New Roman" w:hAnsi="Times New Roman" w:cs="Times New Roman"/>
          <w:color w:val="000000" w:themeColor="text1"/>
        </w:rPr>
        <w:t xml:space="preserve"> The Modularized and Scalable multi-agent reinforcement learning-based system for Portfolio Management (MSPM) uses a modular architecture with two types of asynchronously-updated modules: Evolving Agent Modules (EAM) for signal generation (DQN) and Strategic Agent Modules (SAM) for portfolio allocation (PPO).</w:t>
      </w:r>
    </w:p>
    <w:p w14:paraId="033C6E29" w14:textId="77777777" w:rsidR="002806BA" w:rsidRPr="00526140" w:rsidRDefault="00000000">
      <w:pPr>
        <w:pStyle w:val="Heading3"/>
        <w:rPr>
          <w:rFonts w:ascii="Times New Roman" w:hAnsi="Times New Roman" w:cs="Times New Roman"/>
          <w:color w:val="000000" w:themeColor="text1"/>
        </w:rPr>
      </w:pPr>
      <w:bookmarkStart w:id="9" w:name="differentiation-of-our-approach"/>
      <w:r w:rsidRPr="00526140">
        <w:rPr>
          <w:rFonts w:ascii="Times New Roman" w:hAnsi="Times New Roman" w:cs="Times New Roman"/>
          <w:color w:val="000000" w:themeColor="text1"/>
        </w:rPr>
        <w:t>2.3.2 Differentiation of Our Approach</w:t>
      </w:r>
      <w:bookmarkEnd w:id="9"/>
    </w:p>
    <w:p w14:paraId="405ABFAF"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While MAPS and MSPM represent significant advances, our approach offers several key distinctions, summarized in Table 1. Our framework utilizes the MADDPG architecture with a continuous action space and a novel, explicit diversity reward that directly penalizes the correlation of </w:t>
      </w:r>
      <w:r w:rsidRPr="00526140">
        <w:rPr>
          <w:rFonts w:ascii="Times New Roman" w:hAnsi="Times New Roman" w:cs="Times New Roman"/>
          <w:i/>
          <w:color w:val="000000" w:themeColor="text1"/>
        </w:rPr>
        <w:t>actual portfolio returns</w:t>
      </w:r>
      <w:r w:rsidRPr="00526140">
        <w:rPr>
          <w:rFonts w:ascii="Times New Roman" w:hAnsi="Times New Roman" w:cs="Times New Roman"/>
          <w:color w:val="000000" w:themeColor="text1"/>
        </w:rPr>
        <w:t xml:space="preserve"> over a rolling window, rather than signals or confidence </w:t>
      </w:r>
      <w:r w:rsidRPr="00526140">
        <w:rPr>
          <w:rFonts w:ascii="Times New Roman" w:hAnsi="Times New Roman" w:cs="Times New Roman"/>
          <w:color w:val="000000" w:themeColor="text1"/>
        </w:rPr>
        <w:lastRenderedPageBreak/>
        <w:t>vectors. This combination ensures superior coordination via the centralized critic and mathematically enforced diversification of outcomes.</w:t>
      </w:r>
    </w:p>
    <w:tbl>
      <w:tblPr>
        <w:tblStyle w:val="Table"/>
        <w:tblW w:w="5000" w:type="pct"/>
        <w:tblLook w:val="07E0" w:firstRow="1" w:lastRow="1" w:firstColumn="1" w:lastColumn="1" w:noHBand="1" w:noVBand="1"/>
      </w:tblPr>
      <w:tblGrid>
        <w:gridCol w:w="1668"/>
        <w:gridCol w:w="2938"/>
        <w:gridCol w:w="2465"/>
        <w:gridCol w:w="2505"/>
      </w:tblGrid>
      <w:tr w:rsidR="00526140" w:rsidRPr="00526140" w14:paraId="0AC5BB8B" w14:textId="77777777">
        <w:tc>
          <w:tcPr>
            <w:tcW w:w="0" w:type="auto"/>
            <w:tcBorders>
              <w:bottom w:val="single" w:sz="0" w:space="0" w:color="auto"/>
            </w:tcBorders>
            <w:vAlign w:val="bottom"/>
          </w:tcPr>
          <w:p w14:paraId="74787D8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Feature</w:t>
            </w:r>
          </w:p>
        </w:tc>
        <w:tc>
          <w:tcPr>
            <w:tcW w:w="0" w:type="auto"/>
            <w:tcBorders>
              <w:bottom w:val="single" w:sz="0" w:space="0" w:color="auto"/>
            </w:tcBorders>
            <w:vAlign w:val="bottom"/>
          </w:tcPr>
          <w:p w14:paraId="4D74BCE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MAPS (Lee et al., 2020)</w:t>
            </w:r>
          </w:p>
        </w:tc>
        <w:tc>
          <w:tcPr>
            <w:tcW w:w="0" w:type="auto"/>
            <w:tcBorders>
              <w:bottom w:val="single" w:sz="0" w:space="0" w:color="auto"/>
            </w:tcBorders>
            <w:vAlign w:val="bottom"/>
          </w:tcPr>
          <w:p w14:paraId="127F8C0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MSPM (Huang &amp; Tanaka, 2022)</w:t>
            </w:r>
          </w:p>
        </w:tc>
        <w:tc>
          <w:tcPr>
            <w:tcW w:w="0" w:type="auto"/>
            <w:tcBorders>
              <w:bottom w:val="single" w:sz="0" w:space="0" w:color="auto"/>
            </w:tcBorders>
            <w:vAlign w:val="bottom"/>
          </w:tcPr>
          <w:p w14:paraId="422B1B5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Our MADDPG Framework</w:t>
            </w:r>
          </w:p>
        </w:tc>
      </w:tr>
      <w:tr w:rsidR="00526140" w:rsidRPr="00526140" w14:paraId="19458B89" w14:textId="77777777">
        <w:tc>
          <w:tcPr>
            <w:tcW w:w="0" w:type="auto"/>
          </w:tcPr>
          <w:p w14:paraId="5EB8878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Core Algorithm</w:t>
            </w:r>
          </w:p>
        </w:tc>
        <w:tc>
          <w:tcPr>
            <w:tcW w:w="0" w:type="auto"/>
          </w:tcPr>
          <w:p w14:paraId="6834438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DQN</w:t>
            </w:r>
          </w:p>
        </w:tc>
        <w:tc>
          <w:tcPr>
            <w:tcW w:w="0" w:type="auto"/>
          </w:tcPr>
          <w:p w14:paraId="3810353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Hybrid (DQN + PPO)</w:t>
            </w:r>
          </w:p>
        </w:tc>
        <w:tc>
          <w:tcPr>
            <w:tcW w:w="0" w:type="auto"/>
          </w:tcPr>
          <w:p w14:paraId="60D65346"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MADDPG (Actor-Critic)</w:t>
            </w:r>
          </w:p>
        </w:tc>
      </w:tr>
      <w:tr w:rsidR="00526140" w:rsidRPr="00526140" w14:paraId="3206C953" w14:textId="77777777">
        <w:tc>
          <w:tcPr>
            <w:tcW w:w="0" w:type="auto"/>
          </w:tcPr>
          <w:p w14:paraId="1C06B7D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Action Space</w:t>
            </w:r>
          </w:p>
        </w:tc>
        <w:tc>
          <w:tcPr>
            <w:tcW w:w="0" w:type="auto"/>
          </w:tcPr>
          <w:p w14:paraId="48C7D8B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Discrete (Long/Neutral/Short)</w:t>
            </w:r>
          </w:p>
        </w:tc>
        <w:tc>
          <w:tcPr>
            <w:tcW w:w="0" w:type="auto"/>
          </w:tcPr>
          <w:p w14:paraId="35D10ED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Continuous (via PPO agent)</w:t>
            </w:r>
          </w:p>
        </w:tc>
        <w:tc>
          <w:tcPr>
            <w:tcW w:w="0" w:type="auto"/>
          </w:tcPr>
          <w:p w14:paraId="3033105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Continuous (Weight Allocation)</w:t>
            </w:r>
          </w:p>
        </w:tc>
      </w:tr>
      <w:tr w:rsidR="00526140" w:rsidRPr="00526140" w14:paraId="17781E3A" w14:textId="77777777">
        <w:tc>
          <w:tcPr>
            <w:tcW w:w="0" w:type="auto"/>
          </w:tcPr>
          <w:p w14:paraId="4966485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Diversity Mechanism</w:t>
            </w:r>
          </w:p>
        </w:tc>
        <w:tc>
          <w:tcPr>
            <w:tcW w:w="0" w:type="auto"/>
          </w:tcPr>
          <w:p w14:paraId="73F1637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Correlation penalty on positional confidence vectors (Q-values)</w:t>
            </w:r>
          </w:p>
        </w:tc>
        <w:tc>
          <w:tcPr>
            <w:tcW w:w="0" w:type="auto"/>
          </w:tcPr>
          <w:p w14:paraId="0E81480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Modular architecture; diversity emerges from heterogeneous signals</w:t>
            </w:r>
          </w:p>
        </w:tc>
        <w:tc>
          <w:tcPr>
            <w:tcW w:w="0" w:type="auto"/>
          </w:tcPr>
          <w:p w14:paraId="10B5548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 xml:space="preserve">Explicit penalty on correlation of </w:t>
            </w:r>
            <w:r w:rsidRPr="00526140">
              <w:rPr>
                <w:rFonts w:ascii="Times New Roman" w:hAnsi="Times New Roman" w:cs="Times New Roman"/>
                <w:b/>
                <w:i/>
                <w:color w:val="000000" w:themeColor="text1"/>
              </w:rPr>
              <w:t>actual portfolio returns</w:t>
            </w:r>
          </w:p>
        </w:tc>
      </w:tr>
      <w:tr w:rsidR="00526140" w:rsidRPr="00526140" w14:paraId="7DF9A062" w14:textId="77777777">
        <w:tc>
          <w:tcPr>
            <w:tcW w:w="0" w:type="auto"/>
          </w:tcPr>
          <w:p w14:paraId="762C5B7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Architecture</w:t>
            </w:r>
          </w:p>
        </w:tc>
        <w:tc>
          <w:tcPr>
            <w:tcW w:w="0" w:type="auto"/>
          </w:tcPr>
          <w:p w14:paraId="1EBE514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Independent DQN agents with shared loss</w:t>
            </w:r>
          </w:p>
        </w:tc>
        <w:tc>
          <w:tcPr>
            <w:tcW w:w="0" w:type="auto"/>
          </w:tcPr>
          <w:p w14:paraId="0641EC1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Two-tier (EAM for signal, SAM for allocation)</w:t>
            </w:r>
          </w:p>
        </w:tc>
        <w:tc>
          <w:tcPr>
            <w:tcW w:w="0" w:type="auto"/>
          </w:tcPr>
          <w:p w14:paraId="2A0ADE2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Centralized Training, Decentralized Execution (CTDE) with shared critic</w:t>
            </w:r>
          </w:p>
        </w:tc>
      </w:tr>
      <w:tr w:rsidR="00526140" w:rsidRPr="00526140" w14:paraId="0D56C85F" w14:textId="77777777">
        <w:tc>
          <w:tcPr>
            <w:tcW w:w="0" w:type="auto"/>
          </w:tcPr>
          <w:p w14:paraId="6C8AD97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Portfolio Structure</w:t>
            </w:r>
          </w:p>
        </w:tc>
        <w:tc>
          <w:tcPr>
            <w:tcW w:w="0" w:type="auto"/>
          </w:tcPr>
          <w:p w14:paraId="25C5B2D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Each agent manages the full portfolio</w:t>
            </w:r>
          </w:p>
        </w:tc>
        <w:tc>
          <w:tcPr>
            <w:tcW w:w="0" w:type="auto"/>
          </w:tcPr>
          <w:p w14:paraId="2C6A279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Modular (EAM for single asset, SAM aggregates)</w:t>
            </w:r>
          </w:p>
        </w:tc>
        <w:tc>
          <w:tcPr>
            <w:tcW w:w="0" w:type="auto"/>
          </w:tcPr>
          <w:p w14:paraId="7F7D84A6"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Sector-based partitioning</w:t>
            </w:r>
            <w:r w:rsidRPr="00526140">
              <w:rPr>
                <w:rFonts w:ascii="Times New Roman" w:hAnsi="Times New Roman" w:cs="Times New Roman"/>
                <w:color w:val="000000" w:themeColor="text1"/>
              </w:rPr>
              <w:t xml:space="preserve"> (each agent manages a sub-portfolio)</w:t>
            </w:r>
          </w:p>
        </w:tc>
      </w:tr>
    </w:tbl>
    <w:p w14:paraId="5551A5EC" w14:textId="77777777" w:rsidR="002806BA" w:rsidRPr="00526140" w:rsidRDefault="00000000">
      <w:pPr>
        <w:pStyle w:val="Heading1"/>
        <w:rPr>
          <w:rFonts w:ascii="Times New Roman" w:hAnsi="Times New Roman" w:cs="Times New Roman"/>
          <w:color w:val="000000" w:themeColor="text1"/>
        </w:rPr>
      </w:pPr>
      <w:bookmarkStart w:id="10" w:name="methodology"/>
      <w:r w:rsidRPr="00526140">
        <w:rPr>
          <w:rFonts w:ascii="Times New Roman" w:hAnsi="Times New Roman" w:cs="Times New Roman"/>
          <w:color w:val="000000" w:themeColor="text1"/>
        </w:rPr>
        <w:t>3. Methodology</w:t>
      </w:r>
      <w:bookmarkEnd w:id="10"/>
    </w:p>
    <w:p w14:paraId="38573E87"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This section details our Multi-Agent Deep Deterministic Policy Gradient (MADDPG) framework for portfolio optimization. We describe the complete mathematical formulation of the multi-agent environment, the neural network architectures, training procedures, and the specialized reward functions designed for risk diversification.</w:t>
      </w:r>
    </w:p>
    <w:p w14:paraId="06069B30" w14:textId="77777777" w:rsidR="002806BA" w:rsidRPr="00526140" w:rsidRDefault="00000000">
      <w:pPr>
        <w:pStyle w:val="Heading2"/>
        <w:rPr>
          <w:rFonts w:ascii="Times New Roman" w:hAnsi="Times New Roman" w:cs="Times New Roman"/>
          <w:color w:val="000000" w:themeColor="text1"/>
        </w:rPr>
      </w:pPr>
      <w:bookmarkStart w:id="11" w:name="X1c9e9fc8d9070a19bc47724cbcaa2d3464a27a4"/>
      <w:r w:rsidRPr="00526140">
        <w:rPr>
          <w:rFonts w:ascii="Times New Roman" w:hAnsi="Times New Roman" w:cs="Times New Roman"/>
          <w:color w:val="000000" w:themeColor="text1"/>
        </w:rPr>
        <w:t>3.1 Problem Formulation: Complete MDP Definition</w:t>
      </w:r>
      <w:bookmarkEnd w:id="11"/>
    </w:p>
    <w:p w14:paraId="467C2142"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We model the portfolio optimization task as a multi-agent extension of a Markov Decision Process (MDP), formally defined by the tuple </w:t>
      </w:r>
      <m:oMath>
        <m:r>
          <w:rPr>
            <w:rFonts w:ascii="Cambria Math" w:hAnsi="Cambria Math" w:cs="Times New Roman"/>
            <w:color w:val="000000" w:themeColor="text1"/>
          </w:rPr>
          <m:t>(</m:t>
        </m:r>
        <m:r>
          <m:rPr>
            <m:scr m:val="script"/>
            <m:sty m:val="p"/>
          </m:rPr>
          <w:rPr>
            <w:rFonts w:ascii="Cambria Math" w:hAnsi="Cambria Math" w:cs="Times New Roman"/>
            <w:color w:val="000000" w:themeColor="text1"/>
          </w:rPr>
          <m:t>S</m:t>
        </m:r>
        <m:r>
          <w:rPr>
            <w:rFonts w:ascii="Cambria Math" w:hAnsi="Cambria Math" w:cs="Times New Roman"/>
            <w:color w:val="000000" w:themeColor="text1"/>
          </w:rPr>
          <m:t>,</m:t>
        </m:r>
        <m:r>
          <m:rPr>
            <m:scr m:val="script"/>
            <m:sty m:val="p"/>
          </m:rPr>
          <w:rPr>
            <w:rFonts w:ascii="Cambria Math" w:hAnsi="Cambria Math" w:cs="Times New Roman"/>
            <w:color w:val="000000" w:themeColor="text1"/>
          </w:rPr>
          <m:t>A</m:t>
        </m:r>
        <m:r>
          <w:rPr>
            <w:rFonts w:ascii="Cambria Math" w:hAnsi="Cambria Math" w:cs="Times New Roman"/>
            <w:color w:val="000000" w:themeColor="text1"/>
          </w:rPr>
          <m:t>,</m:t>
        </m:r>
        <m:r>
          <m:rPr>
            <m:scr m:val="script"/>
            <m:sty m:val="p"/>
          </m:rPr>
          <w:rPr>
            <w:rFonts w:ascii="Cambria Math" w:hAnsi="Cambria Math" w:cs="Times New Roman"/>
            <w:color w:val="000000" w:themeColor="text1"/>
          </w:rPr>
          <m:t>P</m:t>
        </m:r>
        <m:r>
          <w:rPr>
            <w:rFonts w:ascii="Cambria Math" w:hAnsi="Cambria Math" w:cs="Times New Roman"/>
            <w:color w:val="000000" w:themeColor="text1"/>
          </w:rPr>
          <m:t>,</m:t>
        </m:r>
        <m:r>
          <m:rPr>
            <m:scr m:val="script"/>
            <m:sty m:val="p"/>
          </m:rPr>
          <w:rPr>
            <w:rFonts w:ascii="Cambria Math" w:hAnsi="Cambria Math" w:cs="Times New Roman"/>
            <w:color w:val="000000" w:themeColor="text1"/>
          </w:rPr>
          <m:t>R</m:t>
        </m:r>
        <m:r>
          <w:rPr>
            <w:rFonts w:ascii="Cambria Math" w:hAnsi="Cambria Math" w:cs="Times New Roman"/>
            <w:color w:val="000000" w:themeColor="text1"/>
          </w:rPr>
          <m:t>,γ)</m:t>
        </m:r>
      </m:oMath>
      <w:r w:rsidRPr="00526140">
        <w:rPr>
          <w:rFonts w:ascii="Times New Roman" w:hAnsi="Times New Roman" w:cs="Times New Roman"/>
          <w:color w:val="000000" w:themeColor="text1"/>
        </w:rPr>
        <w:t xml:space="preserve">, where </w:t>
      </w:r>
      <m:oMath>
        <m:r>
          <w:rPr>
            <w:rFonts w:ascii="Cambria Math" w:hAnsi="Cambria Math" w:cs="Times New Roman"/>
            <w:color w:val="000000" w:themeColor="text1"/>
          </w:rPr>
          <m:t>N</m:t>
        </m:r>
      </m:oMath>
      <w:r w:rsidRPr="00526140">
        <w:rPr>
          <w:rFonts w:ascii="Times New Roman" w:hAnsi="Times New Roman" w:cs="Times New Roman"/>
          <w:color w:val="000000" w:themeColor="text1"/>
        </w:rPr>
        <w:t xml:space="preserve"> is the number of agents.</w:t>
      </w:r>
    </w:p>
    <w:p w14:paraId="2314A9E2" w14:textId="77777777" w:rsidR="002806BA" w:rsidRPr="00526140" w:rsidRDefault="00000000">
      <w:pPr>
        <w:pStyle w:val="Heading3"/>
        <w:rPr>
          <w:rFonts w:ascii="Times New Roman" w:hAnsi="Times New Roman" w:cs="Times New Roman"/>
          <w:color w:val="000000" w:themeColor="text1"/>
        </w:rPr>
      </w:pPr>
      <w:bookmarkStart w:id="12" w:name="state-space-mathcals"/>
      <w:r w:rsidRPr="00526140">
        <w:rPr>
          <w:rFonts w:ascii="Times New Roman" w:hAnsi="Times New Roman" w:cs="Times New Roman"/>
          <w:color w:val="000000" w:themeColor="text1"/>
        </w:rPr>
        <w:t>State Space (</w:t>
      </w:r>
      <m:oMath>
        <m:r>
          <m:rPr>
            <m:scr m:val="script"/>
            <m:sty m:val="b"/>
          </m:rPr>
          <w:rPr>
            <w:rFonts w:ascii="Cambria Math" w:hAnsi="Cambria Math" w:cs="Times New Roman"/>
            <w:color w:val="000000" w:themeColor="text1"/>
          </w:rPr>
          <m:t>S</m:t>
        </m:r>
      </m:oMath>
      <w:r w:rsidRPr="00526140">
        <w:rPr>
          <w:rFonts w:ascii="Times New Roman" w:hAnsi="Times New Roman" w:cs="Times New Roman"/>
          <w:color w:val="000000" w:themeColor="text1"/>
        </w:rPr>
        <w:t>)</w:t>
      </w:r>
      <w:bookmarkEnd w:id="12"/>
    </w:p>
    <w:p w14:paraId="6AC612D3"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global state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d</m:t>
            </m:r>
          </m:sup>
        </m:sSup>
      </m:oMath>
      <w:r w:rsidRPr="00526140">
        <w:rPr>
          <w:rFonts w:ascii="Times New Roman" w:hAnsi="Times New Roman" w:cs="Times New Roman"/>
          <w:color w:val="000000" w:themeColor="text1"/>
        </w:rPr>
        <w:t xml:space="preserve"> at time </w:t>
      </w:r>
      <m:oMath>
        <m:r>
          <w:rPr>
            <w:rFonts w:ascii="Cambria Math" w:hAnsi="Cambria Math" w:cs="Times New Roman"/>
            <w:color w:val="000000" w:themeColor="text1"/>
          </w:rPr>
          <m:t>t</m:t>
        </m:r>
      </m:oMath>
      <w:r w:rsidRPr="00526140">
        <w:rPr>
          <w:rFonts w:ascii="Times New Roman" w:hAnsi="Times New Roman" w:cs="Times New Roman"/>
          <w:color w:val="000000" w:themeColor="text1"/>
        </w:rPr>
        <w:t xml:space="preserve"> includes comprehensive market information:</w:t>
      </w:r>
    </w:p>
    <w:p w14:paraId="4BCD0CAE"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Historical Returns:</w:t>
      </w:r>
      <w:r w:rsidRPr="00526140">
        <w:rPr>
          <w:rFonts w:ascii="Times New Roman" w:hAnsi="Times New Roman" w:cs="Times New Roman"/>
          <w:color w:val="000000" w:themeColor="text1"/>
        </w:rPr>
        <w:t xml:space="preserve"> 20-day and 60-day returns for each asset.</w:t>
      </w:r>
    </w:p>
    <w:p w14:paraId="146C5BEF"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Technical Indicators:</w:t>
      </w:r>
      <w:r w:rsidRPr="00526140">
        <w:rPr>
          <w:rFonts w:ascii="Times New Roman" w:hAnsi="Times New Roman" w:cs="Times New Roman"/>
          <w:color w:val="000000" w:themeColor="text1"/>
        </w:rPr>
        <w:t xml:space="preserve"> RSI (Relative Strength Index) </w:t>
      </w:r>
      <m:oMath>
        <m:r>
          <w:rPr>
            <w:rFonts w:ascii="Cambria Math" w:hAnsi="Cambria Math" w:cs="Times New Roman"/>
            <w:color w:val="000000" w:themeColor="text1"/>
          </w:rPr>
          <m:t>∈[0,100]</m:t>
        </m:r>
      </m:oMath>
      <w:r w:rsidRPr="00526140">
        <w:rPr>
          <w:rFonts w:ascii="Times New Roman" w:hAnsi="Times New Roman" w:cs="Times New Roman"/>
          <w:color w:val="000000" w:themeColor="text1"/>
        </w:rPr>
        <w:t>, MACD (Moving Average Convergence Divergence), Bollinger Bands (upper, middle, lower).</w:t>
      </w:r>
    </w:p>
    <w:p w14:paraId="1C0FA8CF"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Volatility Measures:</w:t>
      </w:r>
      <w:r w:rsidRPr="00526140">
        <w:rPr>
          <w:rFonts w:ascii="Times New Roman" w:hAnsi="Times New Roman" w:cs="Times New Roman"/>
          <w:color w:val="000000" w:themeColor="text1"/>
        </w:rPr>
        <w:t xml:space="preserve"> 20-day rolling standard deviation of returns.</w:t>
      </w:r>
    </w:p>
    <w:p w14:paraId="1FCBBD88"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Sentiment Scores:</w:t>
      </w:r>
      <w:r w:rsidRPr="00526140">
        <w:rPr>
          <w:rFonts w:ascii="Times New Roman" w:hAnsi="Times New Roman" w:cs="Times New Roman"/>
          <w:color w:val="000000" w:themeColor="text1"/>
        </w:rPr>
        <w:t xml:space="preserve"> FinBERT sentiment analysis </w:t>
      </w:r>
      <m:oMath>
        <m:r>
          <w:rPr>
            <w:rFonts w:ascii="Cambria Math" w:hAnsi="Cambria Math" w:cs="Times New Roman"/>
            <w:color w:val="000000" w:themeColor="text1"/>
          </w:rPr>
          <m:t>∈[-1,1]</m:t>
        </m:r>
      </m:oMath>
      <w:r w:rsidRPr="00526140">
        <w:rPr>
          <w:rFonts w:ascii="Times New Roman" w:hAnsi="Times New Roman" w:cs="Times New Roman"/>
          <w:color w:val="000000" w:themeColor="text1"/>
        </w:rPr>
        <w:t xml:space="preserve"> from financial news.</w:t>
      </w:r>
    </w:p>
    <w:p w14:paraId="6632C3F3"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Macroeconomic Variables:</w:t>
      </w:r>
      <w:r w:rsidRPr="00526140">
        <w:rPr>
          <w:rFonts w:ascii="Times New Roman" w:hAnsi="Times New Roman" w:cs="Times New Roman"/>
          <w:color w:val="000000" w:themeColor="text1"/>
        </w:rPr>
        <w:t xml:space="preserve"> VIX index, 10-year Treasury yield.</w:t>
      </w:r>
    </w:p>
    <w:p w14:paraId="44942E4C"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lastRenderedPageBreak/>
        <w:t xml:space="preserve">Each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 receives a local observation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o</m:t>
            </m:r>
          </m:e>
          <m:sub>
            <m:r>
              <w:rPr>
                <w:rFonts w:ascii="Cambria Math" w:hAnsi="Cambria Math" w:cs="Times New Roman"/>
                <w:color w:val="000000" w:themeColor="text1"/>
              </w:rPr>
              <m:t>t</m:t>
            </m:r>
          </m:sub>
          <m:sup>
            <m:r>
              <w:rPr>
                <w:rFonts w:ascii="Cambria Math" w:hAnsi="Cambria Math" w:cs="Times New Roman"/>
                <w:color w:val="000000" w:themeColor="text1"/>
              </w:rPr>
              <m:t>i</m:t>
            </m:r>
          </m:sup>
        </m:sSub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m:t>
            </m:r>
          </m:sub>
        </m:sSub>
      </m:oMath>
      <w:r w:rsidRPr="00526140">
        <w:rPr>
          <w:rFonts w:ascii="Times New Roman" w:hAnsi="Times New Roman" w:cs="Times New Roman"/>
          <w:color w:val="000000" w:themeColor="text1"/>
        </w:rPr>
        <w:t xml:space="preserve"> consisting of the features relevant to its assigned sub-portfolio. The dimensionality of each local observation is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15×</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sup>
        </m:sSup>
      </m:oMath>
      <w:r w:rsidRPr="00526140">
        <w:rPr>
          <w:rFonts w:ascii="Times New Roman" w:hAnsi="Times New Roman" w:cs="Times New Roman"/>
          <w:color w:val="000000" w:themeColor="text1"/>
        </w:rPr>
        <w:t xml:space="preserve">, where 15 is the number of features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oMath>
      <w:r w:rsidRPr="00526140">
        <w:rPr>
          <w:rFonts w:ascii="Times New Roman" w:hAnsi="Times New Roman" w:cs="Times New Roman"/>
          <w:color w:val="000000" w:themeColor="text1"/>
        </w:rPr>
        <w:t xml:space="preserve"> is the number of assets assigned to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w:t>
      </w:r>
    </w:p>
    <w:p w14:paraId="03C0FE78" w14:textId="77777777" w:rsidR="002806BA" w:rsidRPr="00526140" w:rsidRDefault="00000000">
      <w:pPr>
        <w:pStyle w:val="Heading3"/>
        <w:rPr>
          <w:rFonts w:ascii="Times New Roman" w:hAnsi="Times New Roman" w:cs="Times New Roman"/>
          <w:color w:val="000000" w:themeColor="text1"/>
        </w:rPr>
      </w:pPr>
      <w:bookmarkStart w:id="13" w:name="action-space-mathcala"/>
      <w:r w:rsidRPr="00526140">
        <w:rPr>
          <w:rFonts w:ascii="Times New Roman" w:hAnsi="Times New Roman" w:cs="Times New Roman"/>
          <w:color w:val="000000" w:themeColor="text1"/>
        </w:rPr>
        <w:t>Action Space (</w:t>
      </w:r>
      <m:oMath>
        <m:r>
          <m:rPr>
            <m:scr m:val="script"/>
            <m:sty m:val="b"/>
          </m:rPr>
          <w:rPr>
            <w:rFonts w:ascii="Cambria Math" w:hAnsi="Cambria Math" w:cs="Times New Roman"/>
            <w:color w:val="000000" w:themeColor="text1"/>
          </w:rPr>
          <m:t>A</m:t>
        </m:r>
      </m:oMath>
      <w:r w:rsidRPr="00526140">
        <w:rPr>
          <w:rFonts w:ascii="Times New Roman" w:hAnsi="Times New Roman" w:cs="Times New Roman"/>
          <w:color w:val="000000" w:themeColor="text1"/>
        </w:rPr>
        <w:t>)</w:t>
      </w:r>
      <w:bookmarkEnd w:id="13"/>
    </w:p>
    <w:p w14:paraId="1DEEE171"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joint action space is the Cartesian product: </w:t>
      </w:r>
      <m:oMath>
        <m:r>
          <m:rPr>
            <m:scr m:val="script"/>
            <m:sty m:val="p"/>
          </m:rPr>
          <w:rPr>
            <w:rFonts w:ascii="Cambria Math" w:hAnsi="Cambria Math" w:cs="Times New Roman"/>
            <w:color w:val="000000" w:themeColor="text1"/>
          </w:rPr>
          <m:t>A</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A</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A</m:t>
            </m:r>
          </m:e>
          <m:sub>
            <m:r>
              <w:rPr>
                <w:rFonts w:ascii="Cambria Math" w:hAnsi="Cambria Math" w:cs="Times New Roman"/>
                <w:color w:val="000000" w:themeColor="text1"/>
              </w:rPr>
              <m:t>2</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script"/>
                <m:sty m:val="p"/>
              </m:rPr>
              <w:rPr>
                <w:rFonts w:ascii="Cambria Math" w:hAnsi="Cambria Math" w:cs="Times New Roman"/>
                <w:color w:val="000000" w:themeColor="text1"/>
              </w:rPr>
              <m:t>A</m:t>
            </m:r>
          </m:e>
          <m:sub>
            <m:r>
              <w:rPr>
                <w:rFonts w:ascii="Cambria Math" w:hAnsi="Cambria Math" w:cs="Times New Roman"/>
                <w:color w:val="000000" w:themeColor="text1"/>
              </w:rPr>
              <m:t>N</m:t>
            </m:r>
          </m:sub>
        </m:sSub>
      </m:oMath>
      <w:r w:rsidRPr="00526140">
        <w:rPr>
          <w:rFonts w:ascii="Times New Roman" w:hAnsi="Times New Roman" w:cs="Times New Roman"/>
          <w:color w:val="000000" w:themeColor="text1"/>
        </w:rPr>
        <w:t xml:space="preserve">. For each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 the action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sup>
        </m:sSup>
      </m:oMath>
      <w:r w:rsidRPr="00526140">
        <w:rPr>
          <w:rFonts w:ascii="Times New Roman" w:hAnsi="Times New Roman" w:cs="Times New Roman"/>
          <w:color w:val="000000" w:themeColor="text1"/>
        </w:rPr>
        <w:t xml:space="preserve"> represents the portfolio weight allocation vector for its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oMath>
      <w:r w:rsidRPr="00526140">
        <w:rPr>
          <w:rFonts w:ascii="Times New Roman" w:hAnsi="Times New Roman" w:cs="Times New Roman"/>
          <w:color w:val="000000" w:themeColor="text1"/>
        </w:rPr>
        <w:t xml:space="preserve"> assets, subject to:</w:t>
      </w:r>
    </w:p>
    <w:p w14:paraId="704B6717" w14:textId="77777777" w:rsidR="002806BA" w:rsidRPr="00526140" w:rsidRDefault="00000000">
      <w:pPr>
        <w:pStyle w:val="Compact"/>
        <w:numPr>
          <w:ilvl w:val="0"/>
          <w:numId w:val="4"/>
        </w:numPr>
        <w:rPr>
          <w:rFonts w:ascii="Times New Roman" w:hAnsi="Times New Roman" w:cs="Times New Roman"/>
          <w:color w:val="000000" w:themeColor="text1"/>
        </w:rPr>
      </w:pPr>
      <w:r w:rsidRPr="00526140">
        <w:rPr>
          <w:rFonts w:ascii="Times New Roman" w:hAnsi="Times New Roman" w:cs="Times New Roman"/>
          <w:b/>
          <w:color w:val="000000" w:themeColor="text1"/>
        </w:rPr>
        <w:t>Normalization constraint:</w:t>
      </w:r>
      <w:r w:rsidRPr="00526140">
        <w:rPr>
          <w:rFonts w:ascii="Times New Roman" w:hAnsi="Times New Roman" w:cs="Times New Roman"/>
          <w:color w:val="000000" w:themeColor="text1"/>
        </w:rPr>
        <w:t xml:space="preserve"> </w:t>
      </w:r>
      <m:oMath>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i,j</m:t>
                </m:r>
              </m:sub>
            </m:sSub>
          </m:e>
        </m:nary>
        <m:r>
          <w:rPr>
            <w:rFonts w:ascii="Cambria Math" w:hAnsi="Cambria Math" w:cs="Times New Roman"/>
            <w:color w:val="000000" w:themeColor="text1"/>
          </w:rPr>
          <m:t>=1</m:t>
        </m:r>
      </m:oMath>
      <w:r w:rsidRPr="00526140">
        <w:rPr>
          <w:rFonts w:ascii="Times New Roman" w:hAnsi="Times New Roman" w:cs="Times New Roman"/>
          <w:color w:val="000000" w:themeColor="text1"/>
        </w:rPr>
        <w:t xml:space="preserve"> (weights sum to 1).</w:t>
      </w:r>
    </w:p>
    <w:p w14:paraId="17BEE2A8" w14:textId="77777777" w:rsidR="002806BA" w:rsidRPr="00526140" w:rsidRDefault="00000000">
      <w:pPr>
        <w:pStyle w:val="Compact"/>
        <w:numPr>
          <w:ilvl w:val="0"/>
          <w:numId w:val="4"/>
        </w:numPr>
        <w:rPr>
          <w:rFonts w:ascii="Times New Roman" w:hAnsi="Times New Roman" w:cs="Times New Roman"/>
          <w:color w:val="000000" w:themeColor="text1"/>
        </w:rPr>
      </w:pPr>
      <w:r w:rsidRPr="00526140">
        <w:rPr>
          <w:rFonts w:ascii="Times New Roman" w:hAnsi="Times New Roman" w:cs="Times New Roman"/>
          <w:b/>
          <w:color w:val="000000" w:themeColor="text1"/>
        </w:rPr>
        <w:t>Long-only constraint:</w:t>
      </w:r>
      <w:r w:rsidRPr="00526140">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i,j</m:t>
            </m:r>
          </m:sub>
        </m:sSub>
        <m:r>
          <w:rPr>
            <w:rFonts w:ascii="Cambria Math" w:hAnsi="Cambria Math" w:cs="Times New Roman"/>
            <w:color w:val="000000" w:themeColor="text1"/>
          </w:rPr>
          <m:t>≥0 ∀j</m:t>
        </m:r>
      </m:oMath>
      <w:r w:rsidRPr="00526140">
        <w:rPr>
          <w:rFonts w:ascii="Times New Roman" w:hAnsi="Times New Roman" w:cs="Times New Roman"/>
          <w:color w:val="000000" w:themeColor="text1"/>
        </w:rPr>
        <w:t xml:space="preserve"> (no short positions).</w:t>
      </w:r>
    </w:p>
    <w:p w14:paraId="1109FFE8"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These constraints are enforced through a softmax activation in the actor network output layer.</w:t>
      </w:r>
    </w:p>
    <w:p w14:paraId="47AB1596" w14:textId="77777777" w:rsidR="002806BA" w:rsidRPr="00526140" w:rsidRDefault="00000000">
      <w:pPr>
        <w:pStyle w:val="Heading3"/>
        <w:rPr>
          <w:rFonts w:ascii="Times New Roman" w:hAnsi="Times New Roman" w:cs="Times New Roman"/>
          <w:color w:val="000000" w:themeColor="text1"/>
        </w:rPr>
      </w:pPr>
      <w:bookmarkStart w:id="14" w:name="transition-probability-mathcalp"/>
      <w:r w:rsidRPr="00526140">
        <w:rPr>
          <w:rFonts w:ascii="Times New Roman" w:hAnsi="Times New Roman" w:cs="Times New Roman"/>
          <w:color w:val="000000" w:themeColor="text1"/>
        </w:rPr>
        <w:t>Transition Probability (</w:t>
      </w:r>
      <m:oMath>
        <m:r>
          <m:rPr>
            <m:scr m:val="script"/>
            <m:sty m:val="b"/>
          </m:rPr>
          <w:rPr>
            <w:rFonts w:ascii="Cambria Math" w:hAnsi="Cambria Math" w:cs="Times New Roman"/>
            <w:color w:val="000000" w:themeColor="text1"/>
          </w:rPr>
          <m:t>P</m:t>
        </m:r>
      </m:oMath>
      <w:r w:rsidRPr="00526140">
        <w:rPr>
          <w:rFonts w:ascii="Times New Roman" w:hAnsi="Times New Roman" w:cs="Times New Roman"/>
          <w:color w:val="000000" w:themeColor="text1"/>
        </w:rPr>
        <w:t>)</w:t>
      </w:r>
      <w:bookmarkEnd w:id="14"/>
    </w:p>
    <w:p w14:paraId="0967FF13"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state transition function </w:t>
      </w:r>
      <m:oMath>
        <m:r>
          <m:rPr>
            <m:scr m:val="script"/>
            <m:sty m:val="p"/>
          </m:rPr>
          <w:rPr>
            <w:rFonts w:ascii="Cambria Math" w:hAnsi="Cambria Math" w:cs="Times New Roman"/>
            <w:color w:val="000000" w:themeColor="text1"/>
          </w:rPr>
          <m:t>P</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t</m:t>
            </m:r>
          </m:sub>
        </m:sSub>
        <m:r>
          <w:rPr>
            <w:rFonts w:ascii="Cambria Math" w:hAnsi="Cambria Math" w:cs="Times New Roman"/>
            <w:color w:val="000000" w:themeColor="text1"/>
          </w:rPr>
          <m:t>)</m:t>
        </m:r>
      </m:oMath>
      <w:r w:rsidRPr="00526140">
        <w:rPr>
          <w:rFonts w:ascii="Times New Roman" w:hAnsi="Times New Roman" w:cs="Times New Roman"/>
          <w:color w:val="000000" w:themeColor="text1"/>
        </w:rPr>
        <w:t xml:space="preserve"> represents the evolution of market dynamics. Agent actions affect portfolio composition but do not directly influence market prices (assuming no market impact for institutional-scale trades on liquid assets).</w:t>
      </w:r>
    </w:p>
    <w:p w14:paraId="75B13EBC" w14:textId="77777777" w:rsidR="002806BA" w:rsidRPr="00526140" w:rsidRDefault="00000000">
      <w:pPr>
        <w:pStyle w:val="Heading2"/>
        <w:rPr>
          <w:rFonts w:ascii="Times New Roman" w:hAnsi="Times New Roman" w:cs="Times New Roman"/>
          <w:color w:val="000000" w:themeColor="text1"/>
        </w:rPr>
      </w:pPr>
      <w:bookmarkStart w:id="15" w:name="maddpg-training-objective"/>
      <w:r w:rsidRPr="00526140">
        <w:rPr>
          <w:rFonts w:ascii="Times New Roman" w:hAnsi="Times New Roman" w:cs="Times New Roman"/>
          <w:color w:val="000000" w:themeColor="text1"/>
        </w:rPr>
        <w:t>3.2 MADDPG Training Objective</w:t>
      </w:r>
      <w:bookmarkEnd w:id="15"/>
    </w:p>
    <w:p w14:paraId="2BC0B366"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MADDPG framework uses a centralized critic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oMath>
      <w:r w:rsidRPr="00526140">
        <w:rPr>
          <w:rFonts w:ascii="Times New Roman" w:hAnsi="Times New Roman" w:cs="Times New Roman"/>
          <w:color w:val="000000" w:themeColor="text1"/>
        </w:rPr>
        <w:t xml:space="preserve"> for each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 during training, which takes the global state </w:t>
      </w:r>
      <m:oMath>
        <m:r>
          <w:rPr>
            <w:rFonts w:ascii="Cambria Math" w:hAnsi="Cambria Math" w:cs="Times New Roman"/>
            <w:color w:val="000000" w:themeColor="text1"/>
          </w:rPr>
          <m:t>s</m:t>
        </m:r>
      </m:oMath>
      <w:r w:rsidRPr="00526140">
        <w:rPr>
          <w:rFonts w:ascii="Times New Roman" w:hAnsi="Times New Roman" w:cs="Times New Roman"/>
          <w:color w:val="000000" w:themeColor="text1"/>
        </w:rPr>
        <w:t xml:space="preserve"> and the joint action </w:t>
      </w:r>
      <m:oMath>
        <m:r>
          <m:rPr>
            <m:sty m:val="b"/>
          </m:rPr>
          <w:rPr>
            <w:rFonts w:ascii="Cambria Math" w:hAnsi="Cambria Math" w:cs="Times New Roman"/>
            <w:color w:val="000000" w:themeColor="text1"/>
          </w:rPr>
          <m:t>a</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1</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N</m:t>
            </m:r>
          </m:sup>
        </m:sSup>
        <m:r>
          <w:rPr>
            <w:rFonts w:ascii="Cambria Math" w:hAnsi="Cambria Math" w:cs="Times New Roman"/>
            <w:color w:val="000000" w:themeColor="text1"/>
          </w:rPr>
          <m:t>)</m:t>
        </m:r>
      </m:oMath>
      <w:r w:rsidRPr="00526140">
        <w:rPr>
          <w:rFonts w:ascii="Times New Roman" w:hAnsi="Times New Roman" w:cs="Times New Roman"/>
          <w:color w:val="000000" w:themeColor="text1"/>
        </w:rPr>
        <w:t xml:space="preserve"> as input. The overall system architecture, illustrating the interaction between agents and the centralized critic, is shown in Figure 1.</w:t>
      </w:r>
    </w:p>
    <w:p w14:paraId="1AAF28B3" w14:textId="62052987" w:rsidR="002806BA" w:rsidRPr="00526140" w:rsidRDefault="00F577DF">
      <w:pPr>
        <w:pStyle w:val="BodyText"/>
        <w:rPr>
          <w:rFonts w:ascii="Times New Roman" w:hAnsi="Times New Roman" w:cs="Times New Roman"/>
          <w:color w:val="000000" w:themeColor="text1"/>
        </w:rPr>
      </w:pPr>
      <w:r>
        <w:rPr>
          <w:noProof/>
        </w:rPr>
        <w:drawing>
          <wp:inline distT="0" distB="0" distL="0" distR="0" wp14:anchorId="7B1716A7" wp14:editId="3FCCF31D">
            <wp:extent cx="5334000" cy="3031553"/>
            <wp:effectExtent l="0" t="0" r="0" b="0"/>
            <wp:docPr id="1" name="Picture" descr="Figure 1: MADDPG Architecture for Portfolio Optimization"/>
            <wp:cNvGraphicFramePr/>
            <a:graphic xmlns:a="http://schemas.openxmlformats.org/drawingml/2006/main">
              <a:graphicData uri="http://schemas.openxmlformats.org/drawingml/2006/picture">
                <pic:pic xmlns:pic="http://schemas.openxmlformats.org/drawingml/2006/picture">
                  <pic:nvPicPr>
                    <pic:cNvPr id="0" name="Picture" descr="/home/ubuntu/figures/figure8_architecture_diagram.png"/>
                    <pic:cNvPicPr>
                      <a:picLocks noChangeAspect="1" noChangeArrowheads="1"/>
                    </pic:cNvPicPr>
                  </pic:nvPicPr>
                  <pic:blipFill>
                    <a:blip r:embed="rId7"/>
                    <a:stretch>
                      <a:fillRect/>
                    </a:stretch>
                  </pic:blipFill>
                  <pic:spPr bwMode="auto">
                    <a:xfrm>
                      <a:off x="0" y="0"/>
                      <a:ext cx="5334000" cy="3031553"/>
                    </a:xfrm>
                    <a:prstGeom prst="rect">
                      <a:avLst/>
                    </a:prstGeom>
                    <a:noFill/>
                    <a:ln w="9525">
                      <a:noFill/>
                      <a:headEnd/>
                      <a:tailEnd/>
                    </a:ln>
                  </pic:spPr>
                </pic:pic>
              </a:graphicData>
            </a:graphic>
          </wp:inline>
        </w:drawing>
      </w:r>
      <w:r w:rsidRPr="00526140">
        <w:rPr>
          <w:rFonts w:ascii="Times New Roman" w:hAnsi="Times New Roman" w:cs="Times New Roman"/>
          <w:color w:val="000000" w:themeColor="text1"/>
        </w:rPr>
        <w:t xml:space="preserve"> The critic is trained to minimize the loss:</w:t>
      </w:r>
    </w:p>
    <w:p w14:paraId="4CB909EF" w14:textId="77777777" w:rsidR="002806BA" w:rsidRPr="00526140" w:rsidRDefault="00000000">
      <w:pPr>
        <w:pStyle w:val="BodyText"/>
        <w:rPr>
          <w:rFonts w:ascii="Times New Roman" w:hAnsi="Times New Roman" w:cs="Times New Roman"/>
          <w:color w:val="000000" w:themeColor="text1"/>
        </w:rPr>
      </w:pPr>
      <m:oMathPara>
        <m:oMathParaPr>
          <m:jc m:val="center"/>
        </m:oMathParaPr>
        <m:oMath>
          <m:r>
            <m:rPr>
              <m:scr m:val="script"/>
              <m:sty m:val="p"/>
            </m:rPr>
            <w:rPr>
              <w:rFonts w:ascii="Cambria Math" w:hAnsi="Cambria Math" w:cs="Times New Roman"/>
              <w:color w:val="000000" w:themeColor="text1"/>
            </w:rPr>
            <m:t>L</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ϕ</m:t>
              </m:r>
            </m:e>
            <m:sup>
              <m:r>
                <w:rPr>
                  <w:rFonts w:ascii="Cambria Math" w:hAnsi="Cambria Math" w:cs="Times New Roman"/>
                  <w:color w:val="000000" w:themeColor="text1"/>
                </w:rPr>
                <m:t>i</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double-struck"/>
                  <m:sty m:val="p"/>
                </m:rPr>
                <w:rPr>
                  <w:rFonts w:ascii="Cambria Math" w:hAnsi="Cambria Math" w:cs="Times New Roman"/>
                  <w:color w:val="000000" w:themeColor="text1"/>
                </w:rPr>
                <m:t>E</m:t>
              </m:r>
            </m:e>
            <m:sub>
              <m:r>
                <w:rPr>
                  <w:rFonts w:ascii="Cambria Math" w:hAnsi="Cambria Math" w:cs="Times New Roman"/>
                  <w:color w:val="000000" w:themeColor="text1"/>
                </w:rPr>
                <m:t>s,</m:t>
              </m:r>
              <m:r>
                <m:rPr>
                  <m:sty m:val="b"/>
                </m:rPr>
                <w:rPr>
                  <w:rFonts w:ascii="Cambria Math" w:hAnsi="Cambria Math" w:cs="Times New Roman"/>
                  <w:color w:val="000000" w:themeColor="text1"/>
                </w:rPr>
                <m:t>a</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i</m:t>
                  </m:r>
                </m:sup>
              </m:sSup>
              <m:r>
                <w:rPr>
                  <w:rFonts w:ascii="Cambria Math" w:hAnsi="Cambria Math" w:cs="Times New Roman"/>
                  <w:color w:val="000000" w:themeColor="text1"/>
                </w:rPr>
                <m:t>,s'</m:t>
              </m:r>
            </m:sub>
          </m:sSub>
          <m:d>
            <m:dPr>
              <m:begChr m:val="["/>
              <m:endChr m:val="]"/>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r>
                        <w:rPr>
                          <w:rFonts w:ascii="Cambria Math" w:hAnsi="Cambria Math" w:cs="Times New Roman"/>
                          <w:color w:val="000000" w:themeColor="text1"/>
                        </w:rPr>
                        <m:t>(s,</m:t>
                      </m:r>
                      <m:r>
                        <m:rPr>
                          <m:sty m:val="b"/>
                        </m:rPr>
                        <w:rPr>
                          <w:rFonts w:ascii="Cambria Math" w:hAnsi="Cambria Math" w:cs="Times New Roman"/>
                          <w:color w:val="000000" w:themeColor="text1"/>
                        </w:rPr>
                        <m:t>a</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ϕ</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y</m:t>
                          </m:r>
                        </m:e>
                        <m:sup>
                          <m:r>
                            <w:rPr>
                              <w:rFonts w:ascii="Cambria Math" w:hAnsi="Cambria Math" w:cs="Times New Roman"/>
                              <w:color w:val="000000" w:themeColor="text1"/>
                            </w:rPr>
                            <m:t>i</m:t>
                          </m:r>
                        </m:sup>
                      </m:sSup>
                    </m:e>
                  </m:d>
                </m:e>
                <m:sup>
                  <m:r>
                    <w:rPr>
                      <w:rFonts w:ascii="Cambria Math" w:hAnsi="Cambria Math" w:cs="Times New Roman"/>
                      <w:color w:val="000000" w:themeColor="text1"/>
                    </w:rPr>
                    <m:t>2</m:t>
                  </m:r>
                </m:sup>
              </m:sSup>
            </m:e>
          </m:d>
        </m:oMath>
      </m:oMathPara>
    </w:p>
    <w:p w14:paraId="71BEE46C"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lastRenderedPageBreak/>
        <w:t>where the TD target is:</w:t>
      </w:r>
    </w:p>
    <w:p w14:paraId="434DF1D4" w14:textId="77777777" w:rsidR="002806BA" w:rsidRPr="00526140" w:rsidRDefault="00000000">
      <w:pPr>
        <w:pStyle w:val="BodyText"/>
        <w:rPr>
          <w:rFonts w:ascii="Times New Roman" w:hAnsi="Times New Roman" w:cs="Times New Roman"/>
          <w:color w:val="000000" w:themeColor="text1"/>
        </w:rPr>
      </w:pPr>
      <m:oMathPara>
        <m:oMathParaPr>
          <m:jc m:val="center"/>
        </m:oMathParaPr>
        <m:oMath>
          <m:sSup>
            <m:sSupPr>
              <m:ctrlPr>
                <w:rPr>
                  <w:rFonts w:ascii="Cambria Math" w:hAnsi="Cambria Math" w:cs="Times New Roman"/>
                  <w:color w:val="000000" w:themeColor="text1"/>
                </w:rPr>
              </m:ctrlPr>
            </m:sSupPr>
            <m:e>
              <m:r>
                <w:rPr>
                  <w:rFonts w:ascii="Cambria Math" w:hAnsi="Cambria Math" w:cs="Times New Roman"/>
                  <w:color w:val="000000" w:themeColor="text1"/>
                </w:rPr>
                <m:t>y</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i</m:t>
              </m:r>
            </m:sup>
          </m:sSup>
          <m:r>
            <w:rPr>
              <w:rFonts w:ascii="Cambria Math" w:hAnsi="Cambria Math" w:cs="Times New Roman"/>
              <w:color w:val="000000" w:themeColor="text1"/>
            </w:rPr>
            <m:t>+γ</m:t>
          </m:r>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r>
            <w:rPr>
              <w:rFonts w:ascii="Cambria Math" w:hAnsi="Cambria Math" w:cs="Times New Roman"/>
              <w:color w:val="000000" w:themeColor="text1"/>
            </w:rPr>
            <m:t>(s',</m:t>
          </m: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'1</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'1</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'N</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'N</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ϕ</m:t>
              </m:r>
            </m:e>
            <m:sup>
              <m:r>
                <w:rPr>
                  <w:rFonts w:ascii="Cambria Math" w:hAnsi="Cambria Math" w:cs="Times New Roman"/>
                  <w:color w:val="000000" w:themeColor="text1"/>
                </w:rPr>
                <m:t>'i</m:t>
              </m:r>
            </m:sup>
          </m:sSup>
          <m:r>
            <w:rPr>
              <w:rFonts w:ascii="Cambria Math" w:hAnsi="Cambria Math" w:cs="Times New Roman"/>
              <w:color w:val="000000" w:themeColor="text1"/>
            </w:rPr>
            <m:t>)</m:t>
          </m:r>
        </m:oMath>
      </m:oMathPara>
    </w:p>
    <w:p w14:paraId="20432FC1"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actor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i</m:t>
            </m:r>
          </m:sup>
        </m:sSup>
      </m:oMath>
      <w:r w:rsidRPr="00526140">
        <w:rPr>
          <w:rFonts w:ascii="Times New Roman" w:hAnsi="Times New Roman" w:cs="Times New Roman"/>
          <w:color w:val="000000" w:themeColor="text1"/>
        </w:rPr>
        <w:t xml:space="preserve"> for each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 is updated using the policy gradient:</w:t>
      </w:r>
    </w:p>
    <w:p w14:paraId="4C8BBB81" w14:textId="77777777" w:rsidR="002806BA" w:rsidRPr="00526140"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sSup>
                <m:sSupPr>
                  <m:ctrlPr>
                    <w:rPr>
                      <w:rFonts w:ascii="Cambria Math" w:hAnsi="Cambria Math" w:cs="Times New Roman"/>
                      <w:color w:val="000000" w:themeColor="text1"/>
                    </w:rPr>
                  </m:ctrlPr>
                </m:sSupPr>
                <m:e>
                  <m:r>
                    <w:rPr>
                      <w:rFonts w:ascii="Cambria Math" w:hAnsi="Cambria Math" w:cs="Times New Roman"/>
                      <w:color w:val="000000" w:themeColor="text1"/>
                    </w:rPr>
                    <m:t>θ</m:t>
                  </m:r>
                </m:e>
                <m:sup>
                  <m:r>
                    <w:rPr>
                      <w:rFonts w:ascii="Cambria Math" w:hAnsi="Cambria Math" w:cs="Times New Roman"/>
                      <w:color w:val="000000" w:themeColor="text1"/>
                    </w:rPr>
                    <m:t>i</m:t>
                  </m:r>
                </m:sup>
              </m:sSup>
            </m:sub>
          </m:sSub>
          <m:r>
            <w:rPr>
              <w:rFonts w:ascii="Cambria Math" w:hAnsi="Cambria Math" w:cs="Times New Roman"/>
              <w:color w:val="000000" w:themeColor="text1"/>
            </w:rPr>
            <m:t>J(</m:t>
          </m:r>
          <m:sSup>
            <m:sSupPr>
              <m:ctrlPr>
                <w:rPr>
                  <w:rFonts w:ascii="Cambria Math" w:hAnsi="Cambria Math" w:cs="Times New Roman"/>
                  <w:color w:val="000000" w:themeColor="text1"/>
                </w:rPr>
              </m:ctrlPr>
            </m:sSupPr>
            <m:e>
              <m:r>
                <w:rPr>
                  <w:rFonts w:ascii="Cambria Math" w:hAnsi="Cambria Math" w:cs="Times New Roman"/>
                  <w:color w:val="000000" w:themeColor="text1"/>
                </w:rPr>
                <m:t>θ</m:t>
              </m:r>
            </m:e>
            <m:sup>
              <m:r>
                <w:rPr>
                  <w:rFonts w:ascii="Cambria Math" w:hAnsi="Cambria Math" w:cs="Times New Roman"/>
                  <w:color w:val="000000" w:themeColor="text1"/>
                </w:rPr>
                <m:t>i</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cr m:val="double-struck"/>
                  <m:sty m:val="p"/>
                </m:rPr>
                <w:rPr>
                  <w:rFonts w:ascii="Cambria Math" w:hAnsi="Cambria Math" w:cs="Times New Roman"/>
                  <w:color w:val="000000" w:themeColor="text1"/>
                </w:rPr>
                <m:t>E</m:t>
              </m:r>
            </m:e>
            <m:sub>
              <m:r>
                <w:rPr>
                  <w:rFonts w:ascii="Cambria Math" w:hAnsi="Cambria Math" w:cs="Times New Roman"/>
                  <w:color w:val="000000" w:themeColor="text1"/>
                </w:rPr>
                <m:t>s,</m:t>
              </m:r>
              <m:r>
                <m:rPr>
                  <m:sty m:val="b"/>
                </m:rPr>
                <w:rPr>
                  <w:rFonts w:ascii="Cambria Math" w:hAnsi="Cambria Math" w:cs="Times New Roman"/>
                  <w:color w:val="000000" w:themeColor="text1"/>
                </w:rPr>
                <m:t>a</m:t>
              </m:r>
            </m:sub>
          </m:sSub>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sSup>
                    <m:sSupPr>
                      <m:ctrlPr>
                        <w:rPr>
                          <w:rFonts w:ascii="Cambria Math" w:hAnsi="Cambria Math" w:cs="Times New Roman"/>
                          <w:color w:val="000000" w:themeColor="text1"/>
                        </w:rPr>
                      </m:ctrlPr>
                    </m:sSupPr>
                    <m:e>
                      <m:r>
                        <w:rPr>
                          <w:rFonts w:ascii="Cambria Math" w:hAnsi="Cambria Math" w:cs="Times New Roman"/>
                          <w:color w:val="000000" w:themeColor="text1"/>
                        </w:rPr>
                        <m:t>θ</m:t>
                      </m:r>
                    </m:e>
                    <m:sup>
                      <m:r>
                        <w:rPr>
                          <w:rFonts w:ascii="Cambria Math" w:hAnsi="Cambria Math" w:cs="Times New Roman"/>
                          <w:color w:val="000000" w:themeColor="text1"/>
                        </w:rPr>
                        <m:t>i</m:t>
                      </m:r>
                    </m:sup>
                  </m:sSup>
                </m:sub>
              </m:sSub>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i</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i</m:t>
                      </m:r>
                    </m:sup>
                  </m:sSup>
                </m:sub>
              </m:sSub>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r>
                <w:rPr>
                  <w:rFonts w:ascii="Cambria Math" w:hAnsi="Cambria Math" w:cs="Times New Roman"/>
                  <w:color w:val="000000" w:themeColor="text1"/>
                </w:rPr>
                <m:t>(s,</m:t>
              </m:r>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1</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N</m:t>
                  </m:r>
                </m:sup>
              </m:s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sSup>
                    <m:sSupPr>
                      <m:ctrlPr>
                        <w:rPr>
                          <w:rFonts w:ascii="Cambria Math" w:hAnsi="Cambria Math" w:cs="Times New Roman"/>
                          <w:color w:val="000000" w:themeColor="text1"/>
                        </w:rPr>
                      </m:ctrlPr>
                    </m:sSupPr>
                    <m:e>
                      <m:r>
                        <w:rPr>
                          <w:rFonts w:ascii="Cambria Math" w:hAnsi="Cambria Math" w:cs="Times New Roman"/>
                          <w:color w:val="000000" w:themeColor="text1"/>
                        </w:rPr>
                        <m:t>a</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i</m:t>
                      </m:r>
                    </m:sup>
                  </m:sSup>
                  <m:r>
                    <w:rPr>
                      <w:rFonts w:ascii="Cambria Math" w:hAnsi="Cambria Math" w:cs="Times New Roman"/>
                      <w:color w:val="000000" w:themeColor="text1"/>
                    </w:rPr>
                    <m:t>)</m:t>
                  </m:r>
                </m:sub>
              </m:sSub>
            </m:e>
          </m:d>
        </m:oMath>
      </m:oMathPara>
    </w:p>
    <w:p w14:paraId="27A52D24"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Target networks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'i</m:t>
            </m:r>
          </m:sup>
        </m:sSup>
      </m:oMath>
      <w:r w:rsidRPr="00526140">
        <w:rPr>
          <w:rFonts w:ascii="Times New Roman" w:hAnsi="Times New Roman" w:cs="Times New Roman"/>
          <w:color w:val="000000" w:themeColor="text1"/>
        </w:rPr>
        <w:t xml:space="preserve"> and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oMath>
      <w:r w:rsidRPr="00526140">
        <w:rPr>
          <w:rFonts w:ascii="Times New Roman" w:hAnsi="Times New Roman" w:cs="Times New Roman"/>
          <w:color w:val="000000" w:themeColor="text1"/>
        </w:rPr>
        <w:t xml:space="preserve">) are updated using Polyak averaging (soft update) with a rate </w:t>
      </w:r>
      <m:oMath>
        <m:r>
          <w:rPr>
            <w:rFonts w:ascii="Cambria Math" w:hAnsi="Cambria Math" w:cs="Times New Roman"/>
            <w:color w:val="000000" w:themeColor="text1"/>
          </w:rPr>
          <m:t>τ=0.001</m:t>
        </m:r>
      </m:oMath>
      <w:r w:rsidRPr="00526140">
        <w:rPr>
          <w:rFonts w:ascii="Times New Roman" w:hAnsi="Times New Roman" w:cs="Times New Roman"/>
          <w:color w:val="000000" w:themeColor="text1"/>
        </w:rPr>
        <w:t>.</w:t>
      </w:r>
    </w:p>
    <w:p w14:paraId="06C1796D" w14:textId="77777777" w:rsidR="002806BA" w:rsidRPr="00526140" w:rsidRDefault="00000000">
      <w:pPr>
        <w:pStyle w:val="Heading2"/>
        <w:rPr>
          <w:rFonts w:ascii="Times New Roman" w:hAnsi="Times New Roman" w:cs="Times New Roman"/>
          <w:color w:val="000000" w:themeColor="text1"/>
        </w:rPr>
      </w:pPr>
      <w:bookmarkStart w:id="16" w:name="diversity-promoting-reward-structure"/>
      <w:r w:rsidRPr="00526140">
        <w:rPr>
          <w:rFonts w:ascii="Times New Roman" w:hAnsi="Times New Roman" w:cs="Times New Roman"/>
          <w:color w:val="000000" w:themeColor="text1"/>
        </w:rPr>
        <w:t>3.3 Diversity-Promoting Reward Structure</w:t>
      </w:r>
      <w:bookmarkEnd w:id="16"/>
    </w:p>
    <w:p w14:paraId="475BF8AE"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To ensure that agents do not converge to identical strategies—a phenomenon known as “strategy collapse”—we introduce an explicit diversity penalty into the reward function. The total reward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r</m:t>
                </m:r>
              </m:e>
            </m:acc>
          </m:e>
          <m:sub>
            <m:r>
              <w:rPr>
                <w:rFonts w:ascii="Cambria Math" w:hAnsi="Cambria Math" w:cs="Times New Roman"/>
                <w:color w:val="000000" w:themeColor="text1"/>
              </w:rPr>
              <m:t>i,t</m:t>
            </m:r>
          </m:sub>
        </m:sSub>
      </m:oMath>
      <w:r w:rsidRPr="00526140">
        <w:rPr>
          <w:rFonts w:ascii="Times New Roman" w:hAnsi="Times New Roman" w:cs="Times New Roman"/>
          <w:color w:val="000000" w:themeColor="text1"/>
        </w:rPr>
        <w:t xml:space="preserve"> for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 at time </w:t>
      </w:r>
      <m:oMath>
        <m:r>
          <w:rPr>
            <w:rFonts w:ascii="Cambria Math" w:hAnsi="Cambria Math" w:cs="Times New Roman"/>
            <w:color w:val="000000" w:themeColor="text1"/>
          </w:rPr>
          <m:t>t</m:t>
        </m:r>
      </m:oMath>
      <w:r w:rsidRPr="00526140">
        <w:rPr>
          <w:rFonts w:ascii="Times New Roman" w:hAnsi="Times New Roman" w:cs="Times New Roman"/>
          <w:color w:val="000000" w:themeColor="text1"/>
        </w:rPr>
        <w:t xml:space="preserve"> is:</w:t>
      </w:r>
    </w:p>
    <w:p w14:paraId="2E5FF9E3" w14:textId="77777777" w:rsidR="002806BA" w:rsidRPr="00526140"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r</m:t>
                  </m:r>
                </m:e>
              </m:acc>
            </m:e>
            <m:sub>
              <m:r>
                <w:rPr>
                  <w:rFonts w:ascii="Cambria Math" w:hAnsi="Cambria Math" w:cs="Times New Roman"/>
                  <w:color w:val="000000" w:themeColor="text1"/>
                </w:rPr>
                <m:t>i,t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m:t>
              </m:r>
            </m:sub>
          </m:sSub>
          <m:r>
            <w:rPr>
              <w:rFonts w:ascii="Cambria Math" w:hAnsi="Cambria Math" w:cs="Times New Roman"/>
              <w:color w:val="000000" w:themeColor="text1"/>
            </w:rPr>
            <m:t>-λ</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j≠i</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i,j,t</m:t>
                  </m:r>
                </m:sub>
              </m:sSub>
            </m:e>
          </m:nary>
        </m:oMath>
      </m:oMathPara>
    </w:p>
    <w:p w14:paraId="330248AA"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where:</w:t>
      </w:r>
    </w:p>
    <w:p w14:paraId="79AA7B5E" w14:textId="77777777" w:rsidR="002806BA" w:rsidRPr="00526140" w:rsidRDefault="00000000" w:rsidP="00526140">
      <w:pPr>
        <w:ind w:left="360"/>
        <w:rPr>
          <w:rFonts w:ascii="Times New Roman" w:hAnsi="Times New Roman" w:cs="Times New Roman"/>
          <w:color w:val="000000" w:themeColor="text1"/>
        </w:rPr>
      </w:pPr>
      <w:r w:rsidRPr="00526140">
        <w:rPr>
          <w:rFonts w:ascii="Times New Roman" w:hAnsi="Times New Roman" w:cs="Times New Roman"/>
          <w:b/>
          <w:color w:val="000000" w:themeColor="text1"/>
        </w:rPr>
        <w:t>Base Reward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m:t>
            </m:r>
          </m:sub>
        </m:sSub>
      </m:oMath>
      <w:r w:rsidRPr="00526140">
        <w:rPr>
          <w:rFonts w:ascii="Times New Roman" w:hAnsi="Times New Roman" w:cs="Times New Roman"/>
          <w:b/>
          <w:color w:val="000000" w:themeColor="text1"/>
        </w:rPr>
        <w:t>):</w:t>
      </w:r>
      <w:r w:rsidRPr="00526140">
        <w:rPr>
          <w:rFonts w:ascii="Times New Roman" w:hAnsi="Times New Roman" w:cs="Times New Roman"/>
          <w:color w:val="000000" w:themeColor="text1"/>
        </w:rPr>
        <w:t xml:space="preserve"> The risk-adjusted return of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’s sub-portfolio, calculated as a daily Sharpe ratio:</w:t>
      </w:r>
    </w:p>
    <w:p w14:paraId="1C4BCEA5" w14:textId="77777777" w:rsidR="002806BA" w:rsidRPr="00526140" w:rsidRDefault="00000000" w:rsidP="00526140">
      <w:pPr>
        <w:pStyle w:val="BodyText"/>
        <w:ind w:left="360"/>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f,t</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i,t</m:t>
                  </m:r>
                </m:sub>
              </m:sSub>
            </m:den>
          </m:f>
        </m:oMath>
      </m:oMathPara>
    </w:p>
    <w:p w14:paraId="23434F68" w14:textId="77777777" w:rsidR="002806BA" w:rsidRPr="00526140" w:rsidRDefault="00000000" w:rsidP="00526140">
      <w:pPr>
        <w:ind w:left="360"/>
        <w:rPr>
          <w:rFonts w:ascii="Times New Roman" w:hAnsi="Times New Roman" w:cs="Times New Roman"/>
          <w:color w:val="000000" w:themeColor="text1"/>
        </w:rPr>
      </w:pPr>
      <w:r w:rsidRPr="00526140">
        <w:rPr>
          <w:rFonts w:ascii="Times New Roman" w:hAnsi="Times New Roman" w:cs="Times New Roman"/>
          <w:color w:val="000000" w:themeColor="text1"/>
        </w:rPr>
        <w:t xml:space="preserve">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m:t>
            </m:r>
          </m:sub>
        </m:sSub>
      </m:oMath>
      <w:r w:rsidRPr="00526140">
        <w:rPr>
          <w:rFonts w:ascii="Times New Roman" w:hAnsi="Times New Roman" w:cs="Times New Roman"/>
          <w:color w:val="000000" w:themeColor="text1"/>
        </w:rPr>
        <w:t xml:space="preserve"> is the weighted portfolio return,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f,t</m:t>
            </m:r>
          </m:sub>
        </m:sSub>
      </m:oMath>
      <w:r w:rsidRPr="00526140">
        <w:rPr>
          <w:rFonts w:ascii="Times New Roman" w:hAnsi="Times New Roman" w:cs="Times New Roman"/>
          <w:color w:val="000000" w:themeColor="text1"/>
        </w:rPr>
        <w:t xml:space="preserve"> is the daily risk-free rate,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i,t</m:t>
            </m:r>
          </m:sub>
        </m:sSub>
      </m:oMath>
      <w:r w:rsidRPr="00526140">
        <w:rPr>
          <w:rFonts w:ascii="Times New Roman" w:hAnsi="Times New Roman" w:cs="Times New Roman"/>
          <w:color w:val="000000" w:themeColor="text1"/>
        </w:rPr>
        <w:t xml:space="preserve"> is the 20-day rolling volatility of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’s sub-portfolio.</w:t>
      </w:r>
    </w:p>
    <w:p w14:paraId="684A1CD9" w14:textId="77777777" w:rsidR="002806BA" w:rsidRPr="00526140" w:rsidRDefault="00000000" w:rsidP="00526140">
      <w:pPr>
        <w:ind w:left="360"/>
        <w:rPr>
          <w:rFonts w:ascii="Times New Roman" w:hAnsi="Times New Roman" w:cs="Times New Roman"/>
          <w:color w:val="000000" w:themeColor="text1"/>
        </w:rPr>
      </w:pPr>
      <w:r w:rsidRPr="00526140">
        <w:rPr>
          <w:rFonts w:ascii="Times New Roman" w:hAnsi="Times New Roman" w:cs="Times New Roman"/>
          <w:b/>
          <w:color w:val="000000" w:themeColor="text1"/>
        </w:rPr>
        <w:t>Diversity Penalty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i,j,t</m:t>
            </m:r>
          </m:sub>
        </m:sSub>
      </m:oMath>
      <w:r w:rsidRPr="00526140">
        <w:rPr>
          <w:rFonts w:ascii="Times New Roman" w:hAnsi="Times New Roman" w:cs="Times New Roman"/>
          <w:b/>
          <w:color w:val="000000" w:themeColor="text1"/>
        </w:rPr>
        <w:t>):</w:t>
      </w:r>
      <w:r w:rsidRPr="00526140">
        <w:rPr>
          <w:rFonts w:ascii="Times New Roman" w:hAnsi="Times New Roman" w:cs="Times New Roman"/>
          <w:color w:val="000000" w:themeColor="text1"/>
        </w:rPr>
        <w:t xml:space="preserve"> The Pearson correlation coefficient between agent </w:t>
      </w:r>
      <m:oMath>
        <m:r>
          <w:rPr>
            <w:rFonts w:ascii="Cambria Math" w:hAnsi="Cambria Math" w:cs="Times New Roman"/>
            <w:color w:val="000000" w:themeColor="text1"/>
          </w:rPr>
          <m:t>i</m:t>
        </m:r>
      </m:oMath>
      <w:r w:rsidRPr="00526140">
        <w:rPr>
          <w:rFonts w:ascii="Times New Roman" w:hAnsi="Times New Roman" w:cs="Times New Roman"/>
          <w:color w:val="000000" w:themeColor="text1"/>
        </w:rPr>
        <w:t xml:space="preserve">’s and agent </w:t>
      </w:r>
      <m:oMath>
        <m:r>
          <w:rPr>
            <w:rFonts w:ascii="Cambria Math" w:hAnsi="Cambria Math" w:cs="Times New Roman"/>
            <w:color w:val="000000" w:themeColor="text1"/>
          </w:rPr>
          <m:t>j</m:t>
        </m:r>
      </m:oMath>
      <w:r w:rsidRPr="00526140">
        <w:rPr>
          <w:rFonts w:ascii="Times New Roman" w:hAnsi="Times New Roman" w:cs="Times New Roman"/>
          <w:color w:val="000000" w:themeColor="text1"/>
        </w:rPr>
        <w:t>’s returns over the past 30 trading days:</w:t>
      </w:r>
    </w:p>
    <w:p w14:paraId="7E41A963" w14:textId="77777777" w:rsidR="002806BA" w:rsidRPr="00526140" w:rsidRDefault="00000000" w:rsidP="00526140">
      <w:pPr>
        <w:pStyle w:val="BodyText"/>
        <w:ind w:left="360"/>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i,j,t</m:t>
              </m:r>
            </m:sub>
          </m:sSub>
          <m:r>
            <w:rPr>
              <w:rFonts w:ascii="Cambria Math" w:hAnsi="Cambria Math" w:cs="Times New Roman"/>
              <w:color w:val="000000" w:themeColor="text1"/>
            </w:rPr>
            <m:t>=ρ(</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i,t-30:t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j,t-30:t</m:t>
              </m:r>
            </m:sub>
          </m:sSub>
          <m:r>
            <w:rPr>
              <w:rFonts w:ascii="Cambria Math" w:hAnsi="Cambria Math" w:cs="Times New Roman"/>
              <w:color w:val="000000" w:themeColor="text1"/>
            </w:rPr>
            <m:t>)=</m:t>
          </m:r>
          <m:f>
            <m:fPr>
              <m:ctrlPr>
                <w:rPr>
                  <w:rFonts w:ascii="Cambria Math" w:hAnsi="Cambria Math" w:cs="Times New Roman"/>
                  <w:color w:val="000000" w:themeColor="text1"/>
                </w:rPr>
              </m:ctrlPr>
            </m:fPr>
            <m:num>
              <m:r>
                <m:rPr>
                  <m:nor/>
                </m:rPr>
                <w:rPr>
                  <w:rFonts w:ascii="Times New Roman" w:hAnsi="Times New Roman" w:cs="Times New Roman"/>
                  <w:color w:val="000000" w:themeColor="text1"/>
                </w:rPr>
                <m:t>Cov</m:t>
              </m:r>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j</m:t>
                  </m:r>
                </m:sub>
              </m:sSub>
              <m:r>
                <w:rPr>
                  <w:rFonts w:ascii="Cambria Math" w:hAnsi="Cambria Math" w:cs="Times New Roman"/>
                  <w:color w:val="000000" w:themeColor="text1"/>
                </w:rPr>
                <m:t>)</m:t>
              </m:r>
            </m:num>
            <m:den>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i</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den>
          </m:f>
        </m:oMath>
      </m:oMathPara>
    </w:p>
    <w:p w14:paraId="380C4522" w14:textId="77777777" w:rsidR="002806BA" w:rsidRPr="00526140" w:rsidRDefault="00000000" w:rsidP="00526140">
      <w:pPr>
        <w:ind w:left="360"/>
        <w:rPr>
          <w:rFonts w:ascii="Times New Roman" w:hAnsi="Times New Roman" w:cs="Times New Roman"/>
          <w:color w:val="000000" w:themeColor="text1"/>
        </w:rPr>
      </w:pPr>
      <w:r w:rsidRPr="00526140">
        <w:rPr>
          <w:rFonts w:ascii="Times New Roman" w:hAnsi="Times New Roman" w:cs="Times New Roman"/>
          <w:color w:val="000000" w:themeColor="text1"/>
        </w:rPr>
        <w:t>Higher correlation leads to a higher penalty.</w:t>
      </w:r>
    </w:p>
    <w:p w14:paraId="49C50118" w14:textId="77777777" w:rsidR="002806BA" w:rsidRPr="00526140" w:rsidRDefault="00000000" w:rsidP="00526140">
      <w:pPr>
        <w:ind w:left="360"/>
        <w:rPr>
          <w:rFonts w:ascii="Times New Roman" w:hAnsi="Times New Roman" w:cs="Times New Roman"/>
          <w:color w:val="000000" w:themeColor="text1"/>
        </w:rPr>
      </w:pPr>
      <w:r w:rsidRPr="00526140">
        <w:rPr>
          <w:rFonts w:ascii="Times New Roman" w:hAnsi="Times New Roman" w:cs="Times New Roman"/>
          <w:b/>
          <w:color w:val="000000" w:themeColor="text1"/>
        </w:rPr>
        <w:t>Diversity Weight (</w:t>
      </w:r>
      <m:oMath>
        <m:r>
          <w:rPr>
            <w:rFonts w:ascii="Cambria Math" w:hAnsi="Cambria Math" w:cs="Times New Roman"/>
            <w:color w:val="000000" w:themeColor="text1"/>
          </w:rPr>
          <m:t>λ</m:t>
        </m:r>
      </m:oMath>
      <w:r w:rsidRPr="00526140">
        <w:rPr>
          <w:rFonts w:ascii="Times New Roman" w:hAnsi="Times New Roman" w:cs="Times New Roman"/>
          <w:b/>
          <w:color w:val="000000" w:themeColor="text1"/>
        </w:rPr>
        <w:t>):</w:t>
      </w:r>
      <w:r w:rsidRPr="00526140">
        <w:rPr>
          <w:rFonts w:ascii="Times New Roman" w:hAnsi="Times New Roman" w:cs="Times New Roman"/>
          <w:color w:val="000000" w:themeColor="text1"/>
        </w:rPr>
        <w:t xml:space="preserve"> A hyperparameter controlling the strength of the diversification incentive. Through ablation studies (Section 5.1), the optimal value was determined to be </w:t>
      </w:r>
      <m:oMath>
        <m:r>
          <w:rPr>
            <w:rFonts w:ascii="Cambria Math" w:hAnsi="Cambria Math" w:cs="Times New Roman"/>
            <w:color w:val="000000" w:themeColor="text1"/>
          </w:rPr>
          <m:t>λ=0.15</m:t>
        </m:r>
      </m:oMath>
      <w:r w:rsidRPr="00526140">
        <w:rPr>
          <w:rFonts w:ascii="Times New Roman" w:hAnsi="Times New Roman" w:cs="Times New Roman"/>
          <w:color w:val="000000" w:themeColor="text1"/>
        </w:rPr>
        <w:t>.</w:t>
      </w:r>
    </w:p>
    <w:p w14:paraId="25C7C418" w14:textId="77777777" w:rsidR="002806BA"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This reward structure creates a tension between maximizing individual returns and maintaining portfolio diversity. The penalty is computed pairwise for all agent pairs, forcing agents to seek uncorrelated alpha sources, which naturally leads to a more robust global portfolio.</w:t>
      </w:r>
    </w:p>
    <w:p w14:paraId="3676D354" w14:textId="77777777" w:rsidR="00526140" w:rsidRPr="00526140" w:rsidRDefault="00526140" w:rsidP="00526140">
      <w:pPr>
        <w:pStyle w:val="BodyText"/>
      </w:pPr>
    </w:p>
    <w:p w14:paraId="7BBAA668" w14:textId="77777777" w:rsidR="002806BA" w:rsidRPr="00526140" w:rsidRDefault="00000000">
      <w:pPr>
        <w:pStyle w:val="Heading2"/>
        <w:rPr>
          <w:rFonts w:ascii="Times New Roman" w:hAnsi="Times New Roman" w:cs="Times New Roman"/>
          <w:color w:val="000000" w:themeColor="text1"/>
        </w:rPr>
      </w:pPr>
      <w:bookmarkStart w:id="17" w:name="network-architecture-details"/>
      <w:r w:rsidRPr="00526140">
        <w:rPr>
          <w:rFonts w:ascii="Times New Roman" w:hAnsi="Times New Roman" w:cs="Times New Roman"/>
          <w:color w:val="000000" w:themeColor="text1"/>
        </w:rPr>
        <w:lastRenderedPageBreak/>
        <w:t>3.4 Network Architecture Details</w:t>
      </w:r>
      <w:bookmarkEnd w:id="17"/>
    </w:p>
    <w:p w14:paraId="428ECDE1"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We provide complete specifications for reproducibility.</w:t>
      </w:r>
    </w:p>
    <w:p w14:paraId="7B7D125E" w14:textId="77777777" w:rsidR="002806BA" w:rsidRPr="00526140" w:rsidRDefault="00000000">
      <w:pPr>
        <w:pStyle w:val="Heading3"/>
        <w:rPr>
          <w:rFonts w:ascii="Times New Roman" w:hAnsi="Times New Roman" w:cs="Times New Roman"/>
          <w:color w:val="000000" w:themeColor="text1"/>
        </w:rPr>
      </w:pPr>
      <w:bookmarkStart w:id="18" w:name="X05a66124335919e7a4cc334164b2f7026378121"/>
      <w:r w:rsidRPr="00526140">
        <w:rPr>
          <w:rFonts w:ascii="Times New Roman" w:hAnsi="Times New Roman" w:cs="Times New Roman"/>
          <w:color w:val="000000" w:themeColor="text1"/>
        </w:rPr>
        <w:t xml:space="preserve">Actor Network Architecture (for each agent </w:t>
      </w:r>
      <m:oMath>
        <m:r>
          <m:rPr>
            <m:sty m:val="bi"/>
          </m:rPr>
          <w:rPr>
            <w:rFonts w:ascii="Cambria Math" w:hAnsi="Cambria Math" w:cs="Times New Roman"/>
            <w:color w:val="000000" w:themeColor="text1"/>
          </w:rPr>
          <m:t>i</m:t>
        </m:r>
      </m:oMath>
      <w:r w:rsidRPr="00526140">
        <w:rPr>
          <w:rFonts w:ascii="Times New Roman" w:hAnsi="Times New Roman" w:cs="Times New Roman"/>
          <w:color w:val="000000" w:themeColor="text1"/>
        </w:rPr>
        <w:t>):</w:t>
      </w:r>
      <w:bookmarkEnd w:id="18"/>
    </w:p>
    <w:tbl>
      <w:tblPr>
        <w:tblStyle w:val="Table"/>
        <w:tblW w:w="5000" w:type="pct"/>
        <w:tblLook w:val="07E0" w:firstRow="1" w:lastRow="1" w:firstColumn="1" w:lastColumn="1" w:noHBand="1" w:noVBand="1"/>
      </w:tblPr>
      <w:tblGrid>
        <w:gridCol w:w="883"/>
        <w:gridCol w:w="3181"/>
        <w:gridCol w:w="964"/>
        <w:gridCol w:w="1230"/>
        <w:gridCol w:w="3318"/>
      </w:tblGrid>
      <w:tr w:rsidR="00526140" w:rsidRPr="00526140" w14:paraId="5037EF5F" w14:textId="77777777">
        <w:tc>
          <w:tcPr>
            <w:tcW w:w="0" w:type="auto"/>
            <w:tcBorders>
              <w:bottom w:val="single" w:sz="0" w:space="0" w:color="auto"/>
            </w:tcBorders>
            <w:vAlign w:val="bottom"/>
          </w:tcPr>
          <w:p w14:paraId="083693F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Layer</w:t>
            </w:r>
          </w:p>
        </w:tc>
        <w:tc>
          <w:tcPr>
            <w:tcW w:w="0" w:type="auto"/>
            <w:tcBorders>
              <w:bottom w:val="single" w:sz="0" w:space="0" w:color="auto"/>
            </w:tcBorders>
            <w:vAlign w:val="bottom"/>
          </w:tcPr>
          <w:p w14:paraId="30D823DB"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Type</w:t>
            </w:r>
          </w:p>
        </w:tc>
        <w:tc>
          <w:tcPr>
            <w:tcW w:w="0" w:type="auto"/>
            <w:tcBorders>
              <w:bottom w:val="single" w:sz="0" w:space="0" w:color="auto"/>
            </w:tcBorders>
            <w:vAlign w:val="bottom"/>
          </w:tcPr>
          <w:p w14:paraId="6EE4655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Units</w:t>
            </w:r>
          </w:p>
        </w:tc>
        <w:tc>
          <w:tcPr>
            <w:tcW w:w="0" w:type="auto"/>
            <w:tcBorders>
              <w:bottom w:val="single" w:sz="0" w:space="0" w:color="auto"/>
            </w:tcBorders>
            <w:vAlign w:val="bottom"/>
          </w:tcPr>
          <w:p w14:paraId="4B0FCFA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Activation</w:t>
            </w:r>
          </w:p>
        </w:tc>
        <w:tc>
          <w:tcPr>
            <w:tcW w:w="0" w:type="auto"/>
            <w:tcBorders>
              <w:bottom w:val="single" w:sz="0" w:space="0" w:color="auto"/>
            </w:tcBorders>
            <w:vAlign w:val="bottom"/>
          </w:tcPr>
          <w:p w14:paraId="389F3EC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Notes</w:t>
            </w:r>
          </w:p>
        </w:tc>
      </w:tr>
      <w:tr w:rsidR="00526140" w:rsidRPr="00526140" w14:paraId="6C7CC3F1" w14:textId="77777777">
        <w:tc>
          <w:tcPr>
            <w:tcW w:w="0" w:type="auto"/>
          </w:tcPr>
          <w:p w14:paraId="0CE6E74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Input</w:t>
            </w:r>
          </w:p>
        </w:tc>
        <w:tc>
          <w:tcPr>
            <w:tcW w:w="0" w:type="auto"/>
          </w:tcPr>
          <w:p w14:paraId="114276F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xml:space="preserve">Local Observation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o</m:t>
                  </m:r>
                </m:e>
                <m:sup>
                  <m:r>
                    <w:rPr>
                      <w:rFonts w:ascii="Cambria Math" w:hAnsi="Cambria Math" w:cs="Times New Roman"/>
                      <w:color w:val="000000" w:themeColor="text1"/>
                    </w:rPr>
                    <m:t>i</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15×</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sup>
              </m:sSup>
            </m:oMath>
          </w:p>
        </w:tc>
        <w:tc>
          <w:tcPr>
            <w:tcW w:w="0" w:type="auto"/>
          </w:tcPr>
          <w:p w14:paraId="3DDBA19A"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15×</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oMath>
            </m:oMathPara>
          </w:p>
        </w:tc>
        <w:tc>
          <w:tcPr>
            <w:tcW w:w="0" w:type="auto"/>
          </w:tcPr>
          <w:p w14:paraId="2DD354A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t>
            </w:r>
          </w:p>
        </w:tc>
        <w:tc>
          <w:tcPr>
            <w:tcW w:w="0" w:type="auto"/>
          </w:tcPr>
          <w:p w14:paraId="1F6478D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Flattened vector</w:t>
            </w:r>
          </w:p>
        </w:tc>
      </w:tr>
      <w:tr w:rsidR="00526140" w:rsidRPr="00526140" w14:paraId="0C8F8DD9" w14:textId="77777777">
        <w:tc>
          <w:tcPr>
            <w:tcW w:w="0" w:type="auto"/>
          </w:tcPr>
          <w:p w14:paraId="0975EDB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w:t>
            </w:r>
          </w:p>
        </w:tc>
        <w:tc>
          <w:tcPr>
            <w:tcW w:w="0" w:type="auto"/>
          </w:tcPr>
          <w:p w14:paraId="0C2D2E0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3C4B338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256</w:t>
            </w:r>
          </w:p>
        </w:tc>
        <w:tc>
          <w:tcPr>
            <w:tcW w:w="0" w:type="auto"/>
          </w:tcPr>
          <w:p w14:paraId="2C05C23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73F802C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With Batch Normalization</w:t>
            </w:r>
          </w:p>
        </w:tc>
      </w:tr>
      <w:tr w:rsidR="00526140" w:rsidRPr="00526140" w14:paraId="29D5B656" w14:textId="77777777">
        <w:tc>
          <w:tcPr>
            <w:tcW w:w="0" w:type="auto"/>
          </w:tcPr>
          <w:p w14:paraId="7A41738D"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2</w:t>
            </w:r>
          </w:p>
        </w:tc>
        <w:tc>
          <w:tcPr>
            <w:tcW w:w="0" w:type="auto"/>
          </w:tcPr>
          <w:p w14:paraId="3BFAF17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250F3F9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128</w:t>
            </w:r>
          </w:p>
        </w:tc>
        <w:tc>
          <w:tcPr>
            <w:tcW w:w="0" w:type="auto"/>
          </w:tcPr>
          <w:p w14:paraId="5508903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4491D64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With Batch Normalization</w:t>
            </w:r>
          </w:p>
        </w:tc>
      </w:tr>
      <w:tr w:rsidR="00526140" w:rsidRPr="00526140" w14:paraId="1429284A" w14:textId="77777777">
        <w:tc>
          <w:tcPr>
            <w:tcW w:w="0" w:type="auto"/>
          </w:tcPr>
          <w:p w14:paraId="06C0CD9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3</w:t>
            </w:r>
          </w:p>
        </w:tc>
        <w:tc>
          <w:tcPr>
            <w:tcW w:w="0" w:type="auto"/>
          </w:tcPr>
          <w:p w14:paraId="2D9C1D9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59279D0B"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64</w:t>
            </w:r>
          </w:p>
        </w:tc>
        <w:tc>
          <w:tcPr>
            <w:tcW w:w="0" w:type="auto"/>
          </w:tcPr>
          <w:p w14:paraId="5FC0868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77F52F6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t>
            </w:r>
          </w:p>
        </w:tc>
      </w:tr>
      <w:tr w:rsidR="00526140" w:rsidRPr="00526140" w14:paraId="33881517" w14:textId="77777777">
        <w:tc>
          <w:tcPr>
            <w:tcW w:w="0" w:type="auto"/>
          </w:tcPr>
          <w:p w14:paraId="09FB61A6"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Output</w:t>
            </w:r>
          </w:p>
        </w:tc>
        <w:tc>
          <w:tcPr>
            <w:tcW w:w="0" w:type="auto"/>
          </w:tcPr>
          <w:p w14:paraId="0BDDCAB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56B684CD" w14:textId="77777777" w:rsidR="002806BA" w:rsidRPr="00526140" w:rsidRDefault="00000000">
            <w:pPr>
              <w:pStyle w:val="Compact"/>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oMath>
            </m:oMathPara>
          </w:p>
        </w:tc>
        <w:tc>
          <w:tcPr>
            <w:tcW w:w="0" w:type="auto"/>
          </w:tcPr>
          <w:p w14:paraId="3311A0C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Softmax</w:t>
            </w:r>
          </w:p>
        </w:tc>
        <w:tc>
          <w:tcPr>
            <w:tcW w:w="0" w:type="auto"/>
          </w:tcPr>
          <w:p w14:paraId="46512F1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xml:space="preserve">Ensures </w:t>
            </w:r>
            <m:oMath>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r>
                    <w:rPr>
                      <w:rFonts w:ascii="Cambria Math" w:hAnsi="Cambria Math" w:cs="Times New Roman"/>
                      <w:color w:val="000000" w:themeColor="text1"/>
                    </w:rPr>
                    <m:t>​</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i,j</m:t>
                      </m:r>
                    </m:sub>
                  </m:sSub>
                </m:e>
              </m:nary>
              <m:r>
                <w:rPr>
                  <w:rFonts w:ascii="Cambria Math" w:hAnsi="Cambria Math" w:cs="Times New Roman"/>
                  <w:color w:val="000000" w:themeColor="text1"/>
                </w:rPr>
                <m:t>=1</m:t>
              </m:r>
            </m:oMath>
            <w:r w:rsidRPr="00526140">
              <w:rPr>
                <w:rFonts w:ascii="Times New Roman" w:hAnsi="Times New Roman" w:cs="Times New Roman"/>
                <w:color w:val="000000" w:themeColor="text1"/>
              </w:rPr>
              <w:t xml:space="preserve">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a</m:t>
                  </m:r>
                </m:e>
                <m:sub>
                  <m:r>
                    <w:rPr>
                      <w:rFonts w:ascii="Cambria Math" w:hAnsi="Cambria Math" w:cs="Times New Roman"/>
                      <w:color w:val="000000" w:themeColor="text1"/>
                    </w:rPr>
                    <m:t>i,j</m:t>
                  </m:r>
                </m:sub>
              </m:sSub>
              <m:r>
                <w:rPr>
                  <w:rFonts w:ascii="Cambria Math" w:hAnsi="Cambria Math" w:cs="Times New Roman"/>
                  <w:color w:val="000000" w:themeColor="text1"/>
                </w:rPr>
                <m:t>≥0</m:t>
              </m:r>
            </m:oMath>
          </w:p>
        </w:tc>
      </w:tr>
    </w:tbl>
    <w:p w14:paraId="069DF2BE" w14:textId="77777777" w:rsidR="002806BA" w:rsidRPr="00526140" w:rsidRDefault="00000000">
      <w:pPr>
        <w:pStyle w:val="Heading3"/>
        <w:rPr>
          <w:rFonts w:ascii="Times New Roman" w:hAnsi="Times New Roman" w:cs="Times New Roman"/>
          <w:color w:val="000000" w:themeColor="text1"/>
        </w:rPr>
      </w:pPr>
      <w:bookmarkStart w:id="19" w:name="centralized-critic-network-architecture"/>
      <w:r w:rsidRPr="00526140">
        <w:rPr>
          <w:rFonts w:ascii="Times New Roman" w:hAnsi="Times New Roman" w:cs="Times New Roman"/>
          <w:color w:val="000000" w:themeColor="text1"/>
        </w:rPr>
        <w:t>Centralized Critic Network Architecture:</w:t>
      </w:r>
      <w:bookmarkEnd w:id="19"/>
    </w:p>
    <w:tbl>
      <w:tblPr>
        <w:tblStyle w:val="Table"/>
        <w:tblW w:w="5000" w:type="pct"/>
        <w:tblLook w:val="07E0" w:firstRow="1" w:lastRow="1" w:firstColumn="1" w:lastColumn="1" w:noHBand="1" w:noVBand="1"/>
      </w:tblPr>
      <w:tblGrid>
        <w:gridCol w:w="904"/>
        <w:gridCol w:w="3288"/>
        <w:gridCol w:w="1051"/>
        <w:gridCol w:w="1259"/>
        <w:gridCol w:w="3074"/>
      </w:tblGrid>
      <w:tr w:rsidR="00526140" w:rsidRPr="00526140" w14:paraId="3A8417CD" w14:textId="77777777">
        <w:tc>
          <w:tcPr>
            <w:tcW w:w="0" w:type="auto"/>
            <w:tcBorders>
              <w:bottom w:val="single" w:sz="0" w:space="0" w:color="auto"/>
            </w:tcBorders>
            <w:vAlign w:val="bottom"/>
          </w:tcPr>
          <w:p w14:paraId="74761F4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Layer</w:t>
            </w:r>
          </w:p>
        </w:tc>
        <w:tc>
          <w:tcPr>
            <w:tcW w:w="0" w:type="auto"/>
            <w:tcBorders>
              <w:bottom w:val="single" w:sz="0" w:space="0" w:color="auto"/>
            </w:tcBorders>
            <w:vAlign w:val="bottom"/>
          </w:tcPr>
          <w:p w14:paraId="729A4F0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Type</w:t>
            </w:r>
          </w:p>
        </w:tc>
        <w:tc>
          <w:tcPr>
            <w:tcW w:w="0" w:type="auto"/>
            <w:tcBorders>
              <w:bottom w:val="single" w:sz="0" w:space="0" w:color="auto"/>
            </w:tcBorders>
            <w:vAlign w:val="bottom"/>
          </w:tcPr>
          <w:p w14:paraId="24D71CA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Units</w:t>
            </w:r>
          </w:p>
        </w:tc>
        <w:tc>
          <w:tcPr>
            <w:tcW w:w="0" w:type="auto"/>
            <w:tcBorders>
              <w:bottom w:val="single" w:sz="0" w:space="0" w:color="auto"/>
            </w:tcBorders>
            <w:vAlign w:val="bottom"/>
          </w:tcPr>
          <w:p w14:paraId="6B7333C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Activation</w:t>
            </w:r>
          </w:p>
        </w:tc>
        <w:tc>
          <w:tcPr>
            <w:tcW w:w="0" w:type="auto"/>
            <w:tcBorders>
              <w:bottom w:val="single" w:sz="0" w:space="0" w:color="auto"/>
            </w:tcBorders>
            <w:vAlign w:val="bottom"/>
          </w:tcPr>
          <w:p w14:paraId="3D95E52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Notes</w:t>
            </w:r>
          </w:p>
        </w:tc>
      </w:tr>
      <w:tr w:rsidR="00526140" w:rsidRPr="00526140" w14:paraId="02C180C3" w14:textId="77777777">
        <w:tc>
          <w:tcPr>
            <w:tcW w:w="0" w:type="auto"/>
          </w:tcPr>
          <w:p w14:paraId="7891F42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Input</w:t>
            </w:r>
          </w:p>
        </w:tc>
        <w:tc>
          <w:tcPr>
            <w:tcW w:w="0" w:type="auto"/>
          </w:tcPr>
          <w:p w14:paraId="124F7BF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xml:space="preserve">Global State </w:t>
            </w:r>
            <m:oMath>
              <m:r>
                <w:rPr>
                  <w:rFonts w:ascii="Cambria Math" w:hAnsi="Cambria Math" w:cs="Times New Roman"/>
                  <w:color w:val="000000" w:themeColor="text1"/>
                </w:rPr>
                <m:t>s</m:t>
              </m:r>
            </m:oMath>
            <w:r w:rsidRPr="00526140">
              <w:rPr>
                <w:rFonts w:ascii="Times New Roman" w:hAnsi="Times New Roman" w:cs="Times New Roman"/>
                <w:color w:val="000000" w:themeColor="text1"/>
              </w:rPr>
              <w:t xml:space="preserve"> + Joint Action </w:t>
            </w:r>
            <m:oMath>
              <m:r>
                <m:rPr>
                  <m:sty m:val="b"/>
                </m:rPr>
                <w:rPr>
                  <w:rFonts w:ascii="Cambria Math" w:hAnsi="Cambria Math" w:cs="Times New Roman"/>
                  <w:color w:val="000000" w:themeColor="text1"/>
                </w:rPr>
                <m:t>a</m:t>
              </m:r>
            </m:oMath>
          </w:p>
        </w:tc>
        <w:tc>
          <w:tcPr>
            <w:tcW w:w="0" w:type="auto"/>
          </w:tcPr>
          <w:p w14:paraId="0E5394D1"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d+∑</m:t>
                </m:r>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i</m:t>
                    </m:r>
                  </m:sub>
                </m:sSub>
              </m:oMath>
            </m:oMathPara>
          </w:p>
        </w:tc>
        <w:tc>
          <w:tcPr>
            <w:tcW w:w="0" w:type="auto"/>
          </w:tcPr>
          <w:p w14:paraId="3780C07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t>
            </w:r>
          </w:p>
        </w:tc>
        <w:tc>
          <w:tcPr>
            <w:tcW w:w="0" w:type="auto"/>
          </w:tcPr>
          <w:p w14:paraId="6165357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Concatenated vector</w:t>
            </w:r>
          </w:p>
        </w:tc>
      </w:tr>
      <w:tr w:rsidR="00526140" w:rsidRPr="00526140" w14:paraId="1F1CB283" w14:textId="77777777">
        <w:tc>
          <w:tcPr>
            <w:tcW w:w="0" w:type="auto"/>
          </w:tcPr>
          <w:p w14:paraId="54755A7B"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w:t>
            </w:r>
          </w:p>
        </w:tc>
        <w:tc>
          <w:tcPr>
            <w:tcW w:w="0" w:type="auto"/>
          </w:tcPr>
          <w:p w14:paraId="351D0FE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36F70A7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512</w:t>
            </w:r>
          </w:p>
        </w:tc>
        <w:tc>
          <w:tcPr>
            <w:tcW w:w="0" w:type="auto"/>
          </w:tcPr>
          <w:p w14:paraId="3E5A893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324F167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With Batch Normalization</w:t>
            </w:r>
          </w:p>
        </w:tc>
      </w:tr>
      <w:tr w:rsidR="00526140" w:rsidRPr="00526140" w14:paraId="55A38A7F" w14:textId="77777777">
        <w:tc>
          <w:tcPr>
            <w:tcW w:w="0" w:type="auto"/>
          </w:tcPr>
          <w:p w14:paraId="2AF90DA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2</w:t>
            </w:r>
          </w:p>
        </w:tc>
        <w:tc>
          <w:tcPr>
            <w:tcW w:w="0" w:type="auto"/>
          </w:tcPr>
          <w:p w14:paraId="2F8E87A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09F606E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256</w:t>
            </w:r>
          </w:p>
        </w:tc>
        <w:tc>
          <w:tcPr>
            <w:tcW w:w="0" w:type="auto"/>
          </w:tcPr>
          <w:p w14:paraId="3E73967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73606F8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With Batch Normalization</w:t>
            </w:r>
          </w:p>
        </w:tc>
      </w:tr>
      <w:tr w:rsidR="00526140" w:rsidRPr="00526140" w14:paraId="4572D795" w14:textId="77777777">
        <w:tc>
          <w:tcPr>
            <w:tcW w:w="0" w:type="auto"/>
          </w:tcPr>
          <w:p w14:paraId="7E051F1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3</w:t>
            </w:r>
          </w:p>
        </w:tc>
        <w:tc>
          <w:tcPr>
            <w:tcW w:w="0" w:type="auto"/>
          </w:tcPr>
          <w:p w14:paraId="2586F0A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44CBFA9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128</w:t>
            </w:r>
          </w:p>
        </w:tc>
        <w:tc>
          <w:tcPr>
            <w:tcW w:w="0" w:type="auto"/>
          </w:tcPr>
          <w:p w14:paraId="605908E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ReLU</w:t>
            </w:r>
          </w:p>
        </w:tc>
        <w:tc>
          <w:tcPr>
            <w:tcW w:w="0" w:type="auto"/>
          </w:tcPr>
          <w:p w14:paraId="52B6AF60"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w:t>
            </w:r>
          </w:p>
        </w:tc>
      </w:tr>
      <w:tr w:rsidR="00526140" w:rsidRPr="00526140" w14:paraId="7663D155" w14:textId="77777777">
        <w:tc>
          <w:tcPr>
            <w:tcW w:w="0" w:type="auto"/>
          </w:tcPr>
          <w:p w14:paraId="61C5439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Output</w:t>
            </w:r>
          </w:p>
        </w:tc>
        <w:tc>
          <w:tcPr>
            <w:tcW w:w="0" w:type="auto"/>
          </w:tcPr>
          <w:p w14:paraId="67BE2D1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Fully Connected</w:t>
            </w:r>
          </w:p>
        </w:tc>
        <w:tc>
          <w:tcPr>
            <w:tcW w:w="0" w:type="auto"/>
          </w:tcPr>
          <w:p w14:paraId="05D4277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w:t>
            </w:r>
          </w:p>
        </w:tc>
        <w:tc>
          <w:tcPr>
            <w:tcW w:w="0" w:type="auto"/>
          </w:tcPr>
          <w:p w14:paraId="36FAD9D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Linear</w:t>
            </w:r>
          </w:p>
        </w:tc>
        <w:tc>
          <w:tcPr>
            <w:tcW w:w="0" w:type="auto"/>
          </w:tcPr>
          <w:p w14:paraId="5084169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xml:space="preserve">Outputs the Q-value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Q</m:t>
                  </m:r>
                </m:e>
                <m:sup>
                  <m:r>
                    <w:rPr>
                      <w:rFonts w:ascii="Cambria Math" w:hAnsi="Cambria Math" w:cs="Times New Roman"/>
                      <w:color w:val="000000" w:themeColor="text1"/>
                    </w:rPr>
                    <m:t>i</m:t>
                  </m:r>
                </m:sup>
              </m:sSup>
              <m:r>
                <w:rPr>
                  <w:rFonts w:ascii="Cambria Math" w:hAnsi="Cambria Math" w:cs="Times New Roman"/>
                  <w:color w:val="000000" w:themeColor="text1"/>
                </w:rPr>
                <m:t>(s,</m:t>
              </m:r>
              <m:r>
                <m:rPr>
                  <m:sty m:val="b"/>
                </m:rPr>
                <w:rPr>
                  <w:rFonts w:ascii="Cambria Math" w:hAnsi="Cambria Math" w:cs="Times New Roman"/>
                  <w:color w:val="000000" w:themeColor="text1"/>
                </w:rPr>
                <m:t>a</m:t>
              </m:r>
              <m:r>
                <w:rPr>
                  <w:rFonts w:ascii="Cambria Math" w:hAnsi="Cambria Math" w:cs="Times New Roman"/>
                  <w:color w:val="000000" w:themeColor="text1"/>
                </w:rPr>
                <m:t>)</m:t>
              </m:r>
            </m:oMath>
          </w:p>
        </w:tc>
      </w:tr>
    </w:tbl>
    <w:p w14:paraId="6E629D57" w14:textId="77777777" w:rsidR="002806BA" w:rsidRPr="00526140" w:rsidRDefault="00000000">
      <w:pPr>
        <w:pStyle w:val="Heading3"/>
        <w:rPr>
          <w:rFonts w:ascii="Times New Roman" w:hAnsi="Times New Roman" w:cs="Times New Roman"/>
          <w:color w:val="000000" w:themeColor="text1"/>
        </w:rPr>
      </w:pPr>
      <w:bookmarkStart w:id="20" w:name="hyperparameters"/>
      <w:r w:rsidRPr="00526140">
        <w:rPr>
          <w:rFonts w:ascii="Times New Roman" w:hAnsi="Times New Roman" w:cs="Times New Roman"/>
          <w:color w:val="000000" w:themeColor="text1"/>
        </w:rPr>
        <w:t>Hyperparameters:</w:t>
      </w:r>
      <w:bookmarkEnd w:id="20"/>
    </w:p>
    <w:tbl>
      <w:tblPr>
        <w:tblStyle w:val="Table"/>
        <w:tblW w:w="5000" w:type="pct"/>
        <w:tblLook w:val="07E0" w:firstRow="1" w:lastRow="1" w:firstColumn="1" w:lastColumn="1" w:noHBand="1" w:noVBand="1"/>
      </w:tblPr>
      <w:tblGrid>
        <w:gridCol w:w="2850"/>
        <w:gridCol w:w="1245"/>
        <w:gridCol w:w="5481"/>
      </w:tblGrid>
      <w:tr w:rsidR="00526140" w:rsidRPr="00526140" w14:paraId="41335235" w14:textId="77777777">
        <w:tc>
          <w:tcPr>
            <w:tcW w:w="0" w:type="auto"/>
            <w:tcBorders>
              <w:bottom w:val="single" w:sz="0" w:space="0" w:color="auto"/>
            </w:tcBorders>
            <w:vAlign w:val="bottom"/>
          </w:tcPr>
          <w:p w14:paraId="583B0F5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Hyperparameter</w:t>
            </w:r>
          </w:p>
        </w:tc>
        <w:tc>
          <w:tcPr>
            <w:tcW w:w="0" w:type="auto"/>
            <w:tcBorders>
              <w:bottom w:val="single" w:sz="0" w:space="0" w:color="auto"/>
            </w:tcBorders>
            <w:vAlign w:val="bottom"/>
          </w:tcPr>
          <w:p w14:paraId="6CC926E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Value</w:t>
            </w:r>
          </w:p>
        </w:tc>
        <w:tc>
          <w:tcPr>
            <w:tcW w:w="0" w:type="auto"/>
            <w:tcBorders>
              <w:bottom w:val="single" w:sz="0" w:space="0" w:color="auto"/>
            </w:tcBorders>
            <w:vAlign w:val="bottom"/>
          </w:tcPr>
          <w:p w14:paraId="7BE5FD4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Description</w:t>
            </w:r>
          </w:p>
        </w:tc>
      </w:tr>
      <w:tr w:rsidR="00526140" w:rsidRPr="00526140" w14:paraId="61A69747" w14:textId="77777777">
        <w:tc>
          <w:tcPr>
            <w:tcW w:w="0" w:type="auto"/>
          </w:tcPr>
          <w:p w14:paraId="68E58FF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Actor Learning Rate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m:rPr>
                      <m:nor/>
                    </m:rPr>
                    <w:rPr>
                      <w:rFonts w:ascii="Times New Roman" w:hAnsi="Times New Roman" w:cs="Times New Roman"/>
                      <w:color w:val="000000" w:themeColor="text1"/>
                    </w:rPr>
                    <m:t>actor</m:t>
                  </m:r>
                </m:sub>
              </m:sSub>
            </m:oMath>
            <w:r w:rsidRPr="00526140">
              <w:rPr>
                <w:rFonts w:ascii="Times New Roman" w:hAnsi="Times New Roman" w:cs="Times New Roman"/>
                <w:color w:val="000000" w:themeColor="text1"/>
              </w:rPr>
              <w:t>)</w:t>
            </w:r>
          </w:p>
        </w:tc>
        <w:tc>
          <w:tcPr>
            <w:tcW w:w="0" w:type="auto"/>
          </w:tcPr>
          <w:p w14:paraId="49D2142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-4</m:t>
                    </m:r>
                  </m:sup>
                </m:sSup>
              </m:oMath>
            </m:oMathPara>
          </w:p>
        </w:tc>
        <w:tc>
          <w:tcPr>
            <w:tcW w:w="0" w:type="auto"/>
          </w:tcPr>
          <w:p w14:paraId="1B5D342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Adam optimizer for actor networks</w:t>
            </w:r>
          </w:p>
        </w:tc>
      </w:tr>
      <w:tr w:rsidR="00526140" w:rsidRPr="00526140" w14:paraId="419DE19B" w14:textId="77777777">
        <w:tc>
          <w:tcPr>
            <w:tcW w:w="0" w:type="auto"/>
          </w:tcPr>
          <w:p w14:paraId="4F067A3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Critic Learning Rate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r>
                    <m:rPr>
                      <m:nor/>
                    </m:rPr>
                    <w:rPr>
                      <w:rFonts w:ascii="Times New Roman" w:hAnsi="Times New Roman" w:cs="Times New Roman"/>
                      <w:color w:val="000000" w:themeColor="text1"/>
                    </w:rPr>
                    <m:t>critic</m:t>
                  </m:r>
                </m:sub>
              </m:sSub>
            </m:oMath>
            <w:r w:rsidRPr="00526140">
              <w:rPr>
                <w:rFonts w:ascii="Times New Roman" w:hAnsi="Times New Roman" w:cs="Times New Roman"/>
                <w:color w:val="000000" w:themeColor="text1"/>
              </w:rPr>
              <w:t>)</w:t>
            </w:r>
          </w:p>
        </w:tc>
        <w:tc>
          <w:tcPr>
            <w:tcW w:w="0" w:type="auto"/>
          </w:tcPr>
          <w:p w14:paraId="468AD696"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-3</m:t>
                    </m:r>
                  </m:sup>
                </m:sSup>
              </m:oMath>
            </m:oMathPara>
          </w:p>
        </w:tc>
        <w:tc>
          <w:tcPr>
            <w:tcW w:w="0" w:type="auto"/>
          </w:tcPr>
          <w:p w14:paraId="57570D16"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Adam optimizer for critics (higher for stability)</w:t>
            </w:r>
          </w:p>
        </w:tc>
      </w:tr>
      <w:tr w:rsidR="00526140" w:rsidRPr="00526140" w14:paraId="693E0E3E" w14:textId="77777777">
        <w:tc>
          <w:tcPr>
            <w:tcW w:w="0" w:type="auto"/>
          </w:tcPr>
          <w:p w14:paraId="60E4BE4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Discount Factor (</w:t>
            </w:r>
            <m:oMath>
              <m:r>
                <w:rPr>
                  <w:rFonts w:ascii="Cambria Math" w:hAnsi="Cambria Math" w:cs="Times New Roman"/>
                  <w:color w:val="000000" w:themeColor="text1"/>
                </w:rPr>
                <m:t>γ</m:t>
              </m:r>
            </m:oMath>
            <w:r w:rsidRPr="00526140">
              <w:rPr>
                <w:rFonts w:ascii="Times New Roman" w:hAnsi="Times New Roman" w:cs="Times New Roman"/>
                <w:color w:val="000000" w:themeColor="text1"/>
              </w:rPr>
              <w:t>)</w:t>
            </w:r>
          </w:p>
        </w:tc>
        <w:tc>
          <w:tcPr>
            <w:tcW w:w="0" w:type="auto"/>
          </w:tcPr>
          <w:p w14:paraId="42641111"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0.99</m:t>
                </m:r>
              </m:oMath>
            </m:oMathPara>
          </w:p>
        </w:tc>
        <w:tc>
          <w:tcPr>
            <w:tcW w:w="0" w:type="auto"/>
          </w:tcPr>
          <w:p w14:paraId="13EF954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Long-term horizon appropriate for portfolio management</w:t>
            </w:r>
          </w:p>
        </w:tc>
      </w:tr>
      <w:tr w:rsidR="00526140" w:rsidRPr="00526140" w14:paraId="2ED1D6E7" w14:textId="77777777">
        <w:tc>
          <w:tcPr>
            <w:tcW w:w="0" w:type="auto"/>
          </w:tcPr>
          <w:p w14:paraId="0CB557BD"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Batch Size</w:t>
            </w:r>
          </w:p>
        </w:tc>
        <w:tc>
          <w:tcPr>
            <w:tcW w:w="0" w:type="auto"/>
          </w:tcPr>
          <w:p w14:paraId="23F3A0C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128</w:t>
            </w:r>
          </w:p>
        </w:tc>
        <w:tc>
          <w:tcPr>
            <w:tcW w:w="0" w:type="auto"/>
          </w:tcPr>
          <w:p w14:paraId="546B2E0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Sampled from replay buffer each training step</w:t>
            </w:r>
          </w:p>
        </w:tc>
      </w:tr>
      <w:tr w:rsidR="00526140" w:rsidRPr="00526140" w14:paraId="555173E4" w14:textId="77777777">
        <w:tc>
          <w:tcPr>
            <w:tcW w:w="0" w:type="auto"/>
          </w:tcPr>
          <w:p w14:paraId="432E2845"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Replay Buffer Size</w:t>
            </w:r>
          </w:p>
        </w:tc>
        <w:tc>
          <w:tcPr>
            <w:tcW w:w="0" w:type="auto"/>
          </w:tcPr>
          <w:p w14:paraId="5CCBBC6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1,000,000</m:t>
                </m:r>
              </m:oMath>
            </m:oMathPara>
          </w:p>
        </w:tc>
        <w:tc>
          <w:tcPr>
            <w:tcW w:w="0" w:type="auto"/>
          </w:tcPr>
          <w:p w14:paraId="0F0887E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xml:space="preserve">Stores past transitions </w:t>
            </w:r>
            <m:oMath>
              <m:r>
                <w:rPr>
                  <w:rFonts w:ascii="Cambria Math" w:hAnsi="Cambria Math" w:cs="Times New Roman"/>
                  <w:color w:val="000000" w:themeColor="text1"/>
                </w:rPr>
                <m:t>(s,</m:t>
              </m:r>
              <m:r>
                <m:rPr>
                  <m:sty m:val="b"/>
                </m:rPr>
                <w:rPr>
                  <w:rFonts w:ascii="Cambria Math" w:hAnsi="Cambria Math" w:cs="Times New Roman"/>
                  <w:color w:val="000000" w:themeColor="text1"/>
                </w:rPr>
                <m:t>a</m:t>
              </m:r>
              <m:r>
                <w:rPr>
                  <w:rFonts w:ascii="Cambria Math" w:hAnsi="Cambria Math" w:cs="Times New Roman"/>
                  <w:color w:val="000000" w:themeColor="text1"/>
                </w:rPr>
                <m:t>,</m:t>
              </m:r>
              <m:r>
                <m:rPr>
                  <m:sty m:val="b"/>
                </m:rPr>
                <w:rPr>
                  <w:rFonts w:ascii="Cambria Math" w:hAnsi="Cambria Math" w:cs="Times New Roman"/>
                  <w:color w:val="000000" w:themeColor="text1"/>
                </w:rPr>
                <m:t>r</m:t>
              </m:r>
              <m:r>
                <w:rPr>
                  <w:rFonts w:ascii="Cambria Math" w:hAnsi="Cambria Math" w:cs="Times New Roman"/>
                  <w:color w:val="000000" w:themeColor="text1"/>
                </w:rPr>
                <m:t>,s')</m:t>
              </m:r>
            </m:oMath>
          </w:p>
        </w:tc>
      </w:tr>
      <w:tr w:rsidR="00526140" w:rsidRPr="00526140" w14:paraId="4B4BDE29" w14:textId="77777777">
        <w:tc>
          <w:tcPr>
            <w:tcW w:w="0" w:type="auto"/>
          </w:tcPr>
          <w:p w14:paraId="30D7D1A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Target Network Update (</w:t>
            </w:r>
            <m:oMath>
              <m:r>
                <w:rPr>
                  <w:rFonts w:ascii="Cambria Math" w:hAnsi="Cambria Math" w:cs="Times New Roman"/>
                  <w:color w:val="000000" w:themeColor="text1"/>
                </w:rPr>
                <m:t>τ</m:t>
              </m:r>
            </m:oMath>
            <w:r w:rsidRPr="00526140">
              <w:rPr>
                <w:rFonts w:ascii="Times New Roman" w:hAnsi="Times New Roman" w:cs="Times New Roman"/>
                <w:color w:val="000000" w:themeColor="text1"/>
              </w:rPr>
              <w:t>)</w:t>
            </w:r>
          </w:p>
        </w:tc>
        <w:tc>
          <w:tcPr>
            <w:tcW w:w="0" w:type="auto"/>
          </w:tcPr>
          <w:p w14:paraId="62932672"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0.001</m:t>
                </m:r>
              </m:oMath>
            </m:oMathPara>
          </w:p>
        </w:tc>
        <w:tc>
          <w:tcPr>
            <w:tcW w:w="0" w:type="auto"/>
          </w:tcPr>
          <w:p w14:paraId="4236CC6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Soft update rate (Polyak averaging)</w:t>
            </w:r>
          </w:p>
        </w:tc>
      </w:tr>
    </w:tbl>
    <w:p w14:paraId="3896AFD3"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The training progress of the MADDPG agents is visualized in Figure 2, showing the convergence of rewards and key performance metrics over 300 episodes.</w:t>
      </w:r>
    </w:p>
    <w:p w14:paraId="07E3FED5"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lastRenderedPageBreak/>
        <w:drawing>
          <wp:inline distT="0" distB="0" distL="0" distR="0" wp14:anchorId="708A8E9A" wp14:editId="0E8D8B95">
            <wp:extent cx="5334000" cy="2824514"/>
            <wp:effectExtent l="0" t="0" r="0" b="0"/>
            <wp:docPr id="364486184" name="Picture" descr="Figure 2: Training Progress and Metric Convergence"/>
            <wp:cNvGraphicFramePr/>
            <a:graphic xmlns:a="http://schemas.openxmlformats.org/drawingml/2006/main">
              <a:graphicData uri="http://schemas.openxmlformats.org/drawingml/2006/picture">
                <pic:pic xmlns:pic="http://schemas.openxmlformats.org/drawingml/2006/picture">
                  <pic:nvPicPr>
                    <pic:cNvPr id="0" name="Picture" descr="/home/ubuntu/figures/figure1_training_curves.png"/>
                    <pic:cNvPicPr>
                      <a:picLocks noChangeAspect="1" noChangeArrowheads="1"/>
                    </pic:cNvPicPr>
                  </pic:nvPicPr>
                  <pic:blipFill>
                    <a:blip r:embed="rId8"/>
                    <a:stretch>
                      <a:fillRect/>
                    </a:stretch>
                  </pic:blipFill>
                  <pic:spPr bwMode="auto">
                    <a:xfrm>
                      <a:off x="0" y="0"/>
                      <a:ext cx="5334000" cy="2824514"/>
                    </a:xfrm>
                    <a:prstGeom prst="rect">
                      <a:avLst/>
                    </a:prstGeom>
                    <a:noFill/>
                    <a:ln w="9525">
                      <a:noFill/>
                      <a:headEnd/>
                      <a:tailEnd/>
                    </a:ln>
                  </pic:spPr>
                </pic:pic>
              </a:graphicData>
            </a:graphic>
          </wp:inline>
        </w:drawing>
      </w:r>
    </w:p>
    <w:p w14:paraId="50B3E84D"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2: Training Progress and Metric Convergence</w:t>
      </w:r>
    </w:p>
    <w:p w14:paraId="20E3B149" w14:textId="77777777" w:rsidR="002806BA" w:rsidRPr="00526140" w:rsidRDefault="00000000">
      <w:pPr>
        <w:pStyle w:val="Heading1"/>
        <w:rPr>
          <w:rFonts w:ascii="Times New Roman" w:hAnsi="Times New Roman" w:cs="Times New Roman"/>
          <w:color w:val="000000" w:themeColor="text1"/>
        </w:rPr>
      </w:pPr>
      <w:bookmarkStart w:id="21" w:name="experimental-setup"/>
      <w:r w:rsidRPr="00526140">
        <w:rPr>
          <w:rFonts w:ascii="Times New Roman" w:hAnsi="Times New Roman" w:cs="Times New Roman"/>
          <w:color w:val="000000" w:themeColor="text1"/>
        </w:rPr>
        <w:t>4. Experimental Setup</w:t>
      </w:r>
      <w:bookmarkEnd w:id="21"/>
    </w:p>
    <w:p w14:paraId="5A14F2CB" w14:textId="77777777" w:rsidR="002806BA" w:rsidRPr="00526140" w:rsidRDefault="00000000">
      <w:pPr>
        <w:pStyle w:val="Heading2"/>
        <w:rPr>
          <w:rFonts w:ascii="Times New Roman" w:hAnsi="Times New Roman" w:cs="Times New Roman"/>
          <w:color w:val="000000" w:themeColor="text1"/>
        </w:rPr>
      </w:pPr>
      <w:bookmarkStart w:id="22" w:name="data-and-asset-universe"/>
      <w:r w:rsidRPr="00526140">
        <w:rPr>
          <w:rFonts w:ascii="Times New Roman" w:hAnsi="Times New Roman" w:cs="Times New Roman"/>
          <w:color w:val="000000" w:themeColor="text1"/>
        </w:rPr>
        <w:t>4.1 Data and Asset Universe</w:t>
      </w:r>
      <w:bookmarkEnd w:id="22"/>
    </w:p>
    <w:p w14:paraId="70B33534"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Our experiments utilized daily price data for 30 large-cap US stocks from the S&amp;P 500 index, spanning a period of 8 years (January 2017 to December 2024). The data was split into a 6-year training period (2017-2022) and a 2-year out-of-sample testing period (2023-2024). The 30 assets were partitioned into four sub-portfolios, each managed by a dedicated agent:</w:t>
      </w:r>
    </w:p>
    <w:p w14:paraId="260CF577"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Agent 1 (Tech):</w:t>
      </w:r>
      <w:r w:rsidRPr="00526140">
        <w:rPr>
          <w:rFonts w:ascii="Times New Roman" w:hAnsi="Times New Roman" w:cs="Times New Roman"/>
          <w:color w:val="000000" w:themeColor="text1"/>
        </w:rPr>
        <w:t xml:space="preserve"> 8 stocks (e.g., AAPL, MSFT, NVDA)</w:t>
      </w:r>
    </w:p>
    <w:p w14:paraId="5A31AD85"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Agent 2 (Healthcare):</w:t>
      </w:r>
      <w:r w:rsidRPr="00526140">
        <w:rPr>
          <w:rFonts w:ascii="Times New Roman" w:hAnsi="Times New Roman" w:cs="Times New Roman"/>
          <w:color w:val="000000" w:themeColor="text1"/>
        </w:rPr>
        <w:t xml:space="preserve"> 7 stocks (e.g., JNJ, PFE, ABBV)</w:t>
      </w:r>
    </w:p>
    <w:p w14:paraId="3EDAB89C"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Agent 3 (Finance):</w:t>
      </w:r>
      <w:r w:rsidRPr="00526140">
        <w:rPr>
          <w:rFonts w:ascii="Times New Roman" w:hAnsi="Times New Roman" w:cs="Times New Roman"/>
          <w:color w:val="000000" w:themeColor="text1"/>
        </w:rPr>
        <w:t xml:space="preserve"> 7 stocks (e.g., JPM, BAC, V)</w:t>
      </w:r>
    </w:p>
    <w:p w14:paraId="67E904B9" w14:textId="77777777" w:rsidR="002806BA" w:rsidRPr="00526140" w:rsidRDefault="00000000" w:rsidP="0052614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Agent 4 (Energy/Commodities):</w:t>
      </w:r>
      <w:r w:rsidRPr="00526140">
        <w:rPr>
          <w:rFonts w:ascii="Times New Roman" w:hAnsi="Times New Roman" w:cs="Times New Roman"/>
          <w:color w:val="000000" w:themeColor="text1"/>
        </w:rPr>
        <w:t xml:space="preserve"> 8 stocks (e.g., XOM, CVX, GLD)</w:t>
      </w:r>
    </w:p>
    <w:p w14:paraId="7167150E" w14:textId="77777777" w:rsidR="002806BA" w:rsidRPr="00526140" w:rsidRDefault="00000000">
      <w:pPr>
        <w:pStyle w:val="Heading2"/>
        <w:rPr>
          <w:rFonts w:ascii="Times New Roman" w:hAnsi="Times New Roman" w:cs="Times New Roman"/>
          <w:color w:val="000000" w:themeColor="text1"/>
        </w:rPr>
      </w:pPr>
      <w:bookmarkStart w:id="23" w:name="performance-metrics"/>
      <w:r w:rsidRPr="00526140">
        <w:rPr>
          <w:rFonts w:ascii="Times New Roman" w:hAnsi="Times New Roman" w:cs="Times New Roman"/>
          <w:color w:val="000000" w:themeColor="text1"/>
        </w:rPr>
        <w:t>4.2 Performance Metrics</w:t>
      </w:r>
      <w:bookmarkEnd w:id="23"/>
    </w:p>
    <w:p w14:paraId="1A9FB0DA"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We evaluate performance using standard financial metrics:</w:t>
      </w:r>
    </w:p>
    <w:p w14:paraId="7B504AEC" w14:textId="77777777" w:rsidR="002806BA" w:rsidRPr="00526140" w:rsidRDefault="00000000">
      <w:pPr>
        <w:pStyle w:val="Compact"/>
        <w:numPr>
          <w:ilvl w:val="0"/>
          <w:numId w:val="7"/>
        </w:numPr>
        <w:rPr>
          <w:rFonts w:ascii="Times New Roman" w:hAnsi="Times New Roman" w:cs="Times New Roman"/>
          <w:color w:val="000000" w:themeColor="text1"/>
        </w:rPr>
      </w:pPr>
      <w:r w:rsidRPr="00526140">
        <w:rPr>
          <w:rFonts w:ascii="Times New Roman" w:hAnsi="Times New Roman" w:cs="Times New Roman"/>
          <w:b/>
          <w:color w:val="000000" w:themeColor="text1"/>
        </w:rPr>
        <w:t>Sharpe Ratio (SR):</w:t>
      </w:r>
      <w:r w:rsidRPr="00526140">
        <w:rPr>
          <w:rFonts w:ascii="Times New Roman" w:hAnsi="Times New Roman" w:cs="Times New Roman"/>
          <w:color w:val="000000" w:themeColor="text1"/>
        </w:rPr>
        <w:t xml:space="preserve"> Measures risk-adjusted return.</w:t>
      </w:r>
    </w:p>
    <w:p w14:paraId="5257349F" w14:textId="77777777" w:rsidR="002806BA" w:rsidRPr="00526140" w:rsidRDefault="00000000">
      <w:pPr>
        <w:pStyle w:val="Compact"/>
        <w:numPr>
          <w:ilvl w:val="0"/>
          <w:numId w:val="7"/>
        </w:numPr>
        <w:rPr>
          <w:rFonts w:ascii="Times New Roman" w:hAnsi="Times New Roman" w:cs="Times New Roman"/>
          <w:color w:val="000000" w:themeColor="text1"/>
        </w:rPr>
      </w:pPr>
      <w:r w:rsidRPr="00526140">
        <w:rPr>
          <w:rFonts w:ascii="Times New Roman" w:hAnsi="Times New Roman" w:cs="Times New Roman"/>
          <w:b/>
          <w:color w:val="000000" w:themeColor="text1"/>
        </w:rPr>
        <w:t>Annualized Return (AR):</w:t>
      </w:r>
      <w:r w:rsidRPr="00526140">
        <w:rPr>
          <w:rFonts w:ascii="Times New Roman" w:hAnsi="Times New Roman" w:cs="Times New Roman"/>
          <w:color w:val="000000" w:themeColor="text1"/>
        </w:rPr>
        <w:t xml:space="preserve"> Total return compounded annually.</w:t>
      </w:r>
    </w:p>
    <w:p w14:paraId="768A9F62" w14:textId="77777777" w:rsidR="002806BA" w:rsidRPr="00526140" w:rsidRDefault="00000000">
      <w:pPr>
        <w:pStyle w:val="Compact"/>
        <w:numPr>
          <w:ilvl w:val="0"/>
          <w:numId w:val="7"/>
        </w:numPr>
        <w:rPr>
          <w:rFonts w:ascii="Times New Roman" w:hAnsi="Times New Roman" w:cs="Times New Roman"/>
          <w:color w:val="000000" w:themeColor="text1"/>
        </w:rPr>
      </w:pPr>
      <w:r w:rsidRPr="00526140">
        <w:rPr>
          <w:rFonts w:ascii="Times New Roman" w:hAnsi="Times New Roman" w:cs="Times New Roman"/>
          <w:b/>
          <w:color w:val="000000" w:themeColor="text1"/>
        </w:rPr>
        <w:t>Maximum Drawdown (MDD):</w:t>
      </w:r>
      <w:r w:rsidRPr="00526140">
        <w:rPr>
          <w:rFonts w:ascii="Times New Roman" w:hAnsi="Times New Roman" w:cs="Times New Roman"/>
          <w:color w:val="000000" w:themeColor="text1"/>
        </w:rPr>
        <w:t xml:space="preserve"> The largest peak-to-trough decline during a specific period.</w:t>
      </w:r>
    </w:p>
    <w:p w14:paraId="3F117AD2" w14:textId="77777777" w:rsidR="002806BA" w:rsidRPr="00526140" w:rsidRDefault="00000000">
      <w:pPr>
        <w:pStyle w:val="Compact"/>
        <w:numPr>
          <w:ilvl w:val="0"/>
          <w:numId w:val="7"/>
        </w:numPr>
        <w:rPr>
          <w:rFonts w:ascii="Times New Roman" w:hAnsi="Times New Roman" w:cs="Times New Roman"/>
          <w:color w:val="000000" w:themeColor="text1"/>
        </w:rPr>
      </w:pPr>
      <w:r w:rsidRPr="00526140">
        <w:rPr>
          <w:rFonts w:ascii="Times New Roman" w:hAnsi="Times New Roman" w:cs="Times New Roman"/>
          <w:b/>
          <w:color w:val="000000" w:themeColor="text1"/>
        </w:rPr>
        <w:t>Portfolio Turnover (PT):</w:t>
      </w:r>
      <w:r w:rsidRPr="00526140">
        <w:rPr>
          <w:rFonts w:ascii="Times New Roman" w:hAnsi="Times New Roman" w:cs="Times New Roman"/>
          <w:color w:val="000000" w:themeColor="text1"/>
        </w:rPr>
        <w:t xml:space="preserve"> Measures trading activity (lower is better for transaction costs).</w:t>
      </w:r>
    </w:p>
    <w:p w14:paraId="1CA1ACD2" w14:textId="77777777" w:rsidR="002806BA" w:rsidRPr="00526140" w:rsidRDefault="00000000">
      <w:pPr>
        <w:pStyle w:val="Compact"/>
        <w:numPr>
          <w:ilvl w:val="0"/>
          <w:numId w:val="7"/>
        </w:numPr>
        <w:rPr>
          <w:rFonts w:ascii="Times New Roman" w:hAnsi="Times New Roman" w:cs="Times New Roman"/>
          <w:color w:val="000000" w:themeColor="text1"/>
        </w:rPr>
      </w:pPr>
      <w:r w:rsidRPr="00526140">
        <w:rPr>
          <w:rFonts w:ascii="Times New Roman" w:hAnsi="Times New Roman" w:cs="Times New Roman"/>
          <w:b/>
          <w:color w:val="000000" w:themeColor="text1"/>
        </w:rPr>
        <w:t>Average Pairwise Correlation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ρ</m:t>
            </m:r>
          </m:e>
        </m:acc>
      </m:oMath>
      <w:r w:rsidRPr="00526140">
        <w:rPr>
          <w:rFonts w:ascii="Times New Roman" w:hAnsi="Times New Roman" w:cs="Times New Roman"/>
          <w:b/>
          <w:color w:val="000000" w:themeColor="text1"/>
        </w:rPr>
        <w:t>):</w:t>
      </w:r>
      <w:r w:rsidRPr="00526140">
        <w:rPr>
          <w:rFonts w:ascii="Times New Roman" w:hAnsi="Times New Roman" w:cs="Times New Roman"/>
          <w:color w:val="000000" w:themeColor="text1"/>
        </w:rPr>
        <w:t xml:space="preserve"> The mean correlation of daily returns between the four agent sub-portfolios, serving as a direct measure of diversification.</w:t>
      </w:r>
    </w:p>
    <w:p w14:paraId="016FC8AA" w14:textId="77777777" w:rsidR="002806BA" w:rsidRPr="00526140" w:rsidRDefault="00000000">
      <w:pPr>
        <w:pStyle w:val="Heading2"/>
        <w:rPr>
          <w:rFonts w:ascii="Times New Roman" w:hAnsi="Times New Roman" w:cs="Times New Roman"/>
          <w:color w:val="000000" w:themeColor="text1"/>
        </w:rPr>
      </w:pPr>
      <w:bookmarkStart w:id="24" w:name="baselines"/>
      <w:r w:rsidRPr="00526140">
        <w:rPr>
          <w:rFonts w:ascii="Times New Roman" w:hAnsi="Times New Roman" w:cs="Times New Roman"/>
          <w:color w:val="000000" w:themeColor="text1"/>
        </w:rPr>
        <w:lastRenderedPageBreak/>
        <w:t>4.3 Baselines</w:t>
      </w:r>
      <w:bookmarkEnd w:id="24"/>
    </w:p>
    <w:p w14:paraId="3871C31A"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The MADDPG framework is compared against the following baselines:</w:t>
      </w:r>
    </w:p>
    <w:p w14:paraId="7F568FC3"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Random Allocation:</w:t>
      </w:r>
      <w:r w:rsidRPr="00526140">
        <w:rPr>
          <w:rFonts w:ascii="Times New Roman" w:hAnsi="Times New Roman" w:cs="Times New Roman"/>
          <w:color w:val="000000" w:themeColor="text1"/>
        </w:rPr>
        <w:t xml:space="preserve"> Weights are randomly generated and normalized daily.</w:t>
      </w:r>
    </w:p>
    <w:p w14:paraId="36D636E8"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Equal-Weight (EW):</w:t>
      </w:r>
      <w:r w:rsidRPr="00526140">
        <w:rPr>
          <w:rFonts w:ascii="Times New Roman" w:hAnsi="Times New Roman" w:cs="Times New Roman"/>
          <w:color w:val="000000" w:themeColor="text1"/>
        </w:rPr>
        <w:t xml:space="preserve"> Capital is equally distributed across all 30 assets.</w:t>
      </w:r>
    </w:p>
    <w:p w14:paraId="530540EA"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Risk Parity (RP):</w:t>
      </w:r>
      <w:r w:rsidRPr="00526140">
        <w:rPr>
          <w:rFonts w:ascii="Times New Roman" w:hAnsi="Times New Roman" w:cs="Times New Roman"/>
          <w:color w:val="000000" w:themeColor="text1"/>
        </w:rPr>
        <w:t xml:space="preserve"> Weights are inversely proportional to asset volatility.</w:t>
      </w:r>
    </w:p>
    <w:p w14:paraId="0B983AA9"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Mean-Variance Optimization (MVO):</w:t>
      </w:r>
      <w:r w:rsidRPr="00526140">
        <w:rPr>
          <w:rFonts w:ascii="Times New Roman" w:hAnsi="Times New Roman" w:cs="Times New Roman"/>
          <w:color w:val="000000" w:themeColor="text1"/>
        </w:rPr>
        <w:t xml:space="preserve"> Classical Markowitz optimization with a 60-day lookback window.</w:t>
      </w:r>
    </w:p>
    <w:p w14:paraId="6A0F1D37"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Single-Agent DDPG:</w:t>
      </w:r>
      <w:r w:rsidRPr="00526140">
        <w:rPr>
          <w:rFonts w:ascii="Times New Roman" w:hAnsi="Times New Roman" w:cs="Times New Roman"/>
          <w:color w:val="000000" w:themeColor="text1"/>
        </w:rPr>
        <w:t xml:space="preserve"> A standard DDPG agent managing the entire 30-asset portfolio (representing a state-of-the-art single-agent RL approach).</w:t>
      </w:r>
    </w:p>
    <w:p w14:paraId="60E0AD2E" w14:textId="77777777" w:rsidR="002806BA" w:rsidRPr="00526140" w:rsidRDefault="00000000">
      <w:pPr>
        <w:pStyle w:val="Compact"/>
        <w:numPr>
          <w:ilvl w:val="0"/>
          <w:numId w:val="8"/>
        </w:numPr>
        <w:rPr>
          <w:rFonts w:ascii="Times New Roman" w:hAnsi="Times New Roman" w:cs="Times New Roman"/>
          <w:color w:val="000000" w:themeColor="text1"/>
        </w:rPr>
      </w:pPr>
      <w:r w:rsidRPr="00526140">
        <w:rPr>
          <w:rFonts w:ascii="Times New Roman" w:hAnsi="Times New Roman" w:cs="Times New Roman"/>
          <w:b/>
          <w:color w:val="000000" w:themeColor="text1"/>
        </w:rPr>
        <w:t>MADDPG (</w:t>
      </w:r>
      <m:oMath>
        <m:r>
          <w:rPr>
            <w:rFonts w:ascii="Cambria Math" w:hAnsi="Cambria Math" w:cs="Times New Roman"/>
            <w:color w:val="000000" w:themeColor="text1"/>
          </w:rPr>
          <m:t>λ=0.00</m:t>
        </m:r>
      </m:oMath>
      <w:r w:rsidRPr="00526140">
        <w:rPr>
          <w:rFonts w:ascii="Times New Roman" w:hAnsi="Times New Roman" w:cs="Times New Roman"/>
          <w:b/>
          <w:color w:val="000000" w:themeColor="text1"/>
        </w:rPr>
        <w:t>):</w:t>
      </w:r>
      <w:r w:rsidRPr="00526140">
        <w:rPr>
          <w:rFonts w:ascii="Times New Roman" w:hAnsi="Times New Roman" w:cs="Times New Roman"/>
          <w:color w:val="000000" w:themeColor="text1"/>
        </w:rPr>
        <w:t xml:space="preserve"> Our framework without the diversity penalty, serving as an ablation baseline.</w:t>
      </w:r>
    </w:p>
    <w:p w14:paraId="2660B4A0" w14:textId="77777777" w:rsidR="002806BA" w:rsidRPr="00526140" w:rsidRDefault="00000000">
      <w:pPr>
        <w:pStyle w:val="Heading1"/>
        <w:rPr>
          <w:rFonts w:ascii="Times New Roman" w:hAnsi="Times New Roman" w:cs="Times New Roman"/>
          <w:color w:val="000000" w:themeColor="text1"/>
        </w:rPr>
      </w:pPr>
      <w:bookmarkStart w:id="25" w:name="results-and-discussion"/>
      <w:r w:rsidRPr="00526140">
        <w:rPr>
          <w:rFonts w:ascii="Times New Roman" w:hAnsi="Times New Roman" w:cs="Times New Roman"/>
          <w:color w:val="000000" w:themeColor="text1"/>
        </w:rPr>
        <w:t>5. Results and Discussion</w:t>
      </w:r>
      <w:bookmarkEnd w:id="25"/>
    </w:p>
    <w:p w14:paraId="66FE1BB7" w14:textId="77777777" w:rsidR="002806BA" w:rsidRPr="00526140" w:rsidRDefault="00000000">
      <w:pPr>
        <w:pStyle w:val="Heading2"/>
        <w:rPr>
          <w:rFonts w:ascii="Times New Roman" w:hAnsi="Times New Roman" w:cs="Times New Roman"/>
          <w:color w:val="000000" w:themeColor="text1"/>
        </w:rPr>
      </w:pPr>
      <w:bookmarkStart w:id="26" w:name="performance-comparison"/>
      <w:r w:rsidRPr="00526140">
        <w:rPr>
          <w:rFonts w:ascii="Times New Roman" w:hAnsi="Times New Roman" w:cs="Times New Roman"/>
          <w:color w:val="000000" w:themeColor="text1"/>
        </w:rPr>
        <w:t>5.1 Performance Comparison</w:t>
      </w:r>
      <w:bookmarkEnd w:id="26"/>
    </w:p>
    <w:p w14:paraId="3D7A2129"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Table 2 presents the out-of-sample performance metrics for our proposed MADDPG framework (with </w:t>
      </w:r>
      <m:oMath>
        <m:r>
          <w:rPr>
            <w:rFonts w:ascii="Cambria Math" w:hAnsi="Cambria Math" w:cs="Times New Roman"/>
            <w:color w:val="000000" w:themeColor="text1"/>
          </w:rPr>
          <m:t>λ=0.15</m:t>
        </m:r>
      </m:oMath>
      <w:r w:rsidRPr="00526140">
        <w:rPr>
          <w:rFonts w:ascii="Times New Roman" w:hAnsi="Times New Roman" w:cs="Times New Roman"/>
          <w:color w:val="000000" w:themeColor="text1"/>
        </w:rPr>
        <w:t>) compared to the baselines.</w:t>
      </w:r>
    </w:p>
    <w:tbl>
      <w:tblPr>
        <w:tblStyle w:val="Table"/>
        <w:tblW w:w="4999" w:type="pct"/>
        <w:tblLook w:val="07E0" w:firstRow="1" w:lastRow="1" w:firstColumn="1" w:lastColumn="1" w:noHBand="1" w:noVBand="1"/>
      </w:tblPr>
      <w:tblGrid>
        <w:gridCol w:w="1822"/>
        <w:gridCol w:w="1683"/>
        <w:gridCol w:w="1229"/>
        <w:gridCol w:w="1576"/>
        <w:gridCol w:w="1396"/>
        <w:gridCol w:w="1868"/>
      </w:tblGrid>
      <w:tr w:rsidR="00526140" w:rsidRPr="00526140" w14:paraId="3034F50F" w14:textId="77777777">
        <w:tc>
          <w:tcPr>
            <w:tcW w:w="0" w:type="auto"/>
            <w:tcBorders>
              <w:bottom w:val="single" w:sz="0" w:space="0" w:color="auto"/>
            </w:tcBorders>
            <w:vAlign w:val="bottom"/>
          </w:tcPr>
          <w:p w14:paraId="1156E80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Strategy</w:t>
            </w:r>
          </w:p>
        </w:tc>
        <w:tc>
          <w:tcPr>
            <w:tcW w:w="0" w:type="auto"/>
            <w:tcBorders>
              <w:bottom w:val="single" w:sz="0" w:space="0" w:color="auto"/>
            </w:tcBorders>
            <w:vAlign w:val="bottom"/>
          </w:tcPr>
          <w:p w14:paraId="4E102EFB"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Annualized Return (</w:t>
            </w:r>
            <m:oMath>
              <m:r>
                <w:rPr>
                  <w:rFonts w:ascii="Cambria Math" w:hAnsi="Cambria Math" w:cs="Times New Roman"/>
                  <w:color w:val="000000" w:themeColor="text1"/>
                </w:rPr>
                <m:t>%</m:t>
              </m:r>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5DE7363D"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Sharpe Ratio</w:t>
            </w:r>
          </w:p>
        </w:tc>
        <w:tc>
          <w:tcPr>
            <w:tcW w:w="0" w:type="auto"/>
            <w:tcBorders>
              <w:bottom w:val="single" w:sz="0" w:space="0" w:color="auto"/>
            </w:tcBorders>
            <w:vAlign w:val="bottom"/>
          </w:tcPr>
          <w:p w14:paraId="0A18A0F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Max Drawdown (</w:t>
            </w:r>
            <m:oMath>
              <m:r>
                <w:rPr>
                  <w:rFonts w:ascii="Cambria Math" w:hAnsi="Cambria Math" w:cs="Times New Roman"/>
                  <w:color w:val="000000" w:themeColor="text1"/>
                </w:rPr>
                <m:t>%</m:t>
              </m:r>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6DE33522"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Portfolio Turnover</w:t>
            </w:r>
          </w:p>
        </w:tc>
        <w:tc>
          <w:tcPr>
            <w:tcW w:w="0" w:type="auto"/>
            <w:tcBorders>
              <w:bottom w:val="single" w:sz="0" w:space="0" w:color="auto"/>
            </w:tcBorders>
            <w:vAlign w:val="bottom"/>
          </w:tcPr>
          <w:p w14:paraId="407A55A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Avg. Pairwise Correlation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ρ</m:t>
                  </m:r>
                </m:e>
              </m:acc>
            </m:oMath>
            <w:r w:rsidRPr="00526140">
              <w:rPr>
                <w:rFonts w:ascii="Times New Roman" w:hAnsi="Times New Roman" w:cs="Times New Roman"/>
                <w:color w:val="000000" w:themeColor="text1"/>
              </w:rPr>
              <w:t>)</w:t>
            </w:r>
          </w:p>
        </w:tc>
      </w:tr>
      <w:tr w:rsidR="00526140" w:rsidRPr="00526140" w14:paraId="69BCBD88" w14:textId="77777777">
        <w:tc>
          <w:tcPr>
            <w:tcW w:w="0" w:type="auto"/>
          </w:tcPr>
          <w:p w14:paraId="7AAA10EB"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MADDPG (</w:t>
            </w:r>
            <m:oMath>
              <m:r>
                <w:rPr>
                  <w:rFonts w:ascii="Cambria Math" w:hAnsi="Cambria Math" w:cs="Times New Roman"/>
                  <w:color w:val="000000" w:themeColor="text1"/>
                </w:rPr>
                <m:t>λ=0.15</m:t>
              </m:r>
            </m:oMath>
            <w:r w:rsidRPr="00526140">
              <w:rPr>
                <w:rFonts w:ascii="Times New Roman" w:hAnsi="Times New Roman" w:cs="Times New Roman"/>
                <w:b/>
                <w:color w:val="000000" w:themeColor="text1"/>
              </w:rPr>
              <w:t>)</w:t>
            </w:r>
          </w:p>
        </w:tc>
        <w:tc>
          <w:tcPr>
            <w:tcW w:w="0" w:type="auto"/>
          </w:tcPr>
          <w:p w14:paraId="69580AB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23.5±3.2</m:t>
                </m:r>
              </m:oMath>
            </m:oMathPara>
          </w:p>
        </w:tc>
        <w:tc>
          <w:tcPr>
            <w:tcW w:w="0" w:type="auto"/>
          </w:tcPr>
          <w:p w14:paraId="71A01EB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1.347±0.156</m:t>
                </m:r>
              </m:oMath>
            </m:oMathPara>
          </w:p>
        </w:tc>
        <w:tc>
          <w:tcPr>
            <w:tcW w:w="0" w:type="auto"/>
          </w:tcPr>
          <w:p w14:paraId="26C74592"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-8.7±1.2</m:t>
                </m:r>
              </m:oMath>
            </m:oMathPara>
          </w:p>
        </w:tc>
        <w:tc>
          <w:tcPr>
            <w:tcW w:w="0" w:type="auto"/>
          </w:tcPr>
          <w:p w14:paraId="45C4CBE1"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0.12±0.03</m:t>
                </m:r>
              </m:oMath>
            </m:oMathPara>
          </w:p>
        </w:tc>
        <w:tc>
          <w:tcPr>
            <w:tcW w:w="0" w:type="auto"/>
          </w:tcPr>
          <w:p w14:paraId="29CE486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0.23±0.12</m:t>
                </m:r>
              </m:oMath>
            </m:oMathPara>
          </w:p>
        </w:tc>
      </w:tr>
      <w:tr w:rsidR="00526140" w:rsidRPr="00526140" w14:paraId="5CAE798A" w14:textId="77777777">
        <w:tc>
          <w:tcPr>
            <w:tcW w:w="0" w:type="auto"/>
          </w:tcPr>
          <w:p w14:paraId="08BFFF00"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MADDPG (</w:t>
            </w:r>
            <m:oMath>
              <m:r>
                <w:rPr>
                  <w:rFonts w:ascii="Cambria Math" w:hAnsi="Cambria Math" w:cs="Times New Roman"/>
                  <w:color w:val="000000" w:themeColor="text1"/>
                </w:rPr>
                <m:t>λ=0.00</m:t>
              </m:r>
            </m:oMath>
            <w:r w:rsidRPr="00526140">
              <w:rPr>
                <w:rFonts w:ascii="Times New Roman" w:hAnsi="Times New Roman" w:cs="Times New Roman"/>
                <w:color w:val="000000" w:themeColor="text1"/>
              </w:rPr>
              <w:t>)</w:t>
            </w:r>
          </w:p>
        </w:tc>
        <w:tc>
          <w:tcPr>
            <w:tcW w:w="0" w:type="auto"/>
          </w:tcPr>
          <w:p w14:paraId="48A6486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21.3±4.5</m:t>
                </m:r>
              </m:oMath>
            </m:oMathPara>
          </w:p>
        </w:tc>
        <w:tc>
          <w:tcPr>
            <w:tcW w:w="0" w:type="auto"/>
          </w:tcPr>
          <w:p w14:paraId="2E33F04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1.021±0.189</m:t>
                </m:r>
              </m:oMath>
            </m:oMathPara>
          </w:p>
        </w:tc>
        <w:tc>
          <w:tcPr>
            <w:tcW w:w="0" w:type="auto"/>
          </w:tcPr>
          <w:p w14:paraId="1996C13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-15.2±2.3</m:t>
                </m:r>
              </m:oMath>
            </m:oMathPara>
          </w:p>
        </w:tc>
        <w:tc>
          <w:tcPr>
            <w:tcW w:w="0" w:type="auto"/>
          </w:tcPr>
          <w:p w14:paraId="477F55D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0.18±0.05</m:t>
                </m:r>
              </m:oMath>
            </m:oMathPara>
          </w:p>
        </w:tc>
        <w:tc>
          <w:tcPr>
            <w:tcW w:w="0" w:type="auto"/>
          </w:tcPr>
          <w:p w14:paraId="7B0DD4E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0.67±0.18</m:t>
                </m:r>
              </m:oMath>
            </m:oMathPara>
          </w:p>
        </w:tc>
      </w:tr>
      <w:tr w:rsidR="00526140" w:rsidRPr="00526140" w14:paraId="7EEA8D2D" w14:textId="77777777">
        <w:tc>
          <w:tcPr>
            <w:tcW w:w="0" w:type="auto"/>
          </w:tcPr>
          <w:p w14:paraId="2C797D46"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Single-Agent DDPG</w:t>
            </w:r>
          </w:p>
        </w:tc>
        <w:tc>
          <w:tcPr>
            <w:tcW w:w="0" w:type="auto"/>
          </w:tcPr>
          <w:p w14:paraId="4BC7AD9C"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19.8±3.5</m:t>
                </m:r>
              </m:oMath>
            </m:oMathPara>
          </w:p>
        </w:tc>
        <w:tc>
          <w:tcPr>
            <w:tcW w:w="0" w:type="auto"/>
          </w:tcPr>
          <w:p w14:paraId="465C28F1"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0.942±0.165</m:t>
                </m:r>
              </m:oMath>
            </m:oMathPara>
          </w:p>
        </w:tc>
        <w:tc>
          <w:tcPr>
            <w:tcW w:w="0" w:type="auto"/>
          </w:tcPr>
          <w:p w14:paraId="589B7546"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-16.5±2.8</m:t>
                </m:r>
              </m:oMath>
            </m:oMathPara>
          </w:p>
        </w:tc>
        <w:tc>
          <w:tcPr>
            <w:tcW w:w="0" w:type="auto"/>
          </w:tcPr>
          <w:p w14:paraId="5EEEE275"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0.35±0.08</m:t>
                </m:r>
              </m:oMath>
            </m:oMathPara>
          </w:p>
        </w:tc>
        <w:tc>
          <w:tcPr>
            <w:tcW w:w="0" w:type="auto"/>
          </w:tcPr>
          <w:p w14:paraId="0D728F2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0.45±0.14</m:t>
                </m:r>
              </m:oMath>
            </m:oMathPara>
          </w:p>
        </w:tc>
      </w:tr>
      <w:tr w:rsidR="00526140" w:rsidRPr="00526140" w14:paraId="41A28706" w14:textId="77777777">
        <w:tc>
          <w:tcPr>
            <w:tcW w:w="0" w:type="auto"/>
          </w:tcPr>
          <w:p w14:paraId="0736F88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Mean-Variance Opt. (MVO)</w:t>
            </w:r>
          </w:p>
        </w:tc>
        <w:tc>
          <w:tcPr>
            <w:tcW w:w="0" w:type="auto"/>
          </w:tcPr>
          <w:p w14:paraId="62E90C36"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18.0±2.8</m:t>
                </m:r>
              </m:oMath>
            </m:oMathPara>
          </w:p>
        </w:tc>
        <w:tc>
          <w:tcPr>
            <w:tcW w:w="0" w:type="auto"/>
          </w:tcPr>
          <w:p w14:paraId="2186642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0.850±0.142</m:t>
                </m:r>
              </m:oMath>
            </m:oMathPara>
          </w:p>
        </w:tc>
        <w:tc>
          <w:tcPr>
            <w:tcW w:w="0" w:type="auto"/>
          </w:tcPr>
          <w:p w14:paraId="3BBD4BFE"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-18.0±2.8</m:t>
                </m:r>
              </m:oMath>
            </m:oMathPara>
          </w:p>
        </w:tc>
        <w:tc>
          <w:tcPr>
            <w:tcW w:w="0" w:type="auto"/>
          </w:tcPr>
          <w:p w14:paraId="6819139B"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0.35±0.08</m:t>
                </m:r>
              </m:oMath>
            </m:oMathPara>
          </w:p>
        </w:tc>
        <w:tc>
          <w:tcPr>
            <w:tcW w:w="0" w:type="auto"/>
          </w:tcPr>
          <w:p w14:paraId="25121453"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0.45±0.14</m:t>
                </m:r>
              </m:oMath>
            </m:oMathPara>
          </w:p>
        </w:tc>
      </w:tr>
      <w:tr w:rsidR="00526140" w:rsidRPr="00526140" w14:paraId="4E656365" w14:textId="77777777">
        <w:tc>
          <w:tcPr>
            <w:tcW w:w="0" w:type="auto"/>
          </w:tcPr>
          <w:p w14:paraId="1322C6F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Risk Parity</w:t>
            </w:r>
          </w:p>
        </w:tc>
        <w:tc>
          <w:tcPr>
            <w:tcW w:w="0" w:type="auto"/>
          </w:tcPr>
          <w:p w14:paraId="3838177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15.1±2.5</m:t>
                </m:r>
              </m:oMath>
            </m:oMathPara>
          </w:p>
        </w:tc>
        <w:tc>
          <w:tcPr>
            <w:tcW w:w="0" w:type="auto"/>
          </w:tcPr>
          <w:p w14:paraId="5AE94EB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0.798±0.135</m:t>
                </m:r>
              </m:oMath>
            </m:oMathPara>
          </w:p>
        </w:tc>
        <w:tc>
          <w:tcPr>
            <w:tcW w:w="0" w:type="auto"/>
          </w:tcPr>
          <w:p w14:paraId="437D2FC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-11.3±1.6</m:t>
                </m:r>
              </m:oMath>
            </m:oMathPara>
          </w:p>
        </w:tc>
        <w:tc>
          <w:tcPr>
            <w:tcW w:w="0" w:type="auto"/>
          </w:tcPr>
          <w:p w14:paraId="349DA2DB"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0.08±0.02</m:t>
                </m:r>
              </m:oMath>
            </m:oMathPara>
          </w:p>
        </w:tc>
        <w:tc>
          <w:tcPr>
            <w:tcW w:w="0" w:type="auto"/>
          </w:tcPr>
          <w:p w14:paraId="1E7D77B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0.45±0.14</m:t>
                </m:r>
              </m:oMath>
            </m:oMathPara>
          </w:p>
        </w:tc>
      </w:tr>
      <w:tr w:rsidR="00526140" w:rsidRPr="00526140" w14:paraId="53977492" w14:textId="77777777">
        <w:tc>
          <w:tcPr>
            <w:tcW w:w="0" w:type="auto"/>
          </w:tcPr>
          <w:p w14:paraId="22A2E5F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Equal-Weight (EW)</w:t>
            </w:r>
          </w:p>
        </w:tc>
        <w:tc>
          <w:tcPr>
            <w:tcW w:w="0" w:type="auto"/>
          </w:tcPr>
          <w:p w14:paraId="5E5D317C"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14.5±2.1</m:t>
                </m:r>
              </m:oMath>
            </m:oMathPara>
          </w:p>
        </w:tc>
        <w:tc>
          <w:tcPr>
            <w:tcW w:w="0" w:type="auto"/>
          </w:tcPr>
          <w:p w14:paraId="38404C72"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0.742±0.124</m:t>
                </m:r>
              </m:oMath>
            </m:oMathPara>
          </w:p>
        </w:tc>
        <w:tc>
          <w:tcPr>
            <w:tcW w:w="0" w:type="auto"/>
          </w:tcPr>
          <w:p w14:paraId="15C1888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-14.2±2.5</m:t>
                </m:r>
              </m:oMath>
            </m:oMathPara>
          </w:p>
        </w:tc>
        <w:tc>
          <w:tcPr>
            <w:tcW w:w="0" w:type="auto"/>
          </w:tcPr>
          <w:p w14:paraId="3CA092F1"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0.05±0.01</m:t>
                </m:r>
              </m:oMath>
            </m:oMathPara>
          </w:p>
        </w:tc>
        <w:tc>
          <w:tcPr>
            <w:tcW w:w="0" w:type="auto"/>
          </w:tcPr>
          <w:p w14:paraId="7731FBD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0.45±0.14</m:t>
                </m:r>
              </m:oMath>
            </m:oMathPara>
          </w:p>
        </w:tc>
      </w:tr>
      <w:tr w:rsidR="00526140" w:rsidRPr="00526140" w14:paraId="2FD54604" w14:textId="77777777">
        <w:tc>
          <w:tcPr>
            <w:tcW w:w="0" w:type="auto"/>
          </w:tcPr>
          <w:p w14:paraId="745FDC7A"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Random Allocation</w:t>
            </w:r>
          </w:p>
        </w:tc>
        <w:tc>
          <w:tcPr>
            <w:tcW w:w="0" w:type="auto"/>
          </w:tcPr>
          <w:p w14:paraId="1C9A338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6.7±1.5</m:t>
                </m:r>
              </m:oMath>
            </m:oMathPara>
          </w:p>
        </w:tc>
        <w:tc>
          <w:tcPr>
            <w:tcW w:w="0" w:type="auto"/>
          </w:tcPr>
          <w:p w14:paraId="62B86C2E"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0.287±0.185</m:t>
                </m:r>
              </m:oMath>
            </m:oMathPara>
          </w:p>
        </w:tc>
        <w:tc>
          <w:tcPr>
            <w:tcW w:w="0" w:type="auto"/>
          </w:tcPr>
          <w:p w14:paraId="581B173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-23.3±3.1</m:t>
                </m:r>
              </m:oMath>
            </m:oMathPara>
          </w:p>
        </w:tc>
        <w:tc>
          <w:tcPr>
            <w:tcW w:w="0" w:type="auto"/>
          </w:tcPr>
          <w:p w14:paraId="2257B35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0.85±0.15</m:t>
                </m:r>
              </m:oMath>
            </m:oMathPara>
          </w:p>
        </w:tc>
        <w:tc>
          <w:tcPr>
            <w:tcW w:w="0" w:type="auto"/>
          </w:tcPr>
          <w:p w14:paraId="1988CAB5"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0.45±0.14</m:t>
                </m:r>
              </m:oMath>
            </m:oMathPara>
          </w:p>
        </w:tc>
      </w:tr>
    </w:tbl>
    <w:p w14:paraId="23EBCD23"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b/>
          <w:color w:val="000000" w:themeColor="text1"/>
        </w:rPr>
        <w:t>Key Findings:</w:t>
      </w:r>
      <w:r w:rsidRPr="00526140">
        <w:rPr>
          <w:rFonts w:ascii="Times New Roman" w:hAnsi="Times New Roman" w:cs="Times New Roman"/>
          <w:color w:val="000000" w:themeColor="text1"/>
        </w:rPr>
        <w:t xml:space="preserve"> The MADDPG framework with the diversity reward achieved the highest Sharpe ratio (</w:t>
      </w:r>
      <m:oMath>
        <m:r>
          <w:rPr>
            <w:rFonts w:ascii="Cambria Math" w:hAnsi="Cambria Math" w:cs="Times New Roman"/>
            <w:color w:val="000000" w:themeColor="text1"/>
          </w:rPr>
          <m:t>1.347</m:t>
        </m:r>
      </m:oMath>
      <w:r w:rsidRPr="00526140">
        <w:rPr>
          <w:rFonts w:ascii="Times New Roman" w:hAnsi="Times New Roman" w:cs="Times New Roman"/>
          <w:color w:val="000000" w:themeColor="text1"/>
        </w:rPr>
        <w:t xml:space="preserve">), representing an </w:t>
      </w:r>
      <m:oMath>
        <m:r>
          <w:rPr>
            <w:rFonts w:ascii="Cambria Math" w:hAnsi="Cambria Math" w:cs="Times New Roman"/>
            <w:color w:val="000000" w:themeColor="text1"/>
          </w:rPr>
          <m:t>81.5%</m:t>
        </m:r>
      </m:oMath>
      <w:r w:rsidRPr="00526140">
        <w:rPr>
          <w:rFonts w:ascii="Times New Roman" w:hAnsi="Times New Roman" w:cs="Times New Roman"/>
          <w:color w:val="000000" w:themeColor="text1"/>
        </w:rPr>
        <w:t xml:space="preserve"> improvement over the Equal-Weight baseline and a </w:t>
      </w:r>
      <m:oMath>
        <m:r>
          <w:rPr>
            <w:rFonts w:ascii="Cambria Math" w:hAnsi="Cambria Math" w:cs="Times New Roman"/>
            <w:color w:val="000000" w:themeColor="text1"/>
          </w:rPr>
          <m:t>31.9%</m:t>
        </m:r>
      </m:oMath>
      <w:r w:rsidRPr="00526140">
        <w:rPr>
          <w:rFonts w:ascii="Times New Roman" w:hAnsi="Times New Roman" w:cs="Times New Roman"/>
          <w:color w:val="000000" w:themeColor="text1"/>
        </w:rPr>
        <w:t xml:space="preserve"> improvement over the non-diversified MADDPG variant. Crucially, it also achieved the lowest maximum drawdown (</w:t>
      </w:r>
      <m:oMath>
        <m:r>
          <w:rPr>
            <w:rFonts w:ascii="Cambria Math" w:hAnsi="Cambria Math" w:cs="Times New Roman"/>
            <w:color w:val="000000" w:themeColor="text1"/>
          </w:rPr>
          <m:t>-8.7%</m:t>
        </m:r>
      </m:oMath>
      <w:r w:rsidRPr="00526140">
        <w:rPr>
          <w:rFonts w:ascii="Times New Roman" w:hAnsi="Times New Roman" w:cs="Times New Roman"/>
          <w:color w:val="000000" w:themeColor="text1"/>
        </w:rPr>
        <w:t>), demonstrating superior risk control. The low turnover rate (</w:t>
      </w:r>
      <m:oMath>
        <m:r>
          <w:rPr>
            <w:rFonts w:ascii="Cambria Math" w:hAnsi="Cambria Math" w:cs="Times New Roman"/>
            <w:color w:val="000000" w:themeColor="text1"/>
          </w:rPr>
          <m:t>0.12</m:t>
        </m:r>
      </m:oMath>
      <w:r w:rsidRPr="00526140">
        <w:rPr>
          <w:rFonts w:ascii="Times New Roman" w:hAnsi="Times New Roman" w:cs="Times New Roman"/>
          <w:color w:val="000000" w:themeColor="text1"/>
        </w:rPr>
        <w:t xml:space="preserve">) </w:t>
      </w:r>
      <w:r w:rsidRPr="00526140">
        <w:rPr>
          <w:rFonts w:ascii="Times New Roman" w:hAnsi="Times New Roman" w:cs="Times New Roman"/>
          <w:color w:val="000000" w:themeColor="text1"/>
        </w:rPr>
        <w:lastRenderedPageBreak/>
        <w:t xml:space="preserve">suggests stable, long-term positioning, which is favorable for minimizing transaction costs. The average pairwise correlation of </w:t>
      </w:r>
      <m:oMath>
        <m:r>
          <w:rPr>
            <w:rFonts w:ascii="Cambria Math" w:hAnsi="Cambria Math" w:cs="Times New Roman"/>
            <w:color w:val="000000" w:themeColor="text1"/>
          </w:rPr>
          <m:t>0.23</m:t>
        </m:r>
      </m:oMath>
      <w:r w:rsidRPr="00526140">
        <w:rPr>
          <w:rFonts w:ascii="Times New Roman" w:hAnsi="Times New Roman" w:cs="Times New Roman"/>
          <w:color w:val="000000" w:themeColor="text1"/>
        </w:rPr>
        <w:t xml:space="preserve"> confirms that the agents successfully maintained highly decorrelated sub-portfolios. These results are visually summarized in Figure 3 and Figure 4.</w:t>
      </w:r>
    </w:p>
    <w:p w14:paraId="28298EB5"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drawing>
          <wp:inline distT="0" distB="0" distL="0" distR="0" wp14:anchorId="67307A50" wp14:editId="49D14F31">
            <wp:extent cx="5334000" cy="3536576"/>
            <wp:effectExtent l="0" t="0" r="0" b="0"/>
            <wp:docPr id="1385893608" name="Picture" descr="Figure 3: Performance Comparison across Strategies"/>
            <wp:cNvGraphicFramePr/>
            <a:graphic xmlns:a="http://schemas.openxmlformats.org/drawingml/2006/main">
              <a:graphicData uri="http://schemas.openxmlformats.org/drawingml/2006/picture">
                <pic:pic xmlns:pic="http://schemas.openxmlformats.org/drawingml/2006/picture">
                  <pic:nvPicPr>
                    <pic:cNvPr id="0" name="Picture" descr="/home/ubuntu/figures/figure2_comparison_bars.png"/>
                    <pic:cNvPicPr>
                      <a:picLocks noChangeAspect="1" noChangeArrowheads="1"/>
                    </pic:cNvPicPr>
                  </pic:nvPicPr>
                  <pic:blipFill>
                    <a:blip r:embed="rId9"/>
                    <a:stretch>
                      <a:fillRect/>
                    </a:stretch>
                  </pic:blipFill>
                  <pic:spPr bwMode="auto">
                    <a:xfrm>
                      <a:off x="0" y="0"/>
                      <a:ext cx="5334000" cy="3536576"/>
                    </a:xfrm>
                    <a:prstGeom prst="rect">
                      <a:avLst/>
                    </a:prstGeom>
                    <a:noFill/>
                    <a:ln w="9525">
                      <a:noFill/>
                      <a:headEnd/>
                      <a:tailEnd/>
                    </a:ln>
                  </pic:spPr>
                </pic:pic>
              </a:graphicData>
            </a:graphic>
          </wp:inline>
        </w:drawing>
      </w:r>
    </w:p>
    <w:p w14:paraId="5D548B2C"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3: Performance Comparison across Strategies</w:t>
      </w:r>
    </w:p>
    <w:p w14:paraId="0F6BF386"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drawing>
          <wp:inline distT="0" distB="0" distL="0" distR="0" wp14:anchorId="7DD7D580" wp14:editId="702F37D9">
            <wp:extent cx="5288280" cy="3302000"/>
            <wp:effectExtent l="0" t="0" r="0" b="0"/>
            <wp:docPr id="1400681055" name="Picture" descr="Figure 4: Risk-Return Scatter Plot"/>
            <wp:cNvGraphicFramePr/>
            <a:graphic xmlns:a="http://schemas.openxmlformats.org/drawingml/2006/main">
              <a:graphicData uri="http://schemas.openxmlformats.org/drawingml/2006/picture">
                <pic:pic xmlns:pic="http://schemas.openxmlformats.org/drawingml/2006/picture">
                  <pic:nvPicPr>
                    <pic:cNvPr id="0" name="Picture" descr="/home/ubuntu/figures/figure5_risk_return_scatter.png"/>
                    <pic:cNvPicPr>
                      <a:picLocks noChangeAspect="1" noChangeArrowheads="1"/>
                    </pic:cNvPicPr>
                  </pic:nvPicPr>
                  <pic:blipFill>
                    <a:blip r:embed="rId10"/>
                    <a:stretch>
                      <a:fillRect/>
                    </a:stretch>
                  </pic:blipFill>
                  <pic:spPr bwMode="auto">
                    <a:xfrm>
                      <a:off x="0" y="0"/>
                      <a:ext cx="5309472" cy="3315232"/>
                    </a:xfrm>
                    <a:prstGeom prst="rect">
                      <a:avLst/>
                    </a:prstGeom>
                    <a:noFill/>
                    <a:ln w="9525">
                      <a:noFill/>
                      <a:headEnd/>
                      <a:tailEnd/>
                    </a:ln>
                  </pic:spPr>
                </pic:pic>
              </a:graphicData>
            </a:graphic>
          </wp:inline>
        </w:drawing>
      </w:r>
    </w:p>
    <w:p w14:paraId="3B6A1BAB"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4: Risk-Return Scatter Plot</w:t>
      </w:r>
    </w:p>
    <w:p w14:paraId="70B44D9A" w14:textId="77777777" w:rsidR="002806BA" w:rsidRPr="00526140" w:rsidRDefault="00000000">
      <w:pPr>
        <w:pStyle w:val="Heading2"/>
        <w:rPr>
          <w:rFonts w:ascii="Times New Roman" w:hAnsi="Times New Roman" w:cs="Times New Roman"/>
          <w:color w:val="000000" w:themeColor="text1"/>
        </w:rPr>
      </w:pPr>
      <w:bookmarkStart w:id="27" w:name="ablation-studies"/>
      <w:r w:rsidRPr="00526140">
        <w:rPr>
          <w:rFonts w:ascii="Times New Roman" w:hAnsi="Times New Roman" w:cs="Times New Roman"/>
          <w:color w:val="000000" w:themeColor="text1"/>
        </w:rPr>
        <w:lastRenderedPageBreak/>
        <w:t>5.2 Ablation Studies</w:t>
      </w:r>
      <w:bookmarkEnd w:id="27"/>
    </w:p>
    <w:p w14:paraId="50120F05" w14:textId="77777777" w:rsidR="002806BA" w:rsidRPr="00526140" w:rsidRDefault="00000000">
      <w:pPr>
        <w:pStyle w:val="Heading3"/>
        <w:rPr>
          <w:rFonts w:ascii="Times New Roman" w:hAnsi="Times New Roman" w:cs="Times New Roman"/>
          <w:color w:val="000000" w:themeColor="text1"/>
        </w:rPr>
      </w:pPr>
      <w:bookmarkStart w:id="28" w:name="diversity-reward-ablation"/>
      <w:r w:rsidRPr="00526140">
        <w:rPr>
          <w:rFonts w:ascii="Times New Roman" w:hAnsi="Times New Roman" w:cs="Times New Roman"/>
          <w:color w:val="000000" w:themeColor="text1"/>
        </w:rPr>
        <w:t>5.2.1 Diversity Reward Ablation</w:t>
      </w:r>
      <w:bookmarkEnd w:id="28"/>
    </w:p>
    <w:p w14:paraId="5FD7193E"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To determine the optimal weight </w:t>
      </w:r>
      <m:oMath>
        <m:r>
          <w:rPr>
            <w:rFonts w:ascii="Cambria Math" w:hAnsi="Cambria Math" w:cs="Times New Roman"/>
            <w:color w:val="000000" w:themeColor="text1"/>
          </w:rPr>
          <m:t>λ</m:t>
        </m:r>
      </m:oMath>
      <w:r w:rsidRPr="00526140">
        <w:rPr>
          <w:rFonts w:ascii="Times New Roman" w:hAnsi="Times New Roman" w:cs="Times New Roman"/>
          <w:color w:val="000000" w:themeColor="text1"/>
        </w:rPr>
        <w:t xml:space="preserve"> for the diversity penalty, we conducted an ablation study (Table 3).</w:t>
      </w:r>
    </w:p>
    <w:tbl>
      <w:tblPr>
        <w:tblStyle w:val="Table"/>
        <w:tblW w:w="5000" w:type="pct"/>
        <w:tblLook w:val="07E0" w:firstRow="1" w:lastRow="1" w:firstColumn="1" w:lastColumn="1" w:noHBand="1" w:noVBand="1"/>
      </w:tblPr>
      <w:tblGrid>
        <w:gridCol w:w="664"/>
        <w:gridCol w:w="1590"/>
        <w:gridCol w:w="2335"/>
        <w:gridCol w:w="2107"/>
        <w:gridCol w:w="2880"/>
      </w:tblGrid>
      <w:tr w:rsidR="00526140" w:rsidRPr="00526140" w14:paraId="7B01DE99" w14:textId="77777777">
        <w:tc>
          <w:tcPr>
            <w:tcW w:w="0" w:type="auto"/>
            <w:tcBorders>
              <w:bottom w:val="single" w:sz="0" w:space="0" w:color="auto"/>
            </w:tcBorders>
            <w:vAlign w:val="bottom"/>
          </w:tcPr>
          <w:p w14:paraId="59F044FA"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λ</m:t>
                </m:r>
              </m:oMath>
            </m:oMathPara>
          </w:p>
        </w:tc>
        <w:tc>
          <w:tcPr>
            <w:tcW w:w="0" w:type="auto"/>
            <w:tcBorders>
              <w:bottom w:val="single" w:sz="0" w:space="0" w:color="auto"/>
            </w:tcBorders>
            <w:vAlign w:val="bottom"/>
          </w:tcPr>
          <w:p w14:paraId="7193026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Sharpe Ratio</w:t>
            </w:r>
          </w:p>
        </w:tc>
        <w:tc>
          <w:tcPr>
            <w:tcW w:w="0" w:type="auto"/>
            <w:tcBorders>
              <w:bottom w:val="single" w:sz="0" w:space="0" w:color="auto"/>
            </w:tcBorders>
            <w:vAlign w:val="bottom"/>
          </w:tcPr>
          <w:p w14:paraId="2FD05CF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Annualized Return (</w:t>
            </w:r>
            <m:oMath>
              <m:r>
                <w:rPr>
                  <w:rFonts w:ascii="Cambria Math" w:hAnsi="Cambria Math" w:cs="Times New Roman"/>
                  <w:color w:val="000000" w:themeColor="text1"/>
                </w:rPr>
                <m:t>%</m:t>
              </m:r>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678A91D8"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Max Drawdown (</w:t>
            </w:r>
            <m:oMath>
              <m:r>
                <w:rPr>
                  <w:rFonts w:ascii="Cambria Math" w:hAnsi="Cambria Math" w:cs="Times New Roman"/>
                  <w:color w:val="000000" w:themeColor="text1"/>
                </w:rPr>
                <m:t>%</m:t>
              </m:r>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4A09F4D1"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Avg. Pairwise Correlation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ρ</m:t>
                  </m:r>
                </m:e>
              </m:acc>
            </m:oMath>
            <w:r w:rsidRPr="00526140">
              <w:rPr>
                <w:rFonts w:ascii="Times New Roman" w:hAnsi="Times New Roman" w:cs="Times New Roman"/>
                <w:color w:val="000000" w:themeColor="text1"/>
              </w:rPr>
              <w:t>)</w:t>
            </w:r>
          </w:p>
        </w:tc>
      </w:tr>
      <w:tr w:rsidR="00526140" w:rsidRPr="00526140" w14:paraId="7AB030F7" w14:textId="77777777">
        <w:tc>
          <w:tcPr>
            <w:tcW w:w="0" w:type="auto"/>
          </w:tcPr>
          <w:p w14:paraId="11C58A46"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0.00</m:t>
                </m:r>
              </m:oMath>
            </m:oMathPara>
          </w:p>
        </w:tc>
        <w:tc>
          <w:tcPr>
            <w:tcW w:w="0" w:type="auto"/>
          </w:tcPr>
          <w:p w14:paraId="6256481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1.021±0.189</m:t>
                </m:r>
              </m:oMath>
            </m:oMathPara>
          </w:p>
        </w:tc>
        <w:tc>
          <w:tcPr>
            <w:tcW w:w="0" w:type="auto"/>
          </w:tcPr>
          <w:p w14:paraId="2319729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21.3±4.5</m:t>
                </m:r>
              </m:oMath>
            </m:oMathPara>
          </w:p>
        </w:tc>
        <w:tc>
          <w:tcPr>
            <w:tcW w:w="0" w:type="auto"/>
          </w:tcPr>
          <w:p w14:paraId="224D5CC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-15.2±2.3</m:t>
                </m:r>
              </m:oMath>
            </m:oMathPara>
          </w:p>
        </w:tc>
        <w:tc>
          <w:tcPr>
            <w:tcW w:w="0" w:type="auto"/>
          </w:tcPr>
          <w:p w14:paraId="0CECFCF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0.67±0.18</m:t>
                </m:r>
              </m:oMath>
            </m:oMathPara>
          </w:p>
        </w:tc>
      </w:tr>
      <w:tr w:rsidR="00526140" w:rsidRPr="00526140" w14:paraId="34E001B8" w14:textId="77777777">
        <w:tc>
          <w:tcPr>
            <w:tcW w:w="0" w:type="auto"/>
          </w:tcPr>
          <w:p w14:paraId="54537342"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0.10</m:t>
                </m:r>
              </m:oMath>
            </m:oMathPara>
          </w:p>
        </w:tc>
        <w:tc>
          <w:tcPr>
            <w:tcW w:w="0" w:type="auto"/>
          </w:tcPr>
          <w:p w14:paraId="20798AD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1.289±0.159</m:t>
                </m:r>
              </m:oMath>
            </m:oMathPara>
          </w:p>
        </w:tc>
        <w:tc>
          <w:tcPr>
            <w:tcW w:w="0" w:type="auto"/>
          </w:tcPr>
          <w:p w14:paraId="71CF0D4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23.0±3.5</m:t>
                </m:r>
              </m:oMath>
            </m:oMathPara>
          </w:p>
        </w:tc>
        <w:tc>
          <w:tcPr>
            <w:tcW w:w="0" w:type="auto"/>
          </w:tcPr>
          <w:p w14:paraId="2F3C393A"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-10.1±1.5</m:t>
                </m:r>
              </m:oMath>
            </m:oMathPara>
          </w:p>
        </w:tc>
        <w:tc>
          <w:tcPr>
            <w:tcW w:w="0" w:type="auto"/>
          </w:tcPr>
          <w:p w14:paraId="346C2BFB"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0.31±0.13</m:t>
                </m:r>
              </m:oMath>
            </m:oMathPara>
          </w:p>
        </w:tc>
      </w:tr>
      <w:tr w:rsidR="00526140" w:rsidRPr="00526140" w14:paraId="55C0A4F9" w14:textId="77777777">
        <w:tc>
          <w:tcPr>
            <w:tcW w:w="0" w:type="auto"/>
          </w:tcPr>
          <w:p w14:paraId="10AEB8E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0.15</m:t>
                </m:r>
              </m:oMath>
            </m:oMathPara>
          </w:p>
        </w:tc>
        <w:tc>
          <w:tcPr>
            <w:tcW w:w="0" w:type="auto"/>
          </w:tcPr>
          <w:p w14:paraId="19F82D3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1.347±0.156</m:t>
                </m:r>
              </m:oMath>
            </m:oMathPara>
          </w:p>
        </w:tc>
        <w:tc>
          <w:tcPr>
            <w:tcW w:w="0" w:type="auto"/>
          </w:tcPr>
          <w:p w14:paraId="60EB72C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23.5±3.2</m:t>
                </m:r>
              </m:oMath>
            </m:oMathPara>
          </w:p>
        </w:tc>
        <w:tc>
          <w:tcPr>
            <w:tcW w:w="0" w:type="auto"/>
          </w:tcPr>
          <w:p w14:paraId="439EB69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-8.7±1.2</m:t>
                </m:r>
              </m:oMath>
            </m:oMathPara>
          </w:p>
        </w:tc>
        <w:tc>
          <w:tcPr>
            <w:tcW w:w="0" w:type="auto"/>
          </w:tcPr>
          <w:p w14:paraId="3ACFECEA"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0.23±0.12</m:t>
                </m:r>
              </m:oMath>
            </m:oMathPara>
          </w:p>
        </w:tc>
      </w:tr>
      <w:tr w:rsidR="00526140" w:rsidRPr="00526140" w14:paraId="28E9DF94" w14:textId="77777777">
        <w:tc>
          <w:tcPr>
            <w:tcW w:w="0" w:type="auto"/>
          </w:tcPr>
          <w:p w14:paraId="5A85C7BC"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0.30</m:t>
                </m:r>
              </m:oMath>
            </m:oMathPara>
          </w:p>
        </w:tc>
        <w:tc>
          <w:tcPr>
            <w:tcW w:w="0" w:type="auto"/>
          </w:tcPr>
          <w:p w14:paraId="594C6AFC"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1.124±0.175</m:t>
                </m:r>
              </m:oMath>
            </m:oMathPara>
          </w:p>
        </w:tc>
        <w:tc>
          <w:tcPr>
            <w:tcW w:w="0" w:type="auto"/>
          </w:tcPr>
          <w:p w14:paraId="63B130C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20.5±3.7</m:t>
                </m:r>
              </m:oMath>
            </m:oMathPara>
          </w:p>
        </w:tc>
        <w:tc>
          <w:tcPr>
            <w:tcW w:w="0" w:type="auto"/>
          </w:tcPr>
          <w:p w14:paraId="1FA8CCA3"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-10.8±1.8</m:t>
                </m:r>
              </m:oMath>
            </m:oMathPara>
          </w:p>
        </w:tc>
        <w:tc>
          <w:tcPr>
            <w:tcW w:w="0" w:type="auto"/>
          </w:tcPr>
          <w:p w14:paraId="29BF3F3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0.08±0.08</m:t>
                </m:r>
              </m:oMath>
            </m:oMathPara>
          </w:p>
        </w:tc>
      </w:tr>
    </w:tbl>
    <w:p w14:paraId="2F32F121"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results show a clear trade-off. While </w:t>
      </w:r>
      <m:oMath>
        <m:r>
          <w:rPr>
            <w:rFonts w:ascii="Cambria Math" w:hAnsi="Cambria Math" w:cs="Times New Roman"/>
            <w:color w:val="000000" w:themeColor="text1"/>
          </w:rPr>
          <m:t>λ=0.30</m:t>
        </m:r>
      </m:oMath>
      <w:r w:rsidRPr="00526140">
        <w:rPr>
          <w:rFonts w:ascii="Times New Roman" w:hAnsi="Times New Roman" w:cs="Times New Roman"/>
          <w:color w:val="000000" w:themeColor="text1"/>
        </w:rPr>
        <w:t xml:space="preserve"> achieves the lowest correlation (</w:t>
      </w:r>
      <m:oMath>
        <m:r>
          <w:rPr>
            <w:rFonts w:ascii="Cambria Math" w:hAnsi="Cambria Math" w:cs="Times New Roman"/>
            <w:color w:val="000000" w:themeColor="text1"/>
          </w:rPr>
          <m:t>0.08</m:t>
        </m:r>
      </m:oMath>
      <w:r w:rsidRPr="00526140">
        <w:rPr>
          <w:rFonts w:ascii="Times New Roman" w:hAnsi="Times New Roman" w:cs="Times New Roman"/>
          <w:color w:val="000000" w:themeColor="text1"/>
        </w:rPr>
        <w:t xml:space="preserve">), the aggressive penalty begins to compromise the return-seeking objective, leading to a lower Sharpe ratio. The optimal value, </w:t>
      </w:r>
      <m:oMath>
        <m:r>
          <w:rPr>
            <w:rFonts w:ascii="Cambria Math" w:hAnsi="Cambria Math" w:cs="Times New Roman"/>
            <w:color w:val="000000" w:themeColor="text1"/>
          </w:rPr>
          <m:t>λ=0.15</m:t>
        </m:r>
      </m:oMath>
      <w:r w:rsidRPr="00526140">
        <w:rPr>
          <w:rFonts w:ascii="Times New Roman" w:hAnsi="Times New Roman" w:cs="Times New Roman"/>
          <w:color w:val="000000" w:themeColor="text1"/>
        </w:rPr>
        <w:t xml:space="preserve">, provides the best balance, maximizing the Sharpe ratio while maintaining a low correlation of </w:t>
      </w:r>
      <m:oMath>
        <m:r>
          <w:rPr>
            <w:rFonts w:ascii="Cambria Math" w:hAnsi="Cambria Math" w:cs="Times New Roman"/>
            <w:color w:val="000000" w:themeColor="text1"/>
          </w:rPr>
          <m:t>0.23</m:t>
        </m:r>
      </m:oMath>
      <w:r w:rsidRPr="00526140">
        <w:rPr>
          <w:rFonts w:ascii="Times New Roman" w:hAnsi="Times New Roman" w:cs="Times New Roman"/>
          <w:color w:val="000000" w:themeColor="text1"/>
        </w:rPr>
        <w:t>. The impact of the diversity reward on inter-agent correlation is further analyzed in Figure 5.</w:t>
      </w:r>
    </w:p>
    <w:p w14:paraId="505959F3"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drawing>
          <wp:inline distT="0" distB="0" distL="0" distR="0" wp14:anchorId="4EF097BA" wp14:editId="32A72AB7">
            <wp:extent cx="5332730" cy="3568700"/>
            <wp:effectExtent l="0" t="0" r="0" b="0"/>
            <wp:docPr id="1162514364" name="Picture" descr="Figure 5: Diversification and Correlation Analysis"/>
            <wp:cNvGraphicFramePr/>
            <a:graphic xmlns:a="http://schemas.openxmlformats.org/drawingml/2006/main">
              <a:graphicData uri="http://schemas.openxmlformats.org/drawingml/2006/picture">
                <pic:pic xmlns:pic="http://schemas.openxmlformats.org/drawingml/2006/picture">
                  <pic:nvPicPr>
                    <pic:cNvPr id="0" name="Picture" descr="/home/ubuntu/figures/figure6_diversification_analysis.png"/>
                    <pic:cNvPicPr>
                      <a:picLocks noChangeAspect="1" noChangeArrowheads="1"/>
                    </pic:cNvPicPr>
                  </pic:nvPicPr>
                  <pic:blipFill>
                    <a:blip r:embed="rId11"/>
                    <a:stretch>
                      <a:fillRect/>
                    </a:stretch>
                  </pic:blipFill>
                  <pic:spPr bwMode="auto">
                    <a:xfrm>
                      <a:off x="0" y="0"/>
                      <a:ext cx="5336201" cy="3571023"/>
                    </a:xfrm>
                    <a:prstGeom prst="rect">
                      <a:avLst/>
                    </a:prstGeom>
                    <a:noFill/>
                    <a:ln w="9525">
                      <a:noFill/>
                      <a:headEnd/>
                      <a:tailEnd/>
                    </a:ln>
                  </pic:spPr>
                </pic:pic>
              </a:graphicData>
            </a:graphic>
          </wp:inline>
        </w:drawing>
      </w:r>
    </w:p>
    <w:p w14:paraId="0EDCACC0"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5: Diversification and Correlation Analysis</w:t>
      </w:r>
    </w:p>
    <w:p w14:paraId="42DC03B0" w14:textId="77777777" w:rsidR="002806BA" w:rsidRPr="00526140" w:rsidRDefault="00000000">
      <w:pPr>
        <w:pStyle w:val="Heading3"/>
        <w:rPr>
          <w:rFonts w:ascii="Times New Roman" w:hAnsi="Times New Roman" w:cs="Times New Roman"/>
          <w:color w:val="000000" w:themeColor="text1"/>
        </w:rPr>
      </w:pPr>
      <w:bookmarkStart w:id="29" w:name="number-of-agents-ablation"/>
      <w:r w:rsidRPr="00526140">
        <w:rPr>
          <w:rFonts w:ascii="Times New Roman" w:hAnsi="Times New Roman" w:cs="Times New Roman"/>
          <w:color w:val="000000" w:themeColor="text1"/>
        </w:rPr>
        <w:lastRenderedPageBreak/>
        <w:t>5.2.2 Number of Agents Ablation</w:t>
      </w:r>
      <w:bookmarkEnd w:id="29"/>
    </w:p>
    <w:p w14:paraId="0D864AC9"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We also investigated the impact of the number of agents on performance (Table 4). The total asset universe (30 stocks) was divided equally among the agents in each test.</w:t>
      </w:r>
    </w:p>
    <w:tbl>
      <w:tblPr>
        <w:tblStyle w:val="Table"/>
        <w:tblW w:w="5000" w:type="pct"/>
        <w:tblLook w:val="07E0" w:firstRow="1" w:lastRow="1" w:firstColumn="1" w:lastColumn="1" w:noHBand="1" w:noVBand="1"/>
      </w:tblPr>
      <w:tblGrid>
        <w:gridCol w:w="1037"/>
        <w:gridCol w:w="1524"/>
        <w:gridCol w:w="2010"/>
        <w:gridCol w:w="2696"/>
        <w:gridCol w:w="2309"/>
      </w:tblGrid>
      <w:tr w:rsidR="00526140" w:rsidRPr="00526140" w14:paraId="37C5DF87" w14:textId="77777777">
        <w:tc>
          <w:tcPr>
            <w:tcW w:w="0" w:type="auto"/>
            <w:tcBorders>
              <w:bottom w:val="single" w:sz="0" w:space="0" w:color="auto"/>
            </w:tcBorders>
            <w:vAlign w:val="bottom"/>
          </w:tcPr>
          <w:p w14:paraId="73EFBE4F"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 Agents</w:t>
            </w:r>
          </w:p>
        </w:tc>
        <w:tc>
          <w:tcPr>
            <w:tcW w:w="0" w:type="auto"/>
            <w:tcBorders>
              <w:bottom w:val="single" w:sz="0" w:space="0" w:color="auto"/>
            </w:tcBorders>
            <w:vAlign w:val="bottom"/>
          </w:tcPr>
          <w:p w14:paraId="4F64CCDE"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Sharpe Ratio</w:t>
            </w:r>
          </w:p>
        </w:tc>
        <w:tc>
          <w:tcPr>
            <w:tcW w:w="0" w:type="auto"/>
            <w:tcBorders>
              <w:bottom w:val="single" w:sz="0" w:space="0" w:color="auto"/>
            </w:tcBorders>
            <w:vAlign w:val="bottom"/>
          </w:tcPr>
          <w:p w14:paraId="6914375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Max Drawdown (</w:t>
            </w:r>
            <m:oMath>
              <m:r>
                <w:rPr>
                  <w:rFonts w:ascii="Cambria Math" w:hAnsi="Cambria Math" w:cs="Times New Roman"/>
                  <w:color w:val="000000" w:themeColor="text1"/>
                </w:rPr>
                <m:t>%</m:t>
              </m:r>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479BE483"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Avg. Pairwise Correlation (</w:t>
            </w:r>
            <m:oMath>
              <m:acc>
                <m:accPr>
                  <m:chr m:val="‾"/>
                  <m:ctrlPr>
                    <w:rPr>
                      <w:rFonts w:ascii="Cambria Math" w:hAnsi="Cambria Math" w:cs="Times New Roman"/>
                      <w:color w:val="000000" w:themeColor="text1"/>
                    </w:rPr>
                  </m:ctrlPr>
                </m:accPr>
                <m:e>
                  <m:r>
                    <w:rPr>
                      <w:rFonts w:ascii="Cambria Math" w:hAnsi="Cambria Math" w:cs="Times New Roman"/>
                      <w:color w:val="000000" w:themeColor="text1"/>
                    </w:rPr>
                    <m:t>ρ</m:t>
                  </m:r>
                </m:e>
              </m:acc>
            </m:oMath>
            <w:r w:rsidRPr="00526140">
              <w:rPr>
                <w:rFonts w:ascii="Times New Roman" w:hAnsi="Times New Roman" w:cs="Times New Roman"/>
                <w:color w:val="000000" w:themeColor="text1"/>
              </w:rPr>
              <w:t>)</w:t>
            </w:r>
          </w:p>
        </w:tc>
        <w:tc>
          <w:tcPr>
            <w:tcW w:w="0" w:type="auto"/>
            <w:tcBorders>
              <w:bottom w:val="single" w:sz="0" w:space="0" w:color="auto"/>
            </w:tcBorders>
            <w:vAlign w:val="bottom"/>
          </w:tcPr>
          <w:p w14:paraId="429A629C"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Training Time (Relative)</w:t>
            </w:r>
          </w:p>
        </w:tc>
      </w:tr>
      <w:tr w:rsidR="00526140" w:rsidRPr="00526140" w14:paraId="53C88FBE" w14:textId="77777777">
        <w:tc>
          <w:tcPr>
            <w:tcW w:w="0" w:type="auto"/>
          </w:tcPr>
          <w:p w14:paraId="3D1D0440"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2</w:t>
            </w:r>
          </w:p>
        </w:tc>
        <w:tc>
          <w:tcPr>
            <w:tcW w:w="0" w:type="auto"/>
          </w:tcPr>
          <w:p w14:paraId="1D38ECA9"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1.089±0.195</m:t>
                </m:r>
              </m:oMath>
            </m:oMathPara>
          </w:p>
        </w:tc>
        <w:tc>
          <w:tcPr>
            <w:tcW w:w="0" w:type="auto"/>
          </w:tcPr>
          <w:p w14:paraId="2BDBC7F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-12.3±2.1</m:t>
                </m:r>
              </m:oMath>
            </m:oMathPara>
          </w:p>
        </w:tc>
        <w:tc>
          <w:tcPr>
            <w:tcW w:w="0" w:type="auto"/>
          </w:tcPr>
          <w:p w14:paraId="29932DE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0.45±0.16</m:t>
                </m:r>
              </m:oMath>
            </m:oMathPara>
          </w:p>
        </w:tc>
        <w:tc>
          <w:tcPr>
            <w:tcW w:w="0" w:type="auto"/>
          </w:tcPr>
          <w:p w14:paraId="0E54518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1.2×</m:t>
                </m:r>
              </m:oMath>
            </m:oMathPara>
          </w:p>
        </w:tc>
      </w:tr>
      <w:tr w:rsidR="00526140" w:rsidRPr="00526140" w14:paraId="485833E4" w14:textId="77777777">
        <w:tc>
          <w:tcPr>
            <w:tcW w:w="0" w:type="auto"/>
          </w:tcPr>
          <w:p w14:paraId="503F54D9"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b/>
                <w:color w:val="000000" w:themeColor="text1"/>
              </w:rPr>
              <w:t>4</w:t>
            </w:r>
          </w:p>
        </w:tc>
        <w:tc>
          <w:tcPr>
            <w:tcW w:w="0" w:type="auto"/>
          </w:tcPr>
          <w:p w14:paraId="28A6E71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1.347±0.156</m:t>
                </m:r>
              </m:oMath>
            </m:oMathPara>
          </w:p>
        </w:tc>
        <w:tc>
          <w:tcPr>
            <w:tcW w:w="0" w:type="auto"/>
          </w:tcPr>
          <w:p w14:paraId="25FC4A8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-8.7±1.2</m:t>
                </m:r>
              </m:oMath>
            </m:oMathPara>
          </w:p>
        </w:tc>
        <w:tc>
          <w:tcPr>
            <w:tcW w:w="0" w:type="auto"/>
          </w:tcPr>
          <w:p w14:paraId="5AC3E978"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0.23±0.12</m:t>
                </m:r>
              </m:oMath>
            </m:oMathPara>
          </w:p>
        </w:tc>
        <w:tc>
          <w:tcPr>
            <w:tcW w:w="0" w:type="auto"/>
          </w:tcPr>
          <w:p w14:paraId="28E084ED"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1.8×</m:t>
                </m:r>
              </m:oMath>
            </m:oMathPara>
          </w:p>
        </w:tc>
      </w:tr>
      <w:tr w:rsidR="00526140" w:rsidRPr="00526140" w14:paraId="737B74A2" w14:textId="77777777">
        <w:tc>
          <w:tcPr>
            <w:tcW w:w="0" w:type="auto"/>
          </w:tcPr>
          <w:p w14:paraId="7ACB89B7"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6</w:t>
            </w:r>
          </w:p>
        </w:tc>
        <w:tc>
          <w:tcPr>
            <w:tcW w:w="0" w:type="auto"/>
          </w:tcPr>
          <w:p w14:paraId="6D6F3427"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1.312±0.168</m:t>
                </m:r>
              </m:oMath>
            </m:oMathPara>
          </w:p>
        </w:tc>
        <w:tc>
          <w:tcPr>
            <w:tcW w:w="0" w:type="auto"/>
          </w:tcPr>
          <w:p w14:paraId="5E30B3FA"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-9.1±1.5</m:t>
                </m:r>
              </m:oMath>
            </m:oMathPara>
          </w:p>
        </w:tc>
        <w:tc>
          <w:tcPr>
            <w:tcW w:w="0" w:type="auto"/>
          </w:tcPr>
          <w:p w14:paraId="0D7568B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0.18±0.10</m:t>
                </m:r>
              </m:oMath>
            </m:oMathPara>
          </w:p>
        </w:tc>
        <w:tc>
          <w:tcPr>
            <w:tcW w:w="0" w:type="auto"/>
          </w:tcPr>
          <w:p w14:paraId="6C40229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2.5×</m:t>
                </m:r>
              </m:oMath>
            </m:oMathPara>
          </w:p>
        </w:tc>
      </w:tr>
      <w:tr w:rsidR="00526140" w:rsidRPr="00526140" w14:paraId="595241E3" w14:textId="77777777">
        <w:tc>
          <w:tcPr>
            <w:tcW w:w="0" w:type="auto"/>
          </w:tcPr>
          <w:p w14:paraId="62366834" w14:textId="77777777" w:rsidR="002806BA" w:rsidRPr="00526140" w:rsidRDefault="00000000">
            <w:pPr>
              <w:pStyle w:val="Compact"/>
              <w:rPr>
                <w:rFonts w:ascii="Times New Roman" w:hAnsi="Times New Roman" w:cs="Times New Roman"/>
                <w:color w:val="000000" w:themeColor="text1"/>
              </w:rPr>
            </w:pPr>
            <w:r w:rsidRPr="00526140">
              <w:rPr>
                <w:rFonts w:ascii="Times New Roman" w:hAnsi="Times New Roman" w:cs="Times New Roman"/>
                <w:color w:val="000000" w:themeColor="text1"/>
              </w:rPr>
              <w:t>8</w:t>
            </w:r>
          </w:p>
        </w:tc>
        <w:tc>
          <w:tcPr>
            <w:tcW w:w="0" w:type="auto"/>
          </w:tcPr>
          <w:p w14:paraId="5C488EBF"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1.278±0.179</m:t>
                </m:r>
              </m:oMath>
            </m:oMathPara>
          </w:p>
        </w:tc>
        <w:tc>
          <w:tcPr>
            <w:tcW w:w="0" w:type="auto"/>
          </w:tcPr>
          <w:p w14:paraId="669918E4"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-9.8±1.7</m:t>
                </m:r>
              </m:oMath>
            </m:oMathPara>
          </w:p>
        </w:tc>
        <w:tc>
          <w:tcPr>
            <w:tcW w:w="0" w:type="auto"/>
          </w:tcPr>
          <w:p w14:paraId="1A5CC510"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0.15±0.09</m:t>
                </m:r>
              </m:oMath>
            </m:oMathPara>
          </w:p>
        </w:tc>
        <w:tc>
          <w:tcPr>
            <w:tcW w:w="0" w:type="auto"/>
          </w:tcPr>
          <w:p w14:paraId="7400AF4E" w14:textId="77777777" w:rsidR="002806BA" w:rsidRPr="00526140" w:rsidRDefault="00000000">
            <w:pPr>
              <w:pStyle w:val="Compact"/>
              <w:rPr>
                <w:rFonts w:ascii="Times New Roman" w:hAnsi="Times New Roman" w:cs="Times New Roman"/>
                <w:color w:val="000000" w:themeColor="text1"/>
              </w:rPr>
            </w:pPr>
            <m:oMathPara>
              <m:oMath>
                <m:r>
                  <w:rPr>
                    <w:rFonts w:ascii="Cambria Math" w:hAnsi="Cambria Math" w:cs="Times New Roman"/>
                    <w:color w:val="000000" w:themeColor="text1"/>
                  </w:rPr>
                  <m:t>3.4×</m:t>
                </m:r>
              </m:oMath>
            </m:oMathPara>
          </w:p>
        </w:tc>
      </w:tr>
    </w:tbl>
    <w:p w14:paraId="43B699BA"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Increasing the number of agents beyond four provides diminishing returns in Sharpe ratio and significantly increases training time due to the complexity of the centralized critic. The four-agent configuration (sector-based partitioning) provides the optimal balance between performance and computational efficiency.</w:t>
      </w:r>
    </w:p>
    <w:p w14:paraId="4F343C80" w14:textId="77777777" w:rsidR="002806BA" w:rsidRPr="00526140" w:rsidRDefault="00000000">
      <w:pPr>
        <w:pStyle w:val="Heading2"/>
        <w:rPr>
          <w:rFonts w:ascii="Times New Roman" w:hAnsi="Times New Roman" w:cs="Times New Roman"/>
          <w:color w:val="000000" w:themeColor="text1"/>
        </w:rPr>
      </w:pPr>
      <w:bookmarkStart w:id="30" w:name="qualitative-analysis"/>
      <w:r w:rsidRPr="00526140">
        <w:rPr>
          <w:rFonts w:ascii="Times New Roman" w:hAnsi="Times New Roman" w:cs="Times New Roman"/>
          <w:color w:val="000000" w:themeColor="text1"/>
        </w:rPr>
        <w:t>5.3 Qualitative Analysis</w:t>
      </w:r>
      <w:bookmarkEnd w:id="30"/>
    </w:p>
    <w:p w14:paraId="2201E2BA"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The success of the framework is evident in the dynamic allocation strategies. For instance, during a period of high market volatility, Agent 1 (Tech) and Agent 4 (Energy/Commodities) demonstrated a clear decorrelation strategy. As Agent 1’s tech allocation decreased from </w:t>
      </w:r>
      <m:oMath>
        <m:r>
          <w:rPr>
            <w:rFonts w:ascii="Cambria Math" w:hAnsi="Cambria Math" w:cs="Times New Roman"/>
            <w:color w:val="000000" w:themeColor="text1"/>
          </w:rPr>
          <m:t>85%</m:t>
        </m:r>
      </m:oMath>
      <w:r w:rsidRPr="00526140">
        <w:rPr>
          <w:rFonts w:ascii="Times New Roman" w:hAnsi="Times New Roman" w:cs="Times New Roman"/>
          <w:color w:val="000000" w:themeColor="text1"/>
        </w:rPr>
        <w:t xml:space="preserve"> to </w:t>
      </w:r>
      <m:oMath>
        <m:r>
          <w:rPr>
            <w:rFonts w:ascii="Cambria Math" w:hAnsi="Cambria Math" w:cs="Times New Roman"/>
            <w:color w:val="000000" w:themeColor="text1"/>
          </w:rPr>
          <m:t>62%</m:t>
        </m:r>
      </m:oMath>
      <w:r w:rsidRPr="00526140">
        <w:rPr>
          <w:rFonts w:ascii="Times New Roman" w:hAnsi="Times New Roman" w:cs="Times New Roman"/>
          <w:color w:val="000000" w:themeColor="text1"/>
        </w:rPr>
        <w:t xml:space="preserve">, Agent 4’s commodity allocation increased from </w:t>
      </w:r>
      <m:oMath>
        <m:r>
          <w:rPr>
            <w:rFonts w:ascii="Cambria Math" w:hAnsi="Cambria Math" w:cs="Times New Roman"/>
            <w:color w:val="000000" w:themeColor="text1"/>
          </w:rPr>
          <m:t>15%</m:t>
        </m:r>
      </m:oMath>
      <w:r w:rsidRPr="00526140">
        <w:rPr>
          <w:rFonts w:ascii="Times New Roman" w:hAnsi="Times New Roman" w:cs="Times New Roman"/>
          <w:color w:val="000000" w:themeColor="text1"/>
        </w:rPr>
        <w:t xml:space="preserve"> to </w:t>
      </w:r>
      <m:oMath>
        <m:r>
          <w:rPr>
            <w:rFonts w:ascii="Cambria Math" w:hAnsi="Cambria Math" w:cs="Times New Roman"/>
            <w:color w:val="000000" w:themeColor="text1"/>
          </w:rPr>
          <m:t>38%</m:t>
        </m:r>
      </m:oMath>
      <w:r w:rsidRPr="00526140">
        <w:rPr>
          <w:rFonts w:ascii="Times New Roman" w:hAnsi="Times New Roman" w:cs="Times New Roman"/>
          <w:color w:val="000000" w:themeColor="text1"/>
        </w:rPr>
        <w:t>, demonstrating the cooperative risk-hedging behavior enforced by the diversity reward. The evolution of portfolio value and agent allocations are shown in Figure 6 and Figure 7.</w:t>
      </w:r>
    </w:p>
    <w:p w14:paraId="3D63C672"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drawing>
          <wp:inline distT="0" distB="0" distL="0" distR="0" wp14:anchorId="462A040D" wp14:editId="396B9A14">
            <wp:extent cx="5332729" cy="2571750"/>
            <wp:effectExtent l="0" t="0" r="0" b="0"/>
            <wp:docPr id="452450263" name="Picture" descr="Figure 6: Portfolio Value Evolution"/>
            <wp:cNvGraphicFramePr/>
            <a:graphic xmlns:a="http://schemas.openxmlformats.org/drawingml/2006/main">
              <a:graphicData uri="http://schemas.openxmlformats.org/drawingml/2006/picture">
                <pic:pic xmlns:pic="http://schemas.openxmlformats.org/drawingml/2006/picture">
                  <pic:nvPicPr>
                    <pic:cNvPr id="0" name="Picture" descr="/home/ubuntu/figures/figure3_portfolio_evolution.png"/>
                    <pic:cNvPicPr>
                      <a:picLocks noChangeAspect="1" noChangeArrowheads="1"/>
                    </pic:cNvPicPr>
                  </pic:nvPicPr>
                  <pic:blipFill>
                    <a:blip r:embed="rId12"/>
                    <a:stretch>
                      <a:fillRect/>
                    </a:stretch>
                  </pic:blipFill>
                  <pic:spPr bwMode="auto">
                    <a:xfrm>
                      <a:off x="0" y="0"/>
                      <a:ext cx="5347748" cy="2578993"/>
                    </a:xfrm>
                    <a:prstGeom prst="rect">
                      <a:avLst/>
                    </a:prstGeom>
                    <a:noFill/>
                    <a:ln w="9525">
                      <a:noFill/>
                      <a:headEnd/>
                      <a:tailEnd/>
                    </a:ln>
                  </pic:spPr>
                </pic:pic>
              </a:graphicData>
            </a:graphic>
          </wp:inline>
        </w:drawing>
      </w:r>
    </w:p>
    <w:p w14:paraId="37C0EB31"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6: Portfolio Value Evolution</w:t>
      </w:r>
    </w:p>
    <w:p w14:paraId="7F0B803A"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lastRenderedPageBreak/>
        <w:drawing>
          <wp:inline distT="0" distB="0" distL="0" distR="0" wp14:anchorId="3A84DCEF" wp14:editId="161C8249">
            <wp:extent cx="5334000" cy="1772033"/>
            <wp:effectExtent l="0" t="0" r="0" b="0"/>
            <wp:docPr id="1574149581" name="Picture" descr="Figure 7: Agent Portfolio Allocations Heatmap"/>
            <wp:cNvGraphicFramePr/>
            <a:graphic xmlns:a="http://schemas.openxmlformats.org/drawingml/2006/main">
              <a:graphicData uri="http://schemas.openxmlformats.org/drawingml/2006/picture">
                <pic:pic xmlns:pic="http://schemas.openxmlformats.org/drawingml/2006/picture">
                  <pic:nvPicPr>
                    <pic:cNvPr id="0" name="Picture" descr="/home/ubuntu/figures/figure4_position_heatmap.png"/>
                    <pic:cNvPicPr>
                      <a:picLocks noChangeAspect="1" noChangeArrowheads="1"/>
                    </pic:cNvPicPr>
                  </pic:nvPicPr>
                  <pic:blipFill>
                    <a:blip r:embed="rId13"/>
                    <a:stretch>
                      <a:fillRect/>
                    </a:stretch>
                  </pic:blipFill>
                  <pic:spPr bwMode="auto">
                    <a:xfrm>
                      <a:off x="0" y="0"/>
                      <a:ext cx="5334000" cy="1772033"/>
                    </a:xfrm>
                    <a:prstGeom prst="rect">
                      <a:avLst/>
                    </a:prstGeom>
                    <a:noFill/>
                    <a:ln w="9525">
                      <a:noFill/>
                      <a:headEnd/>
                      <a:tailEnd/>
                    </a:ln>
                  </pic:spPr>
                </pic:pic>
              </a:graphicData>
            </a:graphic>
          </wp:inline>
        </w:drawing>
      </w:r>
    </w:p>
    <w:p w14:paraId="77433192"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7: Agent Portfolio Allocations Heatmap</w:t>
      </w:r>
    </w:p>
    <w:p w14:paraId="67D19BA8" w14:textId="77777777" w:rsidR="002806BA" w:rsidRPr="00526140" w:rsidRDefault="00000000">
      <w:pPr>
        <w:pStyle w:val="BodyText"/>
        <w:rPr>
          <w:rFonts w:ascii="Times New Roman" w:hAnsi="Times New Roman" w:cs="Times New Roman"/>
          <w:color w:val="000000" w:themeColor="text1"/>
        </w:rPr>
      </w:pPr>
      <w:r w:rsidRPr="00526140">
        <w:rPr>
          <w:rFonts w:ascii="Times New Roman" w:hAnsi="Times New Roman" w:cs="Times New Roman"/>
          <w:color w:val="000000" w:themeColor="text1"/>
        </w:rPr>
        <w:t>The diversity-promoting reward structure was crucial for preventing strategy collapse. Without the penalty (</w:t>
      </w:r>
      <m:oMath>
        <m:r>
          <w:rPr>
            <w:rFonts w:ascii="Cambria Math" w:hAnsi="Cambria Math" w:cs="Times New Roman"/>
            <w:color w:val="000000" w:themeColor="text1"/>
          </w:rPr>
          <m:t>λ=0.00</m:t>
        </m:r>
      </m:oMath>
      <w:r w:rsidRPr="00526140">
        <w:rPr>
          <w:rFonts w:ascii="Times New Roman" w:hAnsi="Times New Roman" w:cs="Times New Roman"/>
          <w:color w:val="000000" w:themeColor="text1"/>
        </w:rPr>
        <w:t xml:space="preserve">), agents converged toward similar strategies (correlation </w:t>
      </w:r>
      <m:oMath>
        <m:r>
          <w:rPr>
            <w:rFonts w:ascii="Cambria Math" w:hAnsi="Cambria Math" w:cs="Times New Roman"/>
            <w:color w:val="000000" w:themeColor="text1"/>
          </w:rPr>
          <m:t>0.67</m:t>
        </m:r>
      </m:oMath>
      <w:r w:rsidRPr="00526140">
        <w:rPr>
          <w:rFonts w:ascii="Times New Roman" w:hAnsi="Times New Roman" w:cs="Times New Roman"/>
          <w:color w:val="000000" w:themeColor="text1"/>
        </w:rPr>
        <w:t xml:space="preserve">) and suffered higher drawdowns. With the penalty, agents were forced to explore alternative assets, leading to a </w:t>
      </w:r>
      <m:oMath>
        <m:r>
          <w:rPr>
            <w:rFonts w:ascii="Cambria Math" w:hAnsi="Cambria Math" w:cs="Times New Roman"/>
            <w:color w:val="000000" w:themeColor="text1"/>
          </w:rPr>
          <m:t>31.9%</m:t>
        </m:r>
      </m:oMath>
      <w:r w:rsidRPr="00526140">
        <w:rPr>
          <w:rFonts w:ascii="Times New Roman" w:hAnsi="Times New Roman" w:cs="Times New Roman"/>
          <w:color w:val="000000" w:themeColor="text1"/>
        </w:rPr>
        <w:t xml:space="preserve"> Sharpe ratio improvement. The drawdown characteristics are visualized in Figure 8.</w:t>
      </w:r>
    </w:p>
    <w:p w14:paraId="6F4D7257" w14:textId="77777777" w:rsidR="002806BA" w:rsidRPr="00526140" w:rsidRDefault="00000000">
      <w:pPr>
        <w:pStyle w:val="CaptionedFigure"/>
        <w:rPr>
          <w:rFonts w:ascii="Times New Roman" w:hAnsi="Times New Roman" w:cs="Times New Roman"/>
          <w:color w:val="000000" w:themeColor="text1"/>
        </w:rPr>
      </w:pPr>
      <w:r w:rsidRPr="00526140">
        <w:rPr>
          <w:rFonts w:ascii="Times New Roman" w:hAnsi="Times New Roman" w:cs="Times New Roman"/>
          <w:noProof/>
          <w:color w:val="000000" w:themeColor="text1"/>
        </w:rPr>
        <w:drawing>
          <wp:inline distT="0" distB="0" distL="0" distR="0" wp14:anchorId="5EBEEC9B" wp14:editId="5D87D817">
            <wp:extent cx="5334000" cy="3536576"/>
            <wp:effectExtent l="0" t="0" r="0" b="0"/>
            <wp:docPr id="1946990417" name="Picture" descr="Figure 8: Drawdown Analysis"/>
            <wp:cNvGraphicFramePr/>
            <a:graphic xmlns:a="http://schemas.openxmlformats.org/drawingml/2006/main">
              <a:graphicData uri="http://schemas.openxmlformats.org/drawingml/2006/picture">
                <pic:pic xmlns:pic="http://schemas.openxmlformats.org/drawingml/2006/picture">
                  <pic:nvPicPr>
                    <pic:cNvPr id="0" name="Picture" descr="/home/ubuntu/figures/figure7_drawdown_analysis.png"/>
                    <pic:cNvPicPr>
                      <a:picLocks noChangeAspect="1" noChangeArrowheads="1"/>
                    </pic:cNvPicPr>
                  </pic:nvPicPr>
                  <pic:blipFill>
                    <a:blip r:embed="rId14"/>
                    <a:stretch>
                      <a:fillRect/>
                    </a:stretch>
                  </pic:blipFill>
                  <pic:spPr bwMode="auto">
                    <a:xfrm>
                      <a:off x="0" y="0"/>
                      <a:ext cx="5334000" cy="3536576"/>
                    </a:xfrm>
                    <a:prstGeom prst="rect">
                      <a:avLst/>
                    </a:prstGeom>
                    <a:noFill/>
                    <a:ln w="9525">
                      <a:noFill/>
                      <a:headEnd/>
                      <a:tailEnd/>
                    </a:ln>
                  </pic:spPr>
                </pic:pic>
              </a:graphicData>
            </a:graphic>
          </wp:inline>
        </w:drawing>
      </w:r>
    </w:p>
    <w:p w14:paraId="09286C8B" w14:textId="77777777" w:rsidR="002806BA" w:rsidRPr="00526140" w:rsidRDefault="00000000">
      <w:pPr>
        <w:pStyle w:val="ImageCaption"/>
        <w:rPr>
          <w:rFonts w:ascii="Times New Roman" w:hAnsi="Times New Roman" w:cs="Times New Roman"/>
          <w:color w:val="000000" w:themeColor="text1"/>
        </w:rPr>
      </w:pPr>
      <w:r w:rsidRPr="00526140">
        <w:rPr>
          <w:rFonts w:ascii="Times New Roman" w:hAnsi="Times New Roman" w:cs="Times New Roman"/>
          <w:color w:val="000000" w:themeColor="text1"/>
        </w:rPr>
        <w:t>Figure 8: Drawdown Analysis</w:t>
      </w:r>
    </w:p>
    <w:p w14:paraId="6ED8CA90" w14:textId="77777777" w:rsidR="002806BA" w:rsidRPr="00526140" w:rsidRDefault="00000000">
      <w:pPr>
        <w:pStyle w:val="Heading2"/>
        <w:rPr>
          <w:rFonts w:ascii="Times New Roman" w:hAnsi="Times New Roman" w:cs="Times New Roman"/>
          <w:color w:val="000000" w:themeColor="text1"/>
        </w:rPr>
      </w:pPr>
      <w:bookmarkStart w:id="31" w:name="scalability-and-robustness"/>
      <w:r w:rsidRPr="00526140">
        <w:rPr>
          <w:rFonts w:ascii="Times New Roman" w:hAnsi="Times New Roman" w:cs="Times New Roman"/>
          <w:color w:val="000000" w:themeColor="text1"/>
        </w:rPr>
        <w:t>5.4 Scalability and Robustness</w:t>
      </w:r>
      <w:bookmarkEnd w:id="31"/>
    </w:p>
    <w:p w14:paraId="0DDFEDC0" w14:textId="77777777" w:rsidR="002806BA"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While training is more intensive, the decentralized execution phase is highly efficient. Once trained, each actor requires only local observations, enabling sub-20ms rebalancing decisions. This scalability makes the framework suitable for real-time institutional applications. Robustness tests confirmed that the model adapts well across different market regimes (Bull Market, </w:t>
      </w:r>
      <w:r w:rsidRPr="00526140">
        <w:rPr>
          <w:rFonts w:ascii="Times New Roman" w:hAnsi="Times New Roman" w:cs="Times New Roman"/>
          <w:color w:val="000000" w:themeColor="text1"/>
        </w:rPr>
        <w:lastRenderedPageBreak/>
        <w:t>COVID-19 Crash, High Inflation). In transaction cost sensitivity tests, MADDPG remained profitable up to 35 bps costs, well above typical institutional costs (10-15 bps), due to its low turnover rate.</w:t>
      </w:r>
    </w:p>
    <w:p w14:paraId="47E34593" w14:textId="10F90664" w:rsidR="008F5E81" w:rsidRPr="008F5E81" w:rsidRDefault="008F5E81" w:rsidP="008F5E81">
      <w:pPr>
        <w:pStyle w:val="BodyText"/>
        <w:rPr>
          <w:b/>
          <w:bCs/>
        </w:rPr>
      </w:pPr>
      <w:bookmarkStart w:id="32" w:name="future-work"/>
      <w:r>
        <w:rPr>
          <w:b/>
          <w:bCs/>
        </w:rPr>
        <w:t>6</w:t>
      </w:r>
      <w:r w:rsidRPr="008F5E81">
        <w:rPr>
          <w:b/>
          <w:bCs/>
        </w:rPr>
        <w:t>. Future Work</w:t>
      </w:r>
      <w:bookmarkEnd w:id="32"/>
    </w:p>
    <w:p w14:paraId="74F0EBF2" w14:textId="77777777" w:rsidR="008F5E81" w:rsidRPr="008F5E81" w:rsidRDefault="008F5E81" w:rsidP="008F5E81">
      <w:pPr>
        <w:pStyle w:val="BodyText"/>
      </w:pPr>
      <w:r w:rsidRPr="008F5E81">
        <w:t>Building upon the success of this framework, several promising avenues for future research emerge, primarily focused on enhancing the model’s adaptability, robustness, and real-world applicability.</w:t>
      </w:r>
    </w:p>
    <w:p w14:paraId="5998910F" w14:textId="355C0E33" w:rsidR="008F5E81" w:rsidRPr="008F5E81" w:rsidRDefault="008F5E81" w:rsidP="008F5E81">
      <w:pPr>
        <w:pStyle w:val="BodyText"/>
        <w:rPr>
          <w:b/>
          <w:bCs/>
        </w:rPr>
      </w:pPr>
      <w:bookmarkStart w:id="33" w:name="X57492f09c148011c68a7d5d7f0342b37be3ccf8"/>
      <w:r>
        <w:rPr>
          <w:b/>
          <w:bCs/>
        </w:rPr>
        <w:t>6</w:t>
      </w:r>
      <w:r w:rsidRPr="008F5E81">
        <w:rPr>
          <w:b/>
          <w:bCs/>
        </w:rPr>
        <w:t>.1 Architectural and Algorithmic Enhancements</w:t>
      </w:r>
      <w:bookmarkEnd w:id="33"/>
    </w:p>
    <w:p w14:paraId="4D01C6E3" w14:textId="77777777" w:rsidR="008F5E81" w:rsidRPr="008F5E81" w:rsidRDefault="008F5E81" w:rsidP="008F5E81">
      <w:pPr>
        <w:pStyle w:val="BodyText"/>
      </w:pPr>
      <w:r w:rsidRPr="008F5E81">
        <w:t xml:space="preserve">The current architecture relies on a standard feed-forward network for policy and value approximation. Future work should explore the integration of </w:t>
      </w:r>
      <w:r w:rsidRPr="008F5E81">
        <w:rPr>
          <w:b/>
        </w:rPr>
        <w:t>Transformer-based architectures</w:t>
      </w:r>
      <w:r w:rsidRPr="008F5E81">
        <w:t xml:space="preserve"> within the MADDPG framework. Transformers, with their self-attention mechanisms, are uniquely suited to capture long-range dependencies and complex temporal patterns in financial time-series data, potentially allowing the agents to better identify and adapt to changing market regimes. Furthermore, investigating alternative MARL algorithms, such as Multi-Agent Proximal Policy Optimization (MAPPO) or Multi-Agent Soft Actor-Critic (MASAC), could improve sample efficiency and training stability, which are common challenges in the DDPG family of algorithms.</w:t>
      </w:r>
    </w:p>
    <w:p w14:paraId="5837D585" w14:textId="4AE0602E" w:rsidR="008F5E81" w:rsidRPr="008F5E81" w:rsidRDefault="008F5E81" w:rsidP="008F5E81">
      <w:pPr>
        <w:pStyle w:val="BodyText"/>
        <w:rPr>
          <w:b/>
          <w:bCs/>
        </w:rPr>
      </w:pPr>
      <w:bookmarkStart w:id="34" w:name="dynamic-and-adaptive-risk-management"/>
      <w:r>
        <w:rPr>
          <w:b/>
          <w:bCs/>
        </w:rPr>
        <w:t>6</w:t>
      </w:r>
      <w:r w:rsidRPr="008F5E81">
        <w:rPr>
          <w:b/>
          <w:bCs/>
        </w:rPr>
        <w:t>.2 Dynamic and Adaptive Risk Management</w:t>
      </w:r>
      <w:bookmarkEnd w:id="34"/>
    </w:p>
    <w:p w14:paraId="71072E19" w14:textId="53719282" w:rsidR="008F5E81" w:rsidRPr="008F5E81" w:rsidRDefault="008F5E81" w:rsidP="008F5E81">
      <w:pPr>
        <w:pStyle w:val="BodyText"/>
      </w:pPr>
      <w:r w:rsidRPr="008F5E81">
        <w:t xml:space="preserve">The diversity weight </w:t>
      </w:r>
      <m:oMath>
        <m:r>
          <w:rPr>
            <w:rFonts w:ascii="Cambria Math" w:hAnsi="Cambria Math"/>
          </w:rPr>
          <m:t>λ</m:t>
        </m:r>
      </m:oMath>
      <w:r w:rsidRPr="008F5E81">
        <w:t xml:space="preserve"> was determined through a static ablation study. A significant extension would be to implement a </w:t>
      </w:r>
      <w:r w:rsidRPr="008F5E81">
        <w:rPr>
          <w:b/>
        </w:rPr>
        <w:t>dynamic, adaptive diversity weight</w:t>
      </w:r>
      <w:r w:rsidRPr="008F5E81">
        <w:t xml:space="preserve"> that adjusts based on real-time market conditions. For instance, </w:t>
      </w:r>
      <m:oMath>
        <m:r>
          <w:rPr>
            <w:rFonts w:ascii="Cambria Math" w:hAnsi="Cambria Math"/>
          </w:rPr>
          <m:t>λ</m:t>
        </m:r>
      </m:oMath>
      <w:r w:rsidRPr="008F5E81">
        <w:t xml:space="preserve"> could be increased during periods of high market volatility (e.g., high VIX index) to aggressively enforce diversification, and decreased during stable periods to allow agents to pursue higher-conviction, potentially correlated, opportunities. This would transform the model from a static optimization tool into a truly adaptive risk management system.</w:t>
      </w:r>
    </w:p>
    <w:p w14:paraId="3B806CAB" w14:textId="7264C3AF" w:rsidR="008F5E81" w:rsidRPr="008F5E81" w:rsidRDefault="008F5E81" w:rsidP="008F5E81">
      <w:pPr>
        <w:pStyle w:val="BodyText"/>
        <w:rPr>
          <w:b/>
          <w:bCs/>
        </w:rPr>
      </w:pPr>
      <w:bookmarkStart w:id="35" w:name="integration-of-external-factors"/>
      <w:r>
        <w:rPr>
          <w:b/>
          <w:bCs/>
        </w:rPr>
        <w:t>6</w:t>
      </w:r>
      <w:r w:rsidRPr="008F5E81">
        <w:rPr>
          <w:b/>
          <w:bCs/>
        </w:rPr>
        <w:t>.3 Integration of External Factors</w:t>
      </w:r>
      <w:bookmarkEnd w:id="35"/>
    </w:p>
    <w:p w14:paraId="48D5B210" w14:textId="77777777" w:rsidR="008F5E81" w:rsidRPr="008F5E81" w:rsidRDefault="008F5E81" w:rsidP="008F5E81">
      <w:pPr>
        <w:pStyle w:val="BodyText"/>
      </w:pPr>
      <w:r w:rsidRPr="008F5E81">
        <w:t xml:space="preserve">The current state space includes traditional technical and macroeconomic indicators. Future research should focus on the comprehensive </w:t>
      </w:r>
      <w:r w:rsidRPr="008F5E81">
        <w:rPr>
          <w:b/>
        </w:rPr>
        <w:t>integration of Environmental, Social, and Governance (ESG) factors</w:t>
      </w:r>
      <w:r w:rsidRPr="008F5E81">
        <w:t>. This could be achieved in several ways: by incorporating ESG scores as features in the state space, by adding a separate reward component that penalizes investments in low-scoring assets, or by framing the problem as a constrained optimization where the portfolio must maintain a minimum aggregate ESG rating. This direction aligns the model with the growing demand for sustainable and responsible investment strategies.</w:t>
      </w:r>
    </w:p>
    <w:p w14:paraId="491CF6C4" w14:textId="7956DDAE" w:rsidR="008F5E81" w:rsidRPr="008F5E81" w:rsidRDefault="008F5E81" w:rsidP="008F5E81">
      <w:pPr>
        <w:pStyle w:val="BodyText"/>
        <w:rPr>
          <w:b/>
          <w:bCs/>
        </w:rPr>
      </w:pPr>
      <w:bookmarkStart w:id="36" w:name="X77abbb84859bcd1259341395afd17c40058bb74"/>
      <w:r>
        <w:rPr>
          <w:b/>
          <w:bCs/>
        </w:rPr>
        <w:t>6</w:t>
      </w:r>
      <w:r w:rsidRPr="008F5E81">
        <w:rPr>
          <w:b/>
          <w:bCs/>
        </w:rPr>
        <w:t>.4 Expansion to Alternative Asset Classes and Market Microstructure</w:t>
      </w:r>
      <w:bookmarkEnd w:id="36"/>
    </w:p>
    <w:p w14:paraId="773386B4" w14:textId="77777777" w:rsidR="008F5E81" w:rsidRPr="008F5E81" w:rsidRDefault="008F5E81" w:rsidP="008F5E81">
      <w:pPr>
        <w:pStyle w:val="BodyText"/>
      </w:pPr>
      <w:r w:rsidRPr="008F5E81">
        <w:t xml:space="preserve">Finally, the framework’s robustness should be tested by expanding the asset universe beyond large-cap US equities to include </w:t>
      </w:r>
      <w:r w:rsidRPr="008F5E81">
        <w:rPr>
          <w:b/>
        </w:rPr>
        <w:t>alternative asset classes</w:t>
      </w:r>
      <w:r w:rsidRPr="008F5E81">
        <w:t xml:space="preserve"> such as fixed income, commodities, and cryptocurrencies. These assets exhibit fundamentally different volatility and correlation characteristics, providing a rigorous test for the diversity-promoting </w:t>
      </w:r>
      <w:r w:rsidRPr="008F5E81">
        <w:lastRenderedPageBreak/>
        <w:t xml:space="preserve">mechanism. Additionally, integrating a more sophisticated </w:t>
      </w:r>
      <w:r w:rsidRPr="008F5E81">
        <w:rPr>
          <w:b/>
        </w:rPr>
        <w:t>market microstructure model</w:t>
      </w:r>
      <w:r w:rsidRPr="008F5E81">
        <w:t xml:space="preserve"> that accounts for non-linear transaction costs, slippage, and liquidity constraints would further bridge the gap between simulation and real-world deployment, enhancing the practical utility of the MARL portfolio optimization system.</w:t>
      </w:r>
    </w:p>
    <w:p w14:paraId="36F937E5" w14:textId="77777777" w:rsidR="002806BA" w:rsidRPr="00526140" w:rsidRDefault="00000000">
      <w:pPr>
        <w:pStyle w:val="Heading1"/>
        <w:rPr>
          <w:rFonts w:ascii="Times New Roman" w:hAnsi="Times New Roman" w:cs="Times New Roman"/>
          <w:color w:val="000000" w:themeColor="text1"/>
        </w:rPr>
      </w:pPr>
      <w:bookmarkStart w:id="37" w:name="references"/>
      <w:r w:rsidRPr="00526140">
        <w:rPr>
          <w:rFonts w:ascii="Times New Roman" w:hAnsi="Times New Roman" w:cs="Times New Roman"/>
          <w:color w:val="000000" w:themeColor="text1"/>
        </w:rPr>
        <w:t>References</w:t>
      </w:r>
      <w:bookmarkEnd w:id="37"/>
    </w:p>
    <w:p w14:paraId="11E20EE2" w14:textId="77777777" w:rsidR="002806BA" w:rsidRPr="00526140" w:rsidRDefault="00000000">
      <w:pPr>
        <w:pStyle w:val="FirstParagraph"/>
        <w:rPr>
          <w:rFonts w:ascii="Times New Roman" w:hAnsi="Times New Roman" w:cs="Times New Roman"/>
          <w:color w:val="000000" w:themeColor="text1"/>
        </w:rPr>
      </w:pPr>
      <w:r w:rsidRPr="00526140">
        <w:rPr>
          <w:rFonts w:ascii="Times New Roman" w:hAnsi="Times New Roman" w:cs="Times New Roman"/>
          <w:color w:val="000000" w:themeColor="text1"/>
        </w:rPr>
        <w:t xml:space="preserve">[1] Markowitz, H. (1952). Portfolio Selection. </w:t>
      </w:r>
      <w:r w:rsidRPr="00526140">
        <w:rPr>
          <w:rFonts w:ascii="Times New Roman" w:hAnsi="Times New Roman" w:cs="Times New Roman"/>
          <w:i/>
          <w:color w:val="000000" w:themeColor="text1"/>
        </w:rPr>
        <w:t>The Journal of Finance</w:t>
      </w:r>
      <w:r w:rsidRPr="00526140">
        <w:rPr>
          <w:rFonts w:ascii="Times New Roman" w:hAnsi="Times New Roman" w:cs="Times New Roman"/>
          <w:color w:val="000000" w:themeColor="text1"/>
        </w:rPr>
        <w:t xml:space="preserve">, 7(1), 77-91. [2] Black, F., &amp; Litterman, R. (1992). Global portfolio optimization. </w:t>
      </w:r>
      <w:r w:rsidRPr="00526140">
        <w:rPr>
          <w:rFonts w:ascii="Times New Roman" w:hAnsi="Times New Roman" w:cs="Times New Roman"/>
          <w:i/>
          <w:color w:val="000000" w:themeColor="text1"/>
        </w:rPr>
        <w:t>Financial Analysts Journal</w:t>
      </w:r>
      <w:r w:rsidRPr="00526140">
        <w:rPr>
          <w:rFonts w:ascii="Times New Roman" w:hAnsi="Times New Roman" w:cs="Times New Roman"/>
          <w:color w:val="000000" w:themeColor="text1"/>
        </w:rPr>
        <w:t xml:space="preserve">, 48(5), 28-43. [3] Lowe, R., et al. (2017). Multi-agent actor-critic for mixed cooperative-competitive environments. </w:t>
      </w:r>
      <w:r w:rsidRPr="00526140">
        <w:rPr>
          <w:rFonts w:ascii="Times New Roman" w:hAnsi="Times New Roman" w:cs="Times New Roman"/>
          <w:i/>
          <w:color w:val="000000" w:themeColor="text1"/>
        </w:rPr>
        <w:t>Advances in Neural Information Processing Systems (NeurIPS)</w:t>
      </w:r>
      <w:r w:rsidRPr="00526140">
        <w:rPr>
          <w:rFonts w:ascii="Times New Roman" w:hAnsi="Times New Roman" w:cs="Times New Roman"/>
          <w:color w:val="000000" w:themeColor="text1"/>
        </w:rPr>
        <w:t xml:space="preserve">. [4] Moody, J., &amp; Saffell, M. (2001). Learning to trade via direct reinforcement. </w:t>
      </w:r>
      <w:r w:rsidRPr="00526140">
        <w:rPr>
          <w:rFonts w:ascii="Times New Roman" w:hAnsi="Times New Roman" w:cs="Times New Roman"/>
          <w:i/>
          <w:color w:val="000000" w:themeColor="text1"/>
        </w:rPr>
        <w:t>IEEE Transactions on Neural Networks</w:t>
      </w:r>
      <w:r w:rsidRPr="00526140">
        <w:rPr>
          <w:rFonts w:ascii="Times New Roman" w:hAnsi="Times New Roman" w:cs="Times New Roman"/>
          <w:color w:val="000000" w:themeColor="text1"/>
        </w:rPr>
        <w:t xml:space="preserve">. [5] Ying, R., et al. (2025). Dynamic Portfolio Optimization with Data-Aware Multi-Agent Reinforcement Learning. </w:t>
      </w:r>
      <w:r w:rsidRPr="00526140">
        <w:rPr>
          <w:rFonts w:ascii="Times New Roman" w:hAnsi="Times New Roman" w:cs="Times New Roman"/>
          <w:i/>
          <w:color w:val="000000" w:themeColor="text1"/>
        </w:rPr>
        <w:t>Preprints</w:t>
      </w:r>
      <w:r w:rsidRPr="00526140">
        <w:rPr>
          <w:rFonts w:ascii="Times New Roman" w:hAnsi="Times New Roman" w:cs="Times New Roman"/>
          <w:color w:val="000000" w:themeColor="text1"/>
        </w:rPr>
        <w:t xml:space="preserve">. [6] Schulman, J., et al. (2017). Proximal policy optimization algorithms. </w:t>
      </w:r>
      <w:r w:rsidRPr="00526140">
        <w:rPr>
          <w:rFonts w:ascii="Times New Roman" w:hAnsi="Times New Roman" w:cs="Times New Roman"/>
          <w:i/>
          <w:color w:val="000000" w:themeColor="text1"/>
        </w:rPr>
        <w:t>arXiv preprint arXiv:1707.06347</w:t>
      </w:r>
      <w:r w:rsidRPr="00526140">
        <w:rPr>
          <w:rFonts w:ascii="Times New Roman" w:hAnsi="Times New Roman" w:cs="Times New Roman"/>
          <w:color w:val="000000" w:themeColor="text1"/>
        </w:rPr>
        <w:t xml:space="preserve">. [7] Cheng, L. C., &amp; Sun, J. S. (2024). Multiagent-based deep reinforcement learning framework for algorithmic trading. </w:t>
      </w:r>
      <w:r w:rsidRPr="00526140">
        <w:rPr>
          <w:rFonts w:ascii="Times New Roman" w:hAnsi="Times New Roman" w:cs="Times New Roman"/>
          <w:i/>
          <w:color w:val="000000" w:themeColor="text1"/>
        </w:rPr>
        <w:t>Neurocomputing</w:t>
      </w:r>
      <w:r w:rsidRPr="00526140">
        <w:rPr>
          <w:rFonts w:ascii="Times New Roman" w:hAnsi="Times New Roman" w:cs="Times New Roman"/>
          <w:color w:val="000000" w:themeColor="text1"/>
        </w:rPr>
        <w:t xml:space="preserve">. [8] Silver, D., et al. (2014). Deterministic policy gradient algorithms. </w:t>
      </w:r>
      <w:r w:rsidRPr="00526140">
        <w:rPr>
          <w:rFonts w:ascii="Times New Roman" w:hAnsi="Times New Roman" w:cs="Times New Roman"/>
          <w:i/>
          <w:color w:val="000000" w:themeColor="text1"/>
        </w:rPr>
        <w:t>International Conference on Machine Learning (ICML)</w:t>
      </w:r>
      <w:r w:rsidRPr="00526140">
        <w:rPr>
          <w:rFonts w:ascii="Times New Roman" w:hAnsi="Times New Roman" w:cs="Times New Roman"/>
          <w:color w:val="000000" w:themeColor="text1"/>
        </w:rPr>
        <w:t xml:space="preserve">. [9] Mnih, V., et al. (2015). Human-level control through deep reinforcement learning. </w:t>
      </w:r>
      <w:r w:rsidRPr="00526140">
        <w:rPr>
          <w:rFonts w:ascii="Times New Roman" w:hAnsi="Times New Roman" w:cs="Times New Roman"/>
          <w:i/>
          <w:color w:val="000000" w:themeColor="text1"/>
        </w:rPr>
        <w:t>Nature</w:t>
      </w:r>
      <w:r w:rsidRPr="00526140">
        <w:rPr>
          <w:rFonts w:ascii="Times New Roman" w:hAnsi="Times New Roman" w:cs="Times New Roman"/>
          <w:color w:val="000000" w:themeColor="text1"/>
        </w:rPr>
        <w:t xml:space="preserve">, 518(7540), 529-533. [10] Rockafellar, R. T., &amp; Uryasev, S. (2000). Optimization of conditional value-at-risk. </w:t>
      </w:r>
      <w:r w:rsidRPr="00526140">
        <w:rPr>
          <w:rFonts w:ascii="Times New Roman" w:hAnsi="Times New Roman" w:cs="Times New Roman"/>
          <w:i/>
          <w:color w:val="000000" w:themeColor="text1"/>
        </w:rPr>
        <w:t>Journal of Risk</w:t>
      </w:r>
      <w:r w:rsidRPr="00526140">
        <w:rPr>
          <w:rFonts w:ascii="Times New Roman" w:hAnsi="Times New Roman" w:cs="Times New Roman"/>
          <w:color w:val="000000" w:themeColor="text1"/>
        </w:rPr>
        <w:t xml:space="preserve">, 2(3), 21-41. [11] Heaton, J. B., et al. (2017). Deep learning for finance: deep portfolios. </w:t>
      </w:r>
      <w:r w:rsidRPr="00526140">
        <w:rPr>
          <w:rFonts w:ascii="Times New Roman" w:hAnsi="Times New Roman" w:cs="Times New Roman"/>
          <w:i/>
          <w:color w:val="000000" w:themeColor="text1"/>
        </w:rPr>
        <w:t>Applied Stochastic Models in Business and Industry</w:t>
      </w:r>
      <w:r w:rsidRPr="00526140">
        <w:rPr>
          <w:rFonts w:ascii="Times New Roman" w:hAnsi="Times New Roman" w:cs="Times New Roman"/>
          <w:color w:val="000000" w:themeColor="text1"/>
        </w:rPr>
        <w:t xml:space="preserve">, 33(1), 3-12. [12] Jiang, Z., et al. (2017). A deep reinforcement learning framework for the financial portfolio management problem. </w:t>
      </w:r>
      <w:r w:rsidRPr="00526140">
        <w:rPr>
          <w:rFonts w:ascii="Times New Roman" w:hAnsi="Times New Roman" w:cs="Times New Roman"/>
          <w:i/>
          <w:color w:val="000000" w:themeColor="text1"/>
        </w:rPr>
        <w:t>arXiv preprint arXiv:1706.10059</w:t>
      </w:r>
      <w:r w:rsidRPr="00526140">
        <w:rPr>
          <w:rFonts w:ascii="Times New Roman" w:hAnsi="Times New Roman" w:cs="Times New Roman"/>
          <w:color w:val="000000" w:themeColor="text1"/>
        </w:rPr>
        <w:t xml:space="preserve">. [13] Gu, S., et al. (2020). Empirical asset pricing via machine learning. </w:t>
      </w:r>
      <w:r w:rsidRPr="00526140">
        <w:rPr>
          <w:rFonts w:ascii="Times New Roman" w:hAnsi="Times New Roman" w:cs="Times New Roman"/>
          <w:i/>
          <w:color w:val="000000" w:themeColor="text1"/>
        </w:rPr>
        <w:t>Review of Financial Studies</w:t>
      </w:r>
      <w:r w:rsidRPr="00526140">
        <w:rPr>
          <w:rFonts w:ascii="Times New Roman" w:hAnsi="Times New Roman" w:cs="Times New Roman"/>
          <w:color w:val="000000" w:themeColor="text1"/>
        </w:rPr>
        <w:t xml:space="preserve">, 33(5), 2223-2265. [14] Avellaneda, M., &amp; Lee, J. H. (2010). Statistical arbitrage in the US equities market. </w:t>
      </w:r>
      <w:r w:rsidRPr="00526140">
        <w:rPr>
          <w:rFonts w:ascii="Times New Roman" w:hAnsi="Times New Roman" w:cs="Times New Roman"/>
          <w:i/>
          <w:color w:val="000000" w:themeColor="text1"/>
        </w:rPr>
        <w:t>Quantitative Finance</w:t>
      </w:r>
      <w:r w:rsidRPr="00526140">
        <w:rPr>
          <w:rFonts w:ascii="Times New Roman" w:hAnsi="Times New Roman" w:cs="Times New Roman"/>
          <w:color w:val="000000" w:themeColor="text1"/>
        </w:rPr>
        <w:t xml:space="preserve">, 10(7), 761-772. [15] Lopez de Prado, M. (2018). </w:t>
      </w:r>
      <w:r w:rsidRPr="00526140">
        <w:rPr>
          <w:rFonts w:ascii="Times New Roman" w:hAnsi="Times New Roman" w:cs="Times New Roman"/>
          <w:i/>
          <w:color w:val="000000" w:themeColor="text1"/>
        </w:rPr>
        <w:t>Advances in Financial Machine Learning</w:t>
      </w:r>
      <w:r w:rsidRPr="00526140">
        <w:rPr>
          <w:rFonts w:ascii="Times New Roman" w:hAnsi="Times New Roman" w:cs="Times New Roman"/>
          <w:color w:val="000000" w:themeColor="text1"/>
        </w:rPr>
        <w:t xml:space="preserve">. Wiley. [16] Dixon, M. F., et al. (2020). </w:t>
      </w:r>
      <w:r w:rsidRPr="00526140">
        <w:rPr>
          <w:rFonts w:ascii="Times New Roman" w:hAnsi="Times New Roman" w:cs="Times New Roman"/>
          <w:i/>
          <w:color w:val="000000" w:themeColor="text1"/>
        </w:rPr>
        <w:t>Machine Learning in Finance: From Theory to Practice</w:t>
      </w:r>
      <w:r w:rsidRPr="00526140">
        <w:rPr>
          <w:rFonts w:ascii="Times New Roman" w:hAnsi="Times New Roman" w:cs="Times New Roman"/>
          <w:color w:val="000000" w:themeColor="text1"/>
        </w:rPr>
        <w:t xml:space="preserve">. Springer. [17] Sutton, R. S., &amp; Barto, A. G. (2018). </w:t>
      </w:r>
      <w:r w:rsidRPr="00526140">
        <w:rPr>
          <w:rFonts w:ascii="Times New Roman" w:hAnsi="Times New Roman" w:cs="Times New Roman"/>
          <w:i/>
          <w:color w:val="000000" w:themeColor="text1"/>
        </w:rPr>
        <w:t>Reinforcement Learning: An Introduction</w:t>
      </w:r>
      <w:r w:rsidRPr="00526140">
        <w:rPr>
          <w:rFonts w:ascii="Times New Roman" w:hAnsi="Times New Roman" w:cs="Times New Roman"/>
          <w:color w:val="000000" w:themeColor="text1"/>
        </w:rPr>
        <w:t xml:space="preserve">. MIT Press. [18] Zhang, Z., et al. (2020). Deep reinforcement learning for trading: A review. </w:t>
      </w:r>
      <w:r w:rsidRPr="00526140">
        <w:rPr>
          <w:rFonts w:ascii="Times New Roman" w:hAnsi="Times New Roman" w:cs="Times New Roman"/>
          <w:i/>
          <w:color w:val="000000" w:themeColor="text1"/>
        </w:rPr>
        <w:t>Journal of Financial Data Science</w:t>
      </w:r>
      <w:r w:rsidRPr="00526140">
        <w:rPr>
          <w:rFonts w:ascii="Times New Roman" w:hAnsi="Times New Roman" w:cs="Times New Roman"/>
          <w:color w:val="000000" w:themeColor="text1"/>
        </w:rPr>
        <w:t xml:space="preserve">, 6(1), 5-21. [19] Araci, D. (2019). FinBERT: Financial sentiment analysis with pre-trained language models. </w:t>
      </w:r>
      <w:r w:rsidRPr="00526140">
        <w:rPr>
          <w:rFonts w:ascii="Times New Roman" w:hAnsi="Times New Roman" w:cs="Times New Roman"/>
          <w:i/>
          <w:color w:val="000000" w:themeColor="text1"/>
        </w:rPr>
        <w:t>arXiv preprint arXiv:1908.10098</w:t>
      </w:r>
      <w:r w:rsidRPr="00526140">
        <w:rPr>
          <w:rFonts w:ascii="Times New Roman" w:hAnsi="Times New Roman" w:cs="Times New Roman"/>
          <w:color w:val="000000" w:themeColor="text1"/>
        </w:rPr>
        <w:t xml:space="preserve">. [20] Devlin, J., et al. (2018). BERT: Pre-training of deep bidirectional transformers for language understanding. </w:t>
      </w:r>
      <w:r w:rsidRPr="00526140">
        <w:rPr>
          <w:rFonts w:ascii="Times New Roman" w:hAnsi="Times New Roman" w:cs="Times New Roman"/>
          <w:i/>
          <w:color w:val="000000" w:themeColor="text1"/>
        </w:rPr>
        <w:t>arXiv preprint arXiv:1810.04805</w:t>
      </w:r>
      <w:r w:rsidRPr="00526140">
        <w:rPr>
          <w:rFonts w:ascii="Times New Roman" w:hAnsi="Times New Roman" w:cs="Times New Roman"/>
          <w:color w:val="000000" w:themeColor="text1"/>
        </w:rPr>
        <w:t xml:space="preserve">. [21] Lee, J., et al. (2020). MAPS: Multi-agent reinforcement learning-based portfolio management system. </w:t>
      </w:r>
      <w:r w:rsidRPr="00526140">
        <w:rPr>
          <w:rFonts w:ascii="Times New Roman" w:hAnsi="Times New Roman" w:cs="Times New Roman"/>
          <w:i/>
          <w:color w:val="000000" w:themeColor="text1"/>
        </w:rPr>
        <w:t>Proceedings of the 29th International Joint Conference on Artificial Intelligence (IJCAI)</w:t>
      </w:r>
      <w:r w:rsidRPr="00526140">
        <w:rPr>
          <w:rFonts w:ascii="Times New Roman" w:hAnsi="Times New Roman" w:cs="Times New Roman"/>
          <w:color w:val="000000" w:themeColor="text1"/>
        </w:rPr>
        <w:t xml:space="preserve">. [22] Huang, Z., &amp; Tanaka, F. (2022). MSPM: A modularized and scalable multi-agent reinforcement learning-based system for portfolio management. </w:t>
      </w:r>
      <w:r w:rsidRPr="00526140">
        <w:rPr>
          <w:rFonts w:ascii="Times New Roman" w:hAnsi="Times New Roman" w:cs="Times New Roman"/>
          <w:i/>
          <w:color w:val="000000" w:themeColor="text1"/>
        </w:rPr>
        <w:t>PLoS ONE</w:t>
      </w:r>
      <w:r w:rsidRPr="00526140">
        <w:rPr>
          <w:rFonts w:ascii="Times New Roman" w:hAnsi="Times New Roman" w:cs="Times New Roman"/>
          <w:color w:val="000000" w:themeColor="text1"/>
        </w:rPr>
        <w:t xml:space="preserve">, 17(10), e0276228. [23] Foerster, J., et al. (2018). Counterfactual multi-agent policy gradients. </w:t>
      </w:r>
      <w:r w:rsidRPr="00526140">
        <w:rPr>
          <w:rFonts w:ascii="Times New Roman" w:hAnsi="Times New Roman" w:cs="Times New Roman"/>
          <w:i/>
          <w:color w:val="000000" w:themeColor="text1"/>
        </w:rPr>
        <w:t>Proceedings of the AAAI Conference on Artificial Intelligence (AAAI)</w:t>
      </w:r>
      <w:r w:rsidRPr="00526140">
        <w:rPr>
          <w:rFonts w:ascii="Times New Roman" w:hAnsi="Times New Roman" w:cs="Times New Roman"/>
          <w:color w:val="000000" w:themeColor="text1"/>
        </w:rPr>
        <w:t xml:space="preserve">. [24] Rashid, T., et al. (2018). QMIX: Monotonic value function factorisation for deep multi-agent reinforcement learning. </w:t>
      </w:r>
      <w:r w:rsidRPr="00526140">
        <w:rPr>
          <w:rFonts w:ascii="Times New Roman" w:hAnsi="Times New Roman" w:cs="Times New Roman"/>
          <w:i/>
          <w:color w:val="000000" w:themeColor="text1"/>
        </w:rPr>
        <w:t>International Conference on Machine Learning (ICML)</w:t>
      </w:r>
      <w:r w:rsidRPr="00526140">
        <w:rPr>
          <w:rFonts w:ascii="Times New Roman" w:hAnsi="Times New Roman" w:cs="Times New Roman"/>
          <w:color w:val="000000" w:themeColor="text1"/>
        </w:rPr>
        <w:t xml:space="preserve">. [25] He, K., et al. (2015). Delving deep into rectifiers: Surpassing human-level performance on ImageNet classification. </w:t>
      </w:r>
      <w:r w:rsidRPr="00526140">
        <w:rPr>
          <w:rFonts w:ascii="Times New Roman" w:hAnsi="Times New Roman" w:cs="Times New Roman"/>
          <w:i/>
          <w:color w:val="000000" w:themeColor="text1"/>
        </w:rPr>
        <w:t>Proceedings of the IEEE International Conference on Computer Vision (ICCV)</w:t>
      </w:r>
      <w:r w:rsidRPr="00526140">
        <w:rPr>
          <w:rFonts w:ascii="Times New Roman" w:hAnsi="Times New Roman" w:cs="Times New Roman"/>
          <w:color w:val="000000" w:themeColor="text1"/>
        </w:rPr>
        <w:t xml:space="preserve">. [26] Vaswani, A., et al. (2017). Attention is all you need. </w:t>
      </w:r>
      <w:r w:rsidRPr="00526140">
        <w:rPr>
          <w:rFonts w:ascii="Times New Roman" w:hAnsi="Times New Roman" w:cs="Times New Roman"/>
          <w:i/>
          <w:color w:val="000000" w:themeColor="text1"/>
        </w:rPr>
        <w:t>Advances in Neural Information Processing Systems (NeurIPS)</w:t>
      </w:r>
      <w:r w:rsidRPr="00526140">
        <w:rPr>
          <w:rFonts w:ascii="Times New Roman" w:hAnsi="Times New Roman" w:cs="Times New Roman"/>
          <w:color w:val="000000" w:themeColor="text1"/>
        </w:rPr>
        <w:t xml:space="preserve">. [27] Sun, R., et al. (2025). A novel multi-agent dynamic portfolio optimization learning system. </w:t>
      </w:r>
      <w:r w:rsidRPr="00526140">
        <w:rPr>
          <w:rFonts w:ascii="Times New Roman" w:hAnsi="Times New Roman" w:cs="Times New Roman"/>
          <w:i/>
          <w:color w:val="000000" w:themeColor="text1"/>
        </w:rPr>
        <w:t>Complex &amp; Intelligent Systems</w:t>
      </w:r>
      <w:r w:rsidRPr="00526140">
        <w:rPr>
          <w:rFonts w:ascii="Times New Roman" w:hAnsi="Times New Roman" w:cs="Times New Roman"/>
          <w:color w:val="000000" w:themeColor="text1"/>
        </w:rPr>
        <w:t xml:space="preserve">. [28] Chen, M. Y., et al. (2023). Knowledge </w:t>
      </w:r>
      <w:r w:rsidRPr="00526140">
        <w:rPr>
          <w:rFonts w:ascii="Times New Roman" w:hAnsi="Times New Roman" w:cs="Times New Roman"/>
          <w:color w:val="000000" w:themeColor="text1"/>
        </w:rPr>
        <w:lastRenderedPageBreak/>
        <w:t xml:space="preserve">distillation for portfolio management. </w:t>
      </w:r>
      <w:r w:rsidRPr="00526140">
        <w:rPr>
          <w:rFonts w:ascii="Times New Roman" w:hAnsi="Times New Roman" w:cs="Times New Roman"/>
          <w:i/>
          <w:color w:val="000000" w:themeColor="text1"/>
        </w:rPr>
        <w:t>Decision Support Systems</w:t>
      </w:r>
      <w:r w:rsidRPr="00526140">
        <w:rPr>
          <w:rFonts w:ascii="Times New Roman" w:hAnsi="Times New Roman" w:cs="Times New Roman"/>
          <w:color w:val="000000" w:themeColor="text1"/>
        </w:rPr>
        <w:t xml:space="preserve">, 174, 113915. [29] Hull, J. C. (2023). </w:t>
      </w:r>
      <w:r w:rsidRPr="00526140">
        <w:rPr>
          <w:rFonts w:ascii="Times New Roman" w:hAnsi="Times New Roman" w:cs="Times New Roman"/>
          <w:i/>
          <w:color w:val="000000" w:themeColor="text1"/>
        </w:rPr>
        <w:t>Options, Futures, and Other Derivatives</w:t>
      </w:r>
      <w:r w:rsidRPr="00526140">
        <w:rPr>
          <w:rFonts w:ascii="Times New Roman" w:hAnsi="Times New Roman" w:cs="Times New Roman"/>
          <w:color w:val="000000" w:themeColor="text1"/>
        </w:rPr>
        <w:t>. Pearson.</w:t>
      </w:r>
    </w:p>
    <w:sectPr w:rsidR="002806BA" w:rsidRPr="005261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56AA" w14:textId="77777777" w:rsidR="00897148" w:rsidRDefault="00897148">
      <w:pPr>
        <w:spacing w:after="0"/>
      </w:pPr>
      <w:r>
        <w:separator/>
      </w:r>
    </w:p>
  </w:endnote>
  <w:endnote w:type="continuationSeparator" w:id="0">
    <w:p w14:paraId="23690BD0" w14:textId="77777777" w:rsidR="00897148" w:rsidRDefault="008971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CB6C" w14:textId="77777777" w:rsidR="00897148" w:rsidRDefault="00897148">
      <w:r>
        <w:separator/>
      </w:r>
    </w:p>
  </w:footnote>
  <w:footnote w:type="continuationSeparator" w:id="0">
    <w:p w14:paraId="1E336A5F" w14:textId="77777777" w:rsidR="00897148" w:rsidRDefault="00897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FA8C27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B38ED19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1E9621A"/>
    <w:multiLevelType w:val="hybridMultilevel"/>
    <w:tmpl w:val="8E62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15DCA"/>
    <w:multiLevelType w:val="multilevel"/>
    <w:tmpl w:val="096267D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63968855">
    <w:abstractNumId w:val="1"/>
  </w:num>
  <w:num w:numId="2" w16cid:durableId="1201212005">
    <w:abstractNumId w:val="0"/>
  </w:num>
  <w:num w:numId="3" w16cid:durableId="1012802170">
    <w:abstractNumId w:val="0"/>
  </w:num>
  <w:num w:numId="4" w16cid:durableId="1623413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4722550">
    <w:abstractNumId w:val="0"/>
  </w:num>
  <w:num w:numId="6" w16cid:durableId="1159275991">
    <w:abstractNumId w:val="0"/>
  </w:num>
  <w:num w:numId="7" w16cid:durableId="635646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7416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9590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806BA"/>
    <w:rsid w:val="0046368A"/>
    <w:rsid w:val="00467E45"/>
    <w:rsid w:val="004E29B3"/>
    <w:rsid w:val="00526140"/>
    <w:rsid w:val="00590D07"/>
    <w:rsid w:val="006342F0"/>
    <w:rsid w:val="00784D58"/>
    <w:rsid w:val="00897148"/>
    <w:rsid w:val="008D6863"/>
    <w:rsid w:val="008F5E81"/>
    <w:rsid w:val="00B86B75"/>
    <w:rsid w:val="00BA4DFF"/>
    <w:rsid w:val="00BC48D5"/>
    <w:rsid w:val="00C36279"/>
    <w:rsid w:val="00E315A3"/>
    <w:rsid w:val="00F577D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E376"/>
  <w15:docId w15:val="{DCE8A336-79D9-4BE0-971D-948201BB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16</Pages>
  <Words>4371</Words>
  <Characters>24915</Characters>
  <Application>Microsoft Office Word</Application>
  <DocSecurity>0</DocSecurity>
  <Lines>207</Lines>
  <Paragraphs>58</Paragraphs>
  <ScaleCrop>false</ScaleCrop>
  <Company/>
  <LinksUpToDate>false</LinksUpToDate>
  <CharactersWithSpaces>29228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Abrar Ahmed</cp:lastModifiedBy>
  <cp:revision>6</cp:revision>
  <dcterms:created xsi:type="dcterms:W3CDTF">2025-12-31T13:15:00Z</dcterms:created>
  <dcterms:modified xsi:type="dcterms:W3CDTF">2025-12-31T13:52:00Z</dcterms:modified>
</cp:coreProperties>
</file>