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SEC EDGAR贷款合同数据采集项目策划书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元数据区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项目：@贺雨欣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技术：@吕俊豪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商务：@应婷婷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保密等级：机密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策划区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项目目标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本项目旨在从SEC EDGAR数据库系统下载全部贷款合同（Credit Agreement）文件。通过对合同文本进行解析，精准识别并提取所有包含供应链信息的句子。最终将构建一个高质量的企业-合同-句子层级结构化数据集，为金融合同文本分析提供核心数据支持。项目交付包括原始文件、结构化数据集及相应的质量保障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客户核心需求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下载SEC EDGAR全部Credit Agreement文件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时间范围：从2004/2005年开始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获取所有包含Credit Agreement的8-K文件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解析8-K文件附件，识别并提取贷款合同链接（EX-10.1）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处理HTML和PDF格式的合同文件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使用Python工具批量下载合同文件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设计合理的文件存储格式和命名规范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构建供应链信息数据集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从下载的Credit Agreement文件中提取文本内容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识别包含供应链关键词的句子（supplier, customer, supply chain, supply-chain等）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构建企业-合同-句子级别的结构化数据集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关联公司基本信息与合同元数据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需求梳理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2250"/>
        <w:gridCol w:w="2235"/>
        <w:gridCol w:w="261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核心操作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数据采集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 EDGAR数据库</w:t>
              <w:br/>
            </w:r>
            <w:r>
              <w:rPr>
                <w:rFonts w:eastAsia="等线" w:ascii="Arial" w:cs="Arial" w:hAnsi="Arial"/>
                <w:sz w:val="22"/>
              </w:rPr>
              <w:t>8-K报告索引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原始HTML/PDF合同文件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文件元数据CSV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获取8-K报告元数据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解析Exhibit 10.1链接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识别并处理PDF格式合同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批量下载合同文件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文件命名与存储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文本预处理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原始HTML合同文件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原始PDF合同文件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标准化文本文件</w:t>
              <w:br/>
            </w:r>
            <w:r>
              <w:rPr>
                <w:rFonts w:eastAsia="等线" w:ascii="Arial" w:cs="Arial" w:hAnsi="Arial"/>
                <w:sz w:val="22"/>
              </w:rPr>
              <w:t>清洗后的结构化文本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HTML标签清理与文本提取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PDF文本提取与格式转换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字符编码统一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文本格式标准化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段落与句子分割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信息提取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标准化文本文件</w:t>
              <w:br/>
            </w:r>
            <w:r>
              <w:rPr>
                <w:rFonts w:eastAsia="等线" w:ascii="Arial" w:cs="Arial" w:hAnsi="Arial"/>
                <w:sz w:val="22"/>
              </w:rPr>
              <w:t>供应链关键词库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供应链相关信息片段</w:t>
              <w:br/>
            </w:r>
            <w:r>
              <w:rPr>
                <w:rFonts w:eastAsia="等线" w:ascii="Arial" w:cs="Arial" w:hAnsi="Arial"/>
                <w:sz w:val="22"/>
              </w:rPr>
              <w:t>结构化数据表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构建金融术语匹配规则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NLP实体识别与关系抽取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上下文边界判定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公司-信息关联映射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多格式文本统一处理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数据整合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提取的信息片段</w:t>
              <w:br/>
            </w:r>
            <w:r>
              <w:rPr>
                <w:rFonts w:eastAsia="等线" w:ascii="Arial" w:cs="Arial" w:hAnsi="Arial"/>
                <w:sz w:val="22"/>
              </w:rPr>
              <w:t>公司元数据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最终分析数据集</w:t>
              <w:br/>
            </w:r>
            <w:r>
              <w:rPr>
                <w:rFonts w:eastAsia="等线" w:ascii="Arial" w:cs="Arial" w:hAnsi="Arial"/>
                <w:sz w:val="22"/>
              </w:rPr>
              <w:t>(CSV/数据库格式)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数据质量校验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格式统一与标准化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建立公司-合同-信息关联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输出结构化分析文件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生成PDF处理质量报告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需求评估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技术风险评估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945"/>
        <w:gridCol w:w="5820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风险点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严重性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应对方案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SEC网站访问限制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设置合规的User-Agent头部、实现请求频率控制(rate limiting)、使用代理IP轮换机制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8-K文件结构多变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开发多规则解析策略(文件名+描述标签双重验证)、建立异常格式处理机制、定期更新解析规则库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合同链接提取失败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实现备选链接定位算法(基于EX-10.1关键词模式匹配)、添加人工复核工作流、记录解析失败案例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网络异常与中断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设计断点续传机制、实现请求重试与超时处理、建立下载状态持久化记录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文本编码不统一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配置多编码自动检测(UTF-8/ISO-8859-1等)、实现编码转换管道、添加编码异常处理日志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供应链信息提取精度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构建领域专业术语库、采用规则匹配+NLP模型双策略、建立提取结果质量评估体系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数据存储与管理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设计分层存储架构(原始文件+结构化数据)、实现去重与版本控制、建立元数据索引系统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处理性能与扩展性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采用分布式任务队列、实现增量处理模式、设置监控与性能预警机制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PDF文件格式复杂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采用多PDF解析工具组合(pdfplumber+PyPDF2)、开发OCR备用方案处理扫描版PDF、建立PDF提取质量评估体系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工作量评估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1665"/>
        <w:gridCol w:w="5085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预计工时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难点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数据采集与存储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45-55小时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SEC反爬机制处理、8-K文件结构解析、PDF链接识别与多格式文件处理、大规模数据存储优化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文本预处理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40-50小时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PDF文本提取与格式转换、多格式HTML清洗、编码统一、文本标准化处理、PDF提取质量评估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信息提取引擎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45-55小时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供应链术语库构建、规则匹配算法开发、上下文提取逻辑、多格式文本统一处理与一致性保障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数据整合与验证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30-40小时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数据质量校验、关联关系建立、输出格式标准化、多源数据（HTML/PDF）一致性校验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160-200小时</w:t>
            </w:r>
          </w:p>
        </w:tc>
        <w:tc>
          <w:tcPr>
            <w:tcW w:w="5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以上工时预估为理想开发环境下的纯开发时间。考虑到需求沟通、环境调试与不可预见问题，项目总周期预计为30个自然日。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方案设计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总体架构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76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219">
    <w:lvl>
      <w:start w:val="1"/>
      <w:numFmt w:val="decimal"/>
      <w:suff w:val="tab"/>
      <w:lvlText w:val="%1."/>
      <w:rPr>
        <w:color w:val="3370ff"/>
      </w:rPr>
    </w:lvl>
  </w:abstractNum>
  <w:abstractNum w:abstractNumId="48220">
    <w:lvl>
      <w:numFmt w:val="bullet"/>
      <w:suff w:val="tab"/>
      <w:lvlText w:val="•"/>
      <w:rPr>
        <w:color w:val="3370ff"/>
      </w:rPr>
    </w:lvl>
  </w:abstractNum>
  <w:abstractNum w:abstractNumId="48221">
    <w:lvl>
      <w:numFmt w:val="bullet"/>
      <w:suff w:val="tab"/>
      <w:lvlText w:val="•"/>
      <w:rPr>
        <w:color w:val="3370ff"/>
      </w:rPr>
    </w:lvl>
  </w:abstractNum>
  <w:abstractNum w:abstractNumId="48222">
    <w:lvl>
      <w:numFmt w:val="bullet"/>
      <w:suff w:val="tab"/>
      <w:lvlText w:val="•"/>
      <w:rPr>
        <w:color w:val="3370ff"/>
      </w:rPr>
    </w:lvl>
  </w:abstractNum>
  <w:abstractNum w:abstractNumId="48223">
    <w:lvl>
      <w:numFmt w:val="bullet"/>
      <w:suff w:val="tab"/>
      <w:lvlText w:val="•"/>
      <w:rPr>
        <w:color w:val="3370ff"/>
      </w:rPr>
    </w:lvl>
  </w:abstractNum>
  <w:abstractNum w:abstractNumId="48224">
    <w:lvl>
      <w:numFmt w:val="bullet"/>
      <w:suff w:val="tab"/>
      <w:lvlText w:val="•"/>
      <w:rPr>
        <w:color w:val="3370ff"/>
      </w:rPr>
    </w:lvl>
  </w:abstractNum>
  <w:abstractNum w:abstractNumId="48225">
    <w:lvl>
      <w:numFmt w:val="bullet"/>
      <w:suff w:val="tab"/>
      <w:lvlText w:val="•"/>
      <w:rPr>
        <w:color w:val="3370ff"/>
      </w:rPr>
    </w:lvl>
  </w:abstractNum>
  <w:abstractNum w:abstractNumId="48226">
    <w:lvl>
      <w:start w:val="2"/>
      <w:numFmt w:val="decimal"/>
      <w:suff w:val="tab"/>
      <w:lvlText w:val="%1."/>
      <w:rPr>
        <w:color w:val="3370ff"/>
      </w:rPr>
    </w:lvl>
  </w:abstractNum>
  <w:abstractNum w:abstractNumId="48227">
    <w:lvl>
      <w:numFmt w:val="bullet"/>
      <w:suff w:val="tab"/>
      <w:lvlText w:val="•"/>
      <w:rPr>
        <w:color w:val="3370ff"/>
      </w:rPr>
    </w:lvl>
  </w:abstractNum>
  <w:abstractNum w:abstractNumId="48228">
    <w:lvl>
      <w:numFmt w:val="bullet"/>
      <w:suff w:val="tab"/>
      <w:lvlText w:val="•"/>
      <w:rPr>
        <w:color w:val="3370ff"/>
      </w:rPr>
    </w:lvl>
  </w:abstractNum>
  <w:abstractNum w:abstractNumId="48229">
    <w:lvl>
      <w:numFmt w:val="bullet"/>
      <w:suff w:val="tab"/>
      <w:lvlText w:val="•"/>
      <w:rPr>
        <w:color w:val="3370ff"/>
      </w:rPr>
    </w:lvl>
  </w:abstractNum>
  <w:abstractNum w:abstractNumId="48230">
    <w:lvl>
      <w:numFmt w:val="bullet"/>
      <w:suff w:val="tab"/>
      <w:lvlText w:val="•"/>
      <w:rPr>
        <w:color w:val="3370ff"/>
      </w:rPr>
    </w:lvl>
  </w:abstractNum>
  <w:num w:numId="1">
    <w:abstractNumId w:val="48219"/>
  </w:num>
  <w:num w:numId="2">
    <w:abstractNumId w:val="48220"/>
  </w:num>
  <w:num w:numId="3">
    <w:abstractNumId w:val="48221"/>
  </w:num>
  <w:num w:numId="4">
    <w:abstractNumId w:val="48222"/>
  </w:num>
  <w:num w:numId="5">
    <w:abstractNumId w:val="48223"/>
  </w:num>
  <w:num w:numId="6">
    <w:abstractNumId w:val="48224"/>
  </w:num>
  <w:num w:numId="7">
    <w:abstractNumId w:val="48225"/>
  </w:num>
  <w:num w:numId="8">
    <w:abstractNumId w:val="48226"/>
  </w:num>
  <w:num w:numId="9">
    <w:abstractNumId w:val="48227"/>
  </w:num>
  <w:num w:numId="10">
    <w:abstractNumId w:val="48228"/>
  </w:num>
  <w:num w:numId="11">
    <w:abstractNumId w:val="48229"/>
  </w:num>
  <w:num w:numId="12">
    <w:abstractNumId w:val="482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2025-10-30T16:24:37Z</dcterms:created>
  <dc:creator>Apache POI</dc:creator>
</cp:coreProperties>
</file>