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4"/>
        </w:rPr>
        <w:t>Momentum Game Theory</w:t>
        <w:br/>
      </w:r>
      <w:r>
        <w:rPr>
          <w:rFonts w:ascii="Times New Roman" w:hAnsi="Times New Roman"/>
          <w:b/>
          <w:sz w:val="26"/>
        </w:rPr>
        <w:t>Technical Infrastructure and Member Onboarding</w:t>
        <w:br/>
      </w:r>
      <w:r>
        <w:rPr>
          <w:rFonts w:ascii="Times New Roman" w:hAnsi="Times New Roman"/>
          <w:sz w:val="22"/>
        </w:rPr>
        <w:t>Hugh Hayes  |  QUANTT, Queen's University  |  v1.0, August 2026</w:t>
      </w:r>
    </w:p>
    <w:p>
      <w:r>
        <w:rPr>
          <w:rFonts w:ascii="Times New Roman" w:hAnsi="Times New Roman"/>
          <w:b w:val="0"/>
        </w:rPr>
        <w:t>This is the technical reference for the strategy: what runs, what data feeds it, how it reaches the broker, and how a new member gets it working. It is a living document, so sections are numbered and self contained. When something changes, edit that section and add a line to the change log at the end. The investment case, the full rules and the limitations live in strategy/README.md in the repository, and if that file and this one ever disagree, the code is right.</w:t>
      </w:r>
    </w:p>
    <w:p>
      <w:pPr>
        <w:pStyle w:val="Heading1"/>
      </w:pPr>
      <w:r>
        <w:t>1. What the System Is</w:t>
      </w:r>
    </w:p>
    <w:p>
      <w:r>
        <w:rPr>
          <w:rFonts w:ascii="Times New Roman" w:hAnsi="Times New Roman"/>
          <w:b w:val="0"/>
        </w:rPr>
        <w:t>It is small on purpose. Four Python files of strategy code, two cached data files, and three scripts that talk to Interactive Brokers. No database, no server, no scheduler. It runs on one laptop, by hand, once a month. At this account size, infrastructure that has to be maintained is a liability, not an asset.</w:t>
      </w:r>
    </w:p>
    <w:p>
      <w:pPr>
        <w:spacing w:before="60" w:after="120"/>
        <w:ind w:left="360"/>
        <w:shd w:val="clear" w:fill="F2F2F2"/>
      </w:pPr>
      <w:r>
        <w:rPr>
          <w:sz w:val="20"/>
          <w:rFonts w:ascii="Courier New" w:hAnsi="Courier New" w:cs="Courier New"/>
        </w:rPr>
        <w:t>Yahoo Finance (prices)  --+</w:t>
        <w:br/>
      </w:r>
      <w:r>
        <w:rPr>
          <w:sz w:val="20"/>
          <w:rFonts w:ascii="Courier New" w:hAnsi="Courier New" w:cs="Courier New"/>
        </w:rPr>
        <w:t xml:space="preserve">                          +--&gt;  strategy_lib.py  --&gt;  target weights</w:t>
        <w:br/>
      </w:r>
      <w:r>
        <w:rPr>
          <w:sz w:val="20"/>
          <w:rFonts w:ascii="Courier New" w:hAnsi="Courier New" w:cs="Courier New"/>
        </w:rPr>
        <w:t>FRED (T-bill rate)      --+                               |</w:t>
        <w:br/>
      </w:r>
      <w:r>
        <w:rPr>
          <w:sz w:val="20"/>
          <w:rFonts w:ascii="Courier New" w:hAnsi="Courier New" w:cs="Courier New"/>
        </w:rPr>
        <w:t xml:space="preserve">                                signals.py  &lt;-------------+  (print only)</w:t>
        <w:br/>
      </w:r>
      <w:r>
        <w:rPr>
          <w:sz w:val="20"/>
          <w:rFonts w:ascii="Courier New" w:hAnsi="Courier New" w:cs="Courier New"/>
        </w:rPr>
        <w:t xml:space="preserve">                        execute_rebalance.py  &lt;-----------+  (orders)</w:t>
        <w:br/>
      </w:r>
      <w:r>
        <w:rPr>
          <w:sz w:val="20"/>
          <w:rFonts w:ascii="Courier New" w:hAnsi="Courier New" w:cs="Courier New"/>
        </w:rPr>
        <w:t xml:space="preserve">                                     |  socket 127.0.0.1:7497</w:t>
        <w:br/>
      </w:r>
      <w:r>
        <w:rPr>
          <w:sz w:val="20"/>
          <w:rFonts w:ascii="Courier New" w:hAnsi="Courier New" w:cs="Courier New"/>
        </w:rPr>
        <w:t xml:space="preserve">                            TWS (paper login)  --&gt;  IBKR  --&gt;  fills</w:t>
      </w:r>
    </w:p>
    <w:p>
      <w:r>
        <w:rPr>
          <w:rFonts w:ascii="Times New Roman" w:hAnsi="Times New Roman"/>
          <w:b w:val="0"/>
        </w:rPr>
        <w:t>Two things that get misunderstood. First, the strategy decides what to hold from Yahoo and FRED data. IBKR is not the data source, it only reports the account and executes orders. Second, the scripts never reach IBKR servers directly. They talk to Trader Workstation (TWS), a desktop app on the same machine, so TWS must be open and logged in or nothing connects. Nothing trades automatically, ever.</w:t>
      </w:r>
    </w:p>
    <w:p>
      <w:pPr>
        <w:pStyle w:val="Heading1"/>
      </w:pPr>
      <w:r>
        <w:t>2. Getting Set Up</w:t>
      </w:r>
    </w:p>
    <w:p>
      <w:r>
        <w:rPr>
          <w:rFonts w:ascii="Times New Roman" w:hAnsi="Times New Roman"/>
          <w:b w:val="0"/>
        </w:rPr>
        <w:t>You need Python 3.11 or newer. Check with python3 --version, and install a current version from python.org if that comes back old or errors.</w:t>
      </w:r>
    </w:p>
    <w:p>
      <w:pPr>
        <w:spacing w:before="60" w:after="120"/>
        <w:ind w:left="360"/>
        <w:shd w:val="clear" w:fill="F2F2F2"/>
      </w:pPr>
      <w:r>
        <w:rPr>
          <w:sz w:val="20"/>
          <w:rFonts w:ascii="Courier New" w:hAnsi="Courier New" w:cs="Courier New"/>
        </w:rPr>
        <w:t>git clone https://github.com/quanttqueensu/Momentum-Game-Theory.git</w:t>
        <w:br/>
      </w:r>
      <w:r>
        <w:rPr>
          <w:sz w:val="20"/>
          <w:rFonts w:ascii="Courier New" w:hAnsi="Courier New" w:cs="Courier New"/>
        </w:rPr>
        <w:t>cd Momentum-Game-Theory</w:t>
        <w:br/>
      </w:r>
      <w:r>
        <w:rPr>
          <w:sz w:val="20"/>
          <w:rFonts w:ascii="Courier New" w:hAnsi="Courier New" w:cs="Courier New"/>
        </w:rPr>
        <w:t>pip3 install -r requirements.txt</w:t>
        <w:br/>
      </w:r>
      <w:r>
        <w:rPr>
          <w:sz w:val="20"/>
          <w:rFonts w:ascii="Courier New" w:hAnsi="Courier New" w:cs="Courier New"/>
        </w:rPr>
        <w:t>python3 strategy/backtest.py</w:t>
      </w:r>
    </w:p>
    <w:p>
      <w:r>
        <w:rPr>
          <w:rFonts w:ascii="Times New Roman" w:hAnsi="Times New Roman"/>
          <w:b w:val="0"/>
        </w:rPr>
        <w:t>The backtest takes a couple of minutes on the first run because it downloads 25 years of prices and builds the local cache. If the numbers it prints match Section 4 of this document, your setup is correct. To see what the strategy says to hold right now, run python3 strategy/signals.py --refresh, which connects to no broker and can break nothing.</w:t>
      </w:r>
    </w:p>
    <w:p>
      <w:r>
        <w:rPr>
          <w:rFonts w:ascii="Times New Roman" w:hAnsi="Times New Roman"/>
          <w:b/>
          <w:sz w:val="24"/>
        </w:rPr>
        <w:t xml:space="preserve">The cache is not in the repository. </w:t>
      </w:r>
      <w:r>
        <w:rPr>
          <w:rFonts w:ascii="Times New Roman" w:hAnsi="Times New Roman"/>
          <w:b w:val="0"/>
          <w:sz w:val="24"/>
        </w:rPr>
        <w:t>strategy/data/ is gitignored, so a fresh clone has no data files and rebuilds them on the first run. That is expected, it just means run one needs internet.</w:t>
      </w:r>
    </w:p>
    <w:p>
      <w:r>
        <w:rPr>
          <w:rFonts w:ascii="Times New Roman" w:hAnsi="Times New Roman"/>
          <w:b w:val="0"/>
        </w:rPr>
        <w:t>Versions are pinned in requirements.txt (pandas 2.3.3, numpy 2.4.0, yfinance 1.4.1, matplotlib 3.10.8, ib_async 2.1.0, tested on Python 3.14.2). If something breaks after an upgrade, check there first.</w:t>
      </w:r>
    </w:p>
    <w:p>
      <w:pPr>
        <w:pStyle w:val="Heading1"/>
      </w:pPr>
      <w:r>
        <w:t>3. Data Sources</w:t>
      </w:r>
    </w:p>
    <w:p>
      <w:r>
        <w:rPr>
          <w:rFonts w:ascii="Times New Roman" w:hAnsi="Times New Roman"/>
          <w:b w:val="0"/>
        </w:rPr>
        <w:t>Four sources, all free, none needing an API key. There is no paid data subscription anywhere in this project, including the broker. Each one has a live proof-of-access cell in connectivity_notebook.ipynb.</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736"/>
            <w:shd w:val="clear" w:fill="E8E8E8"/>
          </w:tcPr>
          <w:p>
            <w:pPr>
              <w:spacing w:after="20" w:before="20" w:line="240" w:lineRule="auto"/>
            </w:pPr>
            <w:r/>
            <w:r>
              <w:rPr>
                <w:rFonts w:ascii="Times New Roman" w:hAnsi="Times New Roman"/>
                <w:b/>
                <w:sz w:val="19"/>
              </w:rPr>
              <w:t>Source</w:t>
            </w:r>
          </w:p>
        </w:tc>
        <w:tc>
          <w:tcPr>
            <w:tcW w:type="dxa" w:w="3456"/>
            <w:shd w:val="clear" w:fill="E8E8E8"/>
          </w:tcPr>
          <w:p>
            <w:pPr>
              <w:spacing w:after="20" w:before="20" w:line="240" w:lineRule="auto"/>
            </w:pPr>
            <w:r/>
            <w:r>
              <w:rPr>
                <w:rFonts w:ascii="Times New Roman" w:hAnsi="Times New Roman"/>
                <w:b/>
                <w:sz w:val="19"/>
              </w:rPr>
              <w:t>Provides</w:t>
            </w:r>
          </w:p>
        </w:tc>
        <w:tc>
          <w:tcPr>
            <w:tcW w:type="dxa" w:w="3456"/>
            <w:shd w:val="clear" w:fill="E8E8E8"/>
          </w:tcPr>
          <w:p>
            <w:pPr>
              <w:spacing w:after="20" w:before="20" w:line="240" w:lineRule="auto"/>
            </w:pPr>
            <w:r/>
            <w:r>
              <w:rPr>
                <w:rFonts w:ascii="Times New Roman" w:hAnsi="Times New Roman"/>
                <w:b/>
                <w:sz w:val="19"/>
              </w:rPr>
              <w:t>Used by the strategy?</w:t>
            </w:r>
          </w:p>
        </w:tc>
      </w:tr>
      <w:tr>
        <w:tc>
          <w:tcPr>
            <w:tcW w:type="dxa" w:w="2736"/>
          </w:tcPr>
          <w:p>
            <w:pPr>
              <w:spacing w:after="20" w:before="20" w:line="240" w:lineRule="auto"/>
            </w:pPr>
            <w:r/>
            <w:r>
              <w:rPr>
                <w:rFonts w:ascii="Times New Roman" w:hAnsi="Times New Roman"/>
                <w:sz w:val="19"/>
              </w:rPr>
              <w:t>Yahoo Finance, via yfinance</w:t>
            </w:r>
          </w:p>
        </w:tc>
        <w:tc>
          <w:tcPr>
            <w:tcW w:type="dxa" w:w="3456"/>
          </w:tcPr>
          <w:p>
            <w:pPr>
              <w:spacing w:after="20" w:before="20" w:line="240" w:lineRule="auto"/>
            </w:pPr>
            <w:r/>
            <w:r>
              <w:rPr>
                <w:rFonts w:ascii="Times New Roman" w:hAnsi="Times New Roman"/>
                <w:sz w:val="19"/>
              </w:rPr>
              <w:t>Daily adjusted closes for all 20 ETFs, and the USD/CAD rate for order sizing</w:t>
            </w:r>
          </w:p>
        </w:tc>
        <w:tc>
          <w:tcPr>
            <w:tcW w:type="dxa" w:w="3456"/>
          </w:tcPr>
          <w:p>
            <w:pPr>
              <w:spacing w:after="20" w:before="20" w:line="240" w:lineRule="auto"/>
            </w:pPr>
            <w:r/>
            <w:r>
              <w:rPr>
                <w:rFonts w:ascii="Times New Roman" w:hAnsi="Times New Roman"/>
                <w:sz w:val="19"/>
              </w:rPr>
              <w:t>Yes, the signal depends on it</w:t>
            </w:r>
          </w:p>
        </w:tc>
      </w:tr>
      <w:tr>
        <w:tc>
          <w:tcPr>
            <w:tcW w:type="dxa" w:w="2736"/>
          </w:tcPr>
          <w:p>
            <w:pPr>
              <w:spacing w:after="20" w:before="20" w:line="240" w:lineRule="auto"/>
            </w:pPr>
            <w:r/>
            <w:r>
              <w:rPr>
                <w:rFonts w:ascii="Times New Roman" w:hAnsi="Times New Roman"/>
                <w:sz w:val="19"/>
              </w:rPr>
              <w:t>FRED, series DGS3MO</w:t>
            </w:r>
          </w:p>
        </w:tc>
        <w:tc>
          <w:tcPr>
            <w:tcW w:type="dxa" w:w="3456"/>
          </w:tcPr>
          <w:p>
            <w:pPr>
              <w:spacing w:after="20" w:before="20" w:line="240" w:lineRule="auto"/>
            </w:pPr>
            <w:r/>
            <w:r>
              <w:rPr>
                <w:rFonts w:ascii="Times New Roman" w:hAnsi="Times New Roman"/>
                <w:sz w:val="19"/>
              </w:rPr>
              <w:t>3 month T-bill rate</w:t>
            </w:r>
          </w:p>
        </w:tc>
        <w:tc>
          <w:tcPr>
            <w:tcW w:type="dxa" w:w="3456"/>
          </w:tcPr>
          <w:p>
            <w:pPr>
              <w:spacing w:after="20" w:before="20" w:line="240" w:lineRule="auto"/>
            </w:pPr>
            <w:r/>
            <w:r>
              <w:rPr>
                <w:rFonts w:ascii="Times New Roman" w:hAnsi="Times New Roman"/>
                <w:sz w:val="19"/>
              </w:rPr>
              <w:t>Yes, for the hurdle, cash returns and Sharpe</w:t>
            </w:r>
          </w:p>
        </w:tc>
      </w:tr>
      <w:tr>
        <w:tc>
          <w:tcPr>
            <w:tcW w:type="dxa" w:w="2736"/>
          </w:tcPr>
          <w:p>
            <w:pPr>
              <w:spacing w:after="20" w:before="20" w:line="240" w:lineRule="auto"/>
            </w:pPr>
            <w:r/>
            <w:r>
              <w:rPr>
                <w:rFonts w:ascii="Times New Roman" w:hAnsi="Times New Roman"/>
                <w:sz w:val="19"/>
              </w:rPr>
              <w:t>Local Parquet cache, strategy/data/</w:t>
            </w:r>
          </w:p>
        </w:tc>
        <w:tc>
          <w:tcPr>
            <w:tcW w:type="dxa" w:w="3456"/>
          </w:tcPr>
          <w:p>
            <w:pPr>
              <w:spacing w:after="20" w:before="20" w:line="240" w:lineRule="auto"/>
            </w:pPr>
            <w:r/>
            <w:r>
              <w:rPr>
                <w:rFonts w:ascii="Times New Roman" w:hAnsi="Times New Roman"/>
                <w:sz w:val="19"/>
              </w:rPr>
              <w:t>Stored copy of the two feeds above</w:t>
            </w:r>
          </w:p>
        </w:tc>
        <w:tc>
          <w:tcPr>
            <w:tcW w:type="dxa" w:w="3456"/>
          </w:tcPr>
          <w:p>
            <w:pPr>
              <w:spacing w:after="20" w:before="20" w:line="240" w:lineRule="auto"/>
            </w:pPr>
            <w:r/>
            <w:r>
              <w:rPr>
                <w:rFonts w:ascii="Times New Roman" w:hAnsi="Times New Roman"/>
                <w:sz w:val="19"/>
              </w:rPr>
              <w:t>Yes, read on every run</w:t>
            </w:r>
          </w:p>
        </w:tc>
      </w:tr>
      <w:tr>
        <w:tc>
          <w:tcPr>
            <w:tcW w:type="dxa" w:w="2736"/>
          </w:tcPr>
          <w:p>
            <w:pPr>
              <w:spacing w:after="20" w:before="20" w:line="240" w:lineRule="auto"/>
            </w:pPr>
            <w:r/>
            <w:r>
              <w:rPr>
                <w:rFonts w:ascii="Times New Roman" w:hAnsi="Times New Roman"/>
                <w:sz w:val="19"/>
              </w:rPr>
              <w:t>Ken French Data Library</w:t>
            </w:r>
          </w:p>
        </w:tc>
        <w:tc>
          <w:tcPr>
            <w:tcW w:type="dxa" w:w="3456"/>
          </w:tcPr>
          <w:p>
            <w:pPr>
              <w:spacing w:after="20" w:before="20" w:line="240" w:lineRule="auto"/>
            </w:pPr>
            <w:r/>
            <w:r>
              <w:rPr>
                <w:rFonts w:ascii="Times New Roman" w:hAnsi="Times New Roman"/>
                <w:sz w:val="19"/>
              </w:rPr>
              <w:t>Fama-French factors and momentum</w:t>
            </w:r>
          </w:p>
        </w:tc>
        <w:tc>
          <w:tcPr>
            <w:tcW w:type="dxa" w:w="3456"/>
          </w:tcPr>
          <w:p>
            <w:pPr>
              <w:spacing w:after="20" w:before="20" w:line="240" w:lineRule="auto"/>
            </w:pPr>
            <w:r/>
            <w:r>
              <w:rPr>
                <w:rFonts w:ascii="Times New Roman" w:hAnsi="Times New Roman"/>
                <w:sz w:val="19"/>
              </w:rPr>
              <w:t>No, kept for a future factor regression</w:t>
            </w:r>
          </w:p>
        </w:tc>
      </w:tr>
      <w:tr>
        <w:tc>
          <w:tcPr>
            <w:tcW w:type="dxa" w:w="2736"/>
          </w:tcPr>
          <w:p>
            <w:pPr>
              <w:spacing w:after="20" w:before="20" w:line="240" w:lineRule="auto"/>
            </w:pPr>
            <w:r/>
            <w:r>
              <w:rPr>
                <w:rFonts w:ascii="Times New Roman" w:hAnsi="Times New Roman"/>
                <w:sz w:val="19"/>
              </w:rPr>
              <w:t>Interactive Brokers, via ib_async</w:t>
            </w:r>
          </w:p>
        </w:tc>
        <w:tc>
          <w:tcPr>
            <w:tcW w:type="dxa" w:w="3456"/>
          </w:tcPr>
          <w:p>
            <w:pPr>
              <w:spacing w:after="20" w:before="20" w:line="240" w:lineRule="auto"/>
            </w:pPr>
            <w:r/>
            <w:r>
              <w:rPr>
                <w:rFonts w:ascii="Times New Roman" w:hAnsi="Times New Roman"/>
                <w:sz w:val="19"/>
              </w:rPr>
              <w:t>Account value, positions, order execution</w:t>
            </w:r>
          </w:p>
        </w:tc>
        <w:tc>
          <w:tcPr>
            <w:tcW w:type="dxa" w:w="3456"/>
          </w:tcPr>
          <w:p>
            <w:pPr>
              <w:spacing w:after="20" w:before="20" w:line="240" w:lineRule="auto"/>
            </w:pPr>
            <w:r/>
            <w:r>
              <w:rPr>
                <w:rFonts w:ascii="Times New Roman" w:hAnsi="Times New Roman"/>
                <w:sz w:val="19"/>
              </w:rPr>
              <w:t>Execution only, not a data source</w:t>
            </w:r>
          </w:p>
        </w:tc>
      </w:tr>
    </w:tbl>
    <w:p>
      <w:pPr>
        <w:spacing w:after="0"/>
      </w:pPr>
    </w:p>
    <w:p>
      <w:r>
        <w:rPr>
          <w:rFonts w:ascii="Times New Roman" w:hAnsi="Times New Roman"/>
          <w:b/>
          <w:sz w:val="24"/>
        </w:rPr>
        <w:t xml:space="preserve">Two things worth knowing. </w:t>
      </w:r>
      <w:r>
        <w:rPr>
          <w:rFonts w:ascii="Times New Roman" w:hAnsi="Times New Roman"/>
          <w:b w:val="0"/>
          <w:sz w:val="24"/>
        </w:rPr>
        <w:t>yfinance is an unofficial scraper of a free endpoint, so it can return a bad row or break without warning. Every script prints the date its data runs through, so a stale pull is visible before any order goes out. And FRED publishes with a lag, so in the first days of a month the current rate does not exist yet. The code refuses to generate a signal until it does, because a missing rate reads as "everything fails the hurdle" and would dump the whole book to cash for no market reason.</w:t>
      </w:r>
    </w:p>
    <w:p>
      <w:pPr>
        <w:pStyle w:val="Heading1"/>
      </w:pPr>
      <w:r>
        <w:t>4. The Strategy, in Short</w:t>
      </w:r>
    </w:p>
    <w:p>
      <w:r>
        <w:rPr>
          <w:rFonts w:ascii="Times New Roman" w:hAnsi="Times New Roman"/>
          <w:b w:val="0"/>
        </w:rPr>
        <w:t>A rule based tactical ETF rotation strategy. Long only, no leverage, no shorts, no single stocks. It trades 20 liquid ETFs and rebalances monthly, splitting into two independent engines. Full rules are in strategy/README.md Section 4; the concepts behind them, with worked examples, are in concepts_notebook-2.ipynb.</w:t>
      </w:r>
    </w:p>
    <w:p>
      <w:r>
        <w:rPr>
          <w:rFonts w:ascii="Times New Roman" w:hAnsi="Times New Roman"/>
          <w:b/>
          <w:sz w:val="24"/>
        </w:rPr>
        <w:t xml:space="preserve">Style engine, 65%. </w:t>
      </w:r>
      <w:r>
        <w:rPr>
          <w:rFonts w:ascii="Times New Roman" w:hAnsi="Times New Roman"/>
          <w:b w:val="0"/>
          <w:sz w:val="24"/>
        </w:rPr>
        <w:t>Holds the single strongest of seven broad equity exposures (SPY, QQQ, IWM, EFA, EEM, IWF, IWD), ranked on a composite of 3, 6 and 12 month returns. It only holds equities if the pick beats T-bills over the trailing 12 or 6 month window. If nothing clears that bar it moves to IEF, and only if IEF clears the same bar, otherwise cash. That second check is what kept it out of bonds in 2022.</w:t>
      </w:r>
    </w:p>
    <w:p>
      <w:r>
        <w:rPr>
          <w:rFonts w:ascii="Times New Roman" w:hAnsi="Times New Roman"/>
          <w:b/>
          <w:sz w:val="24"/>
        </w:rPr>
        <w:t xml:space="preserve">Sector engine, 35%. </w:t>
      </w:r>
      <w:r>
        <w:rPr>
          <w:rFonts w:ascii="Times New Roman" w:hAnsi="Times New Roman"/>
          <w:b w:val="0"/>
          <w:sz w:val="24"/>
        </w:rPr>
        <w:t>Holds the top four of eleven US sector ETFs, equal weighted. This is where the game theory sits: the sectors are treated as players in a congestion game, each earning its momentum score minus a tax that grows with how much capital already sits in correlated sectors. The equilibrium ranking picks the holdings, which stops the sleeve buying four versions of the same trade. The tax also counts the 65% the style engine is holding, so the two sleeves cannot quietly stack the same bet. On top of that, if SPY closes below its 231 day average the whole sleeve goes defensive, returning only once SPY closes above its 63 day average. Exit slow, re-enter fast.</w:t>
      </w:r>
    </w:p>
    <w:p>
      <w:r>
        <w:rPr>
          <w:rFonts w:ascii="Times New Roman" w:hAnsi="Times New Roman"/>
          <w:b/>
          <w:sz w:val="24"/>
        </w:rPr>
        <w:t xml:space="preserve">One control is switched off. </w:t>
      </w:r>
      <w:r>
        <w:rPr>
          <w:rFonts w:ascii="Times New Roman" w:hAnsi="Times New Roman"/>
          <w:b w:val="0"/>
          <w:sz w:val="24"/>
        </w:rPr>
        <w:t>A book level volatility throttle (BOOK_VT) is retained in the code but set to 0. It is a risk dial, not an edge: it cost about 1%/yr of return to buy 0.02 of Sharpe, and it cut exposure right as the fast re-entry rules bought back in, costing 9.7 points in 2020 alone. Setting BOOK_VT = 0.15 re-arms it. That is a risk appetite decision, which is why it is one exposed constant rather than buried logic.</w:t>
      </w:r>
    </w:p>
    <w:p>
      <w:r>
        <w:rPr>
          <w:rFonts w:ascii="Times New Roman" w:hAnsi="Times New Roman"/>
          <w:b w:val="0"/>
        </w:rPr>
        <w:t>Results, 2001 to today, net of 10bps costs, executed at the next day's close:</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456"/>
            <w:shd w:val="clear" w:fill="E8E8E8"/>
          </w:tcPr>
          <w:p>
            <w:pPr>
              <w:spacing w:after="20" w:before="20" w:line="240" w:lineRule="auto"/>
            </w:pPr>
            <w:r/>
            <w:r>
              <w:rPr>
                <w:rFonts w:ascii="Times New Roman" w:hAnsi="Times New Roman"/>
                <w:b/>
                <w:sz w:val="19"/>
              </w:rPr>
              <w:t>Period</w:t>
            </w:r>
          </w:p>
        </w:tc>
        <w:tc>
          <w:tcPr>
            <w:tcW w:type="dxa" w:w="1296"/>
            <w:shd w:val="clear" w:fill="E8E8E8"/>
          </w:tcPr>
          <w:p>
            <w:pPr>
              <w:spacing w:after="20" w:before="20" w:line="240" w:lineRule="auto"/>
            </w:pPr>
            <w:r/>
            <w:r>
              <w:rPr>
                <w:rFonts w:ascii="Times New Roman" w:hAnsi="Times New Roman"/>
                <w:b/>
                <w:sz w:val="19"/>
              </w:rPr>
              <w:t>Sharpe</w:t>
            </w:r>
          </w:p>
        </w:tc>
        <w:tc>
          <w:tcPr>
            <w:tcW w:type="dxa" w:w="1584"/>
            <w:shd w:val="clear" w:fill="E8E8E8"/>
          </w:tcPr>
          <w:p>
            <w:pPr>
              <w:spacing w:after="20" w:before="20" w:line="240" w:lineRule="auto"/>
            </w:pPr>
            <w:r/>
            <w:r>
              <w:rPr>
                <w:rFonts w:ascii="Times New Roman" w:hAnsi="Times New Roman"/>
                <w:b/>
                <w:sz w:val="19"/>
              </w:rPr>
              <w:t>Ann. return</w:t>
            </w:r>
          </w:p>
        </w:tc>
        <w:tc>
          <w:tcPr>
            <w:tcW w:type="dxa" w:w="1872"/>
            <w:shd w:val="clear" w:fill="E8E8E8"/>
          </w:tcPr>
          <w:p>
            <w:pPr>
              <w:spacing w:after="20" w:before="20" w:line="240" w:lineRule="auto"/>
            </w:pPr>
            <w:r/>
            <w:r>
              <w:rPr>
                <w:rFonts w:ascii="Times New Roman" w:hAnsi="Times New Roman"/>
                <w:b/>
                <w:sz w:val="19"/>
              </w:rPr>
              <w:t>Max drawdown</w:t>
            </w:r>
          </w:p>
        </w:tc>
        <w:tc>
          <w:tcPr>
            <w:tcW w:type="dxa" w:w="1296"/>
            <w:shd w:val="clear" w:fill="E8E8E8"/>
          </w:tcPr>
          <w:p>
            <w:pPr>
              <w:spacing w:after="20" w:before="20" w:line="240" w:lineRule="auto"/>
            </w:pPr>
            <w:r/>
            <w:r>
              <w:rPr>
                <w:rFonts w:ascii="Times New Roman" w:hAnsi="Times New Roman"/>
                <w:b/>
                <w:sz w:val="19"/>
              </w:rPr>
              <w:t>t-stat</w:t>
            </w:r>
          </w:p>
        </w:tc>
      </w:tr>
      <w:tr>
        <w:tc>
          <w:tcPr>
            <w:tcW w:type="dxa" w:w="3456"/>
          </w:tcPr>
          <w:p>
            <w:pPr>
              <w:spacing w:after="20" w:before="20" w:line="240" w:lineRule="auto"/>
            </w:pPr>
            <w:r/>
            <w:r>
              <w:rPr>
                <w:rFonts w:ascii="Times New Roman" w:hAnsi="Times New Roman"/>
                <w:sz w:val="19"/>
              </w:rPr>
              <w:t>Book, in sample 2001 to 2018</w:t>
            </w:r>
          </w:p>
        </w:tc>
        <w:tc>
          <w:tcPr>
            <w:tcW w:type="dxa" w:w="1296"/>
          </w:tcPr>
          <w:p>
            <w:pPr>
              <w:spacing w:after="20" w:before="20" w:line="240" w:lineRule="auto"/>
            </w:pPr>
            <w:r/>
            <w:r>
              <w:rPr>
                <w:rFonts w:ascii="Times New Roman" w:hAnsi="Times New Roman"/>
                <w:sz w:val="19"/>
              </w:rPr>
              <w:t>+0.92</w:t>
            </w:r>
          </w:p>
        </w:tc>
        <w:tc>
          <w:tcPr>
            <w:tcW w:type="dxa" w:w="1584"/>
          </w:tcPr>
          <w:p>
            <w:pPr>
              <w:spacing w:after="20" w:before="20" w:line="240" w:lineRule="auto"/>
            </w:pPr>
            <w:r/>
            <w:r>
              <w:rPr>
                <w:rFonts w:ascii="Times New Roman" w:hAnsi="Times New Roman"/>
                <w:sz w:val="19"/>
              </w:rPr>
              <w:t>+13.0%</w:t>
            </w:r>
          </w:p>
        </w:tc>
        <w:tc>
          <w:tcPr>
            <w:tcW w:type="dxa" w:w="1872"/>
          </w:tcPr>
          <w:p>
            <w:pPr>
              <w:spacing w:after="20" w:before="20" w:line="240" w:lineRule="auto"/>
            </w:pPr>
            <w:r/>
            <w:r>
              <w:rPr>
                <w:rFonts w:ascii="Times New Roman" w:hAnsi="Times New Roman"/>
                <w:sz w:val="19"/>
              </w:rPr>
              <w:t>-18%</w:t>
            </w:r>
          </w:p>
        </w:tc>
        <w:tc>
          <w:tcPr>
            <w:tcW w:type="dxa" w:w="1296"/>
          </w:tcPr>
          <w:p>
            <w:pPr>
              <w:spacing w:after="20" w:before="20" w:line="240" w:lineRule="auto"/>
            </w:pPr>
            <w:r/>
            <w:r>
              <w:rPr>
                <w:rFonts w:ascii="Times New Roman" w:hAnsi="Times New Roman"/>
                <w:sz w:val="19"/>
              </w:rPr>
              <w:t>+4.27</w:t>
            </w:r>
          </w:p>
        </w:tc>
      </w:tr>
      <w:tr>
        <w:tc>
          <w:tcPr>
            <w:tcW w:type="dxa" w:w="3456"/>
          </w:tcPr>
          <w:p>
            <w:pPr>
              <w:spacing w:after="20" w:before="20" w:line="240" w:lineRule="auto"/>
            </w:pPr>
            <w:r/>
            <w:r>
              <w:rPr>
                <w:rFonts w:ascii="Times New Roman" w:hAnsi="Times New Roman"/>
                <w:sz w:val="19"/>
              </w:rPr>
              <w:t>Book, 2019 to today</w:t>
            </w:r>
          </w:p>
        </w:tc>
        <w:tc>
          <w:tcPr>
            <w:tcW w:type="dxa" w:w="1296"/>
          </w:tcPr>
          <w:p>
            <w:pPr>
              <w:spacing w:after="20" w:before="20" w:line="240" w:lineRule="auto"/>
            </w:pPr>
            <w:r/>
            <w:r>
              <w:rPr>
                <w:rFonts w:ascii="Times New Roman" w:hAnsi="Times New Roman"/>
                <w:sz w:val="19"/>
              </w:rPr>
              <w:t>+0.90</w:t>
            </w:r>
          </w:p>
        </w:tc>
        <w:tc>
          <w:tcPr>
            <w:tcW w:type="dxa" w:w="1584"/>
          </w:tcPr>
          <w:p>
            <w:pPr>
              <w:spacing w:after="20" w:before="20" w:line="240" w:lineRule="auto"/>
            </w:pPr>
            <w:r/>
            <w:r>
              <w:rPr>
                <w:rFonts w:ascii="Times New Roman" w:hAnsi="Times New Roman"/>
                <w:sz w:val="19"/>
              </w:rPr>
              <w:t>+15.1%</w:t>
            </w:r>
          </w:p>
        </w:tc>
        <w:tc>
          <w:tcPr>
            <w:tcW w:type="dxa" w:w="1872"/>
          </w:tcPr>
          <w:p>
            <w:pPr>
              <w:spacing w:after="20" w:before="20" w:line="240" w:lineRule="auto"/>
            </w:pPr>
            <w:r/>
            <w:r>
              <w:rPr>
                <w:rFonts w:ascii="Times New Roman" w:hAnsi="Times New Roman"/>
                <w:sz w:val="19"/>
              </w:rPr>
              <w:t>-19%</w:t>
            </w:r>
          </w:p>
        </w:tc>
        <w:tc>
          <w:tcPr>
            <w:tcW w:type="dxa" w:w="1296"/>
          </w:tcPr>
          <w:p>
            <w:pPr>
              <w:spacing w:after="20" w:before="20" w:line="240" w:lineRule="auto"/>
            </w:pPr>
            <w:r/>
            <w:r>
              <w:rPr>
                <w:rFonts w:ascii="Times New Roman" w:hAnsi="Times New Roman"/>
                <w:sz w:val="19"/>
              </w:rPr>
              <w:t>+3.06</w:t>
            </w:r>
          </w:p>
        </w:tc>
      </w:tr>
      <w:tr>
        <w:tc>
          <w:tcPr>
            <w:tcW w:type="dxa" w:w="3456"/>
          </w:tcPr>
          <w:p>
            <w:pPr>
              <w:spacing w:after="20" w:before="20" w:line="240" w:lineRule="auto"/>
            </w:pPr>
            <w:r/>
            <w:r>
              <w:rPr>
                <w:rFonts w:ascii="Times New Roman" w:hAnsi="Times New Roman"/>
                <w:sz w:val="19"/>
              </w:rPr>
              <w:t>Book, full period</w:t>
            </w:r>
          </w:p>
        </w:tc>
        <w:tc>
          <w:tcPr>
            <w:tcW w:type="dxa" w:w="1296"/>
          </w:tcPr>
          <w:p>
            <w:pPr>
              <w:spacing w:after="20" w:before="20" w:line="240" w:lineRule="auto"/>
            </w:pPr>
            <w:r/>
            <w:r>
              <w:rPr>
                <w:rFonts w:ascii="Times New Roman" w:hAnsi="Times New Roman"/>
                <w:sz w:val="19"/>
              </w:rPr>
              <w:t>+0.92</w:t>
            </w:r>
          </w:p>
        </w:tc>
        <w:tc>
          <w:tcPr>
            <w:tcW w:type="dxa" w:w="1584"/>
          </w:tcPr>
          <w:p>
            <w:pPr>
              <w:spacing w:after="20" w:before="20" w:line="240" w:lineRule="auto"/>
            </w:pPr>
            <w:r/>
            <w:r>
              <w:rPr>
                <w:rFonts w:ascii="Times New Roman" w:hAnsi="Times New Roman"/>
                <w:sz w:val="19"/>
              </w:rPr>
              <w:t>+13.6%</w:t>
            </w:r>
          </w:p>
        </w:tc>
        <w:tc>
          <w:tcPr>
            <w:tcW w:type="dxa" w:w="1872"/>
          </w:tcPr>
          <w:p>
            <w:pPr>
              <w:spacing w:after="20" w:before="20" w:line="240" w:lineRule="auto"/>
            </w:pPr>
            <w:r/>
            <w:r>
              <w:rPr>
                <w:rFonts w:ascii="Times New Roman" w:hAnsi="Times New Roman"/>
                <w:sz w:val="19"/>
              </w:rPr>
              <w:t>-19%</w:t>
            </w:r>
          </w:p>
        </w:tc>
        <w:tc>
          <w:tcPr>
            <w:tcW w:type="dxa" w:w="1296"/>
          </w:tcPr>
          <w:p>
            <w:pPr>
              <w:spacing w:after="20" w:before="20" w:line="240" w:lineRule="auto"/>
            </w:pPr>
            <w:r/>
            <w:r>
              <w:rPr>
                <w:rFonts w:ascii="Times New Roman" w:hAnsi="Times New Roman"/>
                <w:sz w:val="19"/>
              </w:rPr>
              <w:t>+5.26</w:t>
            </w:r>
          </w:p>
        </w:tc>
      </w:tr>
      <w:tr>
        <w:tc>
          <w:tcPr>
            <w:tcW w:type="dxa" w:w="3456"/>
          </w:tcPr>
          <w:p>
            <w:pPr>
              <w:spacing w:after="20" w:before="20" w:line="240" w:lineRule="auto"/>
            </w:pPr>
            <w:r/>
            <w:r>
              <w:rPr>
                <w:rFonts w:ascii="Times New Roman" w:hAnsi="Times New Roman"/>
                <w:sz w:val="19"/>
              </w:rPr>
              <w:t>SPY, full period</w:t>
            </w:r>
          </w:p>
        </w:tc>
        <w:tc>
          <w:tcPr>
            <w:tcW w:type="dxa" w:w="1296"/>
          </w:tcPr>
          <w:p>
            <w:pPr>
              <w:spacing w:after="20" w:before="20" w:line="240" w:lineRule="auto"/>
            </w:pPr>
            <w:r/>
            <w:r>
              <w:rPr>
                <w:rFonts w:ascii="Times New Roman" w:hAnsi="Times New Roman"/>
                <w:sz w:val="19"/>
              </w:rPr>
              <w:t>+0.53</w:t>
            </w:r>
          </w:p>
        </w:tc>
        <w:tc>
          <w:tcPr>
            <w:tcW w:type="dxa" w:w="1584"/>
          </w:tcPr>
          <w:p>
            <w:pPr>
              <w:spacing w:after="20" w:before="20" w:line="240" w:lineRule="auto"/>
            </w:pPr>
            <w:r/>
            <w:r>
              <w:rPr>
                <w:rFonts w:ascii="Times New Roman" w:hAnsi="Times New Roman"/>
                <w:sz w:val="19"/>
              </w:rPr>
              <w:t>+9.1%</w:t>
            </w:r>
          </w:p>
        </w:tc>
        <w:tc>
          <w:tcPr>
            <w:tcW w:type="dxa" w:w="1872"/>
          </w:tcPr>
          <w:p>
            <w:pPr>
              <w:spacing w:after="20" w:before="20" w:line="240" w:lineRule="auto"/>
            </w:pPr>
            <w:r/>
            <w:r>
              <w:rPr>
                <w:rFonts w:ascii="Times New Roman" w:hAnsi="Times New Roman"/>
                <w:sz w:val="19"/>
              </w:rPr>
              <w:t>-51%</w:t>
            </w:r>
          </w:p>
        </w:tc>
        <w:tc>
          <w:tcPr>
            <w:tcW w:type="dxa" w:w="1296"/>
          </w:tcPr>
          <w:p>
            <w:pPr>
              <w:spacing w:after="20" w:before="20" w:line="240" w:lineRule="auto"/>
            </w:pPr>
            <w:r/>
            <w:r>
              <w:rPr>
                <w:rFonts w:ascii="Times New Roman" w:hAnsi="Times New Roman"/>
                <w:sz w:val="19"/>
              </w:rPr>
              <w:t>+3.32</w:t>
            </w:r>
          </w:p>
        </w:tc>
      </w:tr>
      <w:tr>
        <w:tc>
          <w:tcPr>
            <w:tcW w:type="dxa" w:w="3456"/>
          </w:tcPr>
          <w:p>
            <w:pPr>
              <w:spacing w:after="20" w:before="20" w:line="240" w:lineRule="auto"/>
            </w:pPr>
            <w:r/>
            <w:r>
              <w:rPr>
                <w:rFonts w:ascii="Times New Roman" w:hAnsi="Times New Roman"/>
                <w:sz w:val="19"/>
              </w:rPr>
              <w:t>60/40 portfolio, full period</w:t>
            </w:r>
          </w:p>
        </w:tc>
        <w:tc>
          <w:tcPr>
            <w:tcW w:type="dxa" w:w="1296"/>
          </w:tcPr>
          <w:p>
            <w:pPr>
              <w:spacing w:after="20" w:before="20" w:line="240" w:lineRule="auto"/>
            </w:pPr>
            <w:r/>
            <w:r>
              <w:rPr>
                <w:rFonts w:ascii="Times New Roman" w:hAnsi="Times New Roman"/>
                <w:sz w:val="19"/>
              </w:rPr>
              <w:t>+0.55</w:t>
            </w:r>
          </w:p>
        </w:tc>
        <w:tc>
          <w:tcPr>
            <w:tcW w:type="dxa" w:w="1584"/>
          </w:tcPr>
          <w:p>
            <w:pPr>
              <w:spacing w:after="20" w:before="20" w:line="240" w:lineRule="auto"/>
            </w:pPr>
            <w:r/>
            <w:r>
              <w:rPr>
                <w:rFonts w:ascii="Times New Roman" w:hAnsi="Times New Roman"/>
                <w:sz w:val="19"/>
              </w:rPr>
              <w:t>+6.9%</w:t>
            </w:r>
          </w:p>
        </w:tc>
        <w:tc>
          <w:tcPr>
            <w:tcW w:type="dxa" w:w="1872"/>
          </w:tcPr>
          <w:p>
            <w:pPr>
              <w:spacing w:after="20" w:before="20" w:line="240" w:lineRule="auto"/>
            </w:pPr>
            <w:r/>
            <w:r>
              <w:rPr>
                <w:rFonts w:ascii="Times New Roman" w:hAnsi="Times New Roman"/>
                <w:sz w:val="19"/>
              </w:rPr>
              <w:t>-32%</w:t>
            </w:r>
          </w:p>
        </w:tc>
        <w:tc>
          <w:tcPr>
            <w:tcW w:type="dxa" w:w="1296"/>
          </w:tcPr>
          <w:p>
            <w:pPr>
              <w:spacing w:after="20" w:before="20" w:line="240" w:lineRule="auto"/>
            </w:pPr>
            <w:r/>
            <w:r>
              <w:rPr>
                <w:rFonts w:ascii="Times New Roman" w:hAnsi="Times New Roman"/>
                <w:sz w:val="19"/>
              </w:rPr>
              <w:t>+3.78</w:t>
            </w:r>
          </w:p>
        </w:tc>
      </w:tr>
    </w:tbl>
    <w:p>
      <w:pPr>
        <w:spacing w:after="0"/>
      </w:pPr>
    </w:p>
    <w:p>
      <w:r>
        <w:rPr>
          <w:rFonts w:ascii="Times New Roman" w:hAnsi="Times New Roman"/>
          <w:b w:val="0"/>
        </w:rPr>
        <w:t>Sharpe is excess of the 3 month T-bill. Full period alpha is +7.0%/yr at a beta of 0.63, measured against SPY alone rather than a factor model. Two caveats that belong next to the table: since 2019 the book and SPY have the same Sharpe, so the whole risk-adjusted edge in this sample comes from the two crashes inside 2001 to 2018, and the 2019 onward period is no longer a clean holdout because recent changes were evaluated against it.</w:t>
      </w:r>
    </w:p>
    <w:p>
      <w:pPr>
        <w:pStyle w:val="Heading1"/>
      </w:pPr>
      <w:r>
        <w:t>5. Interactive Brokers Setup</w:t>
      </w:r>
    </w:p>
    <w:p>
      <w:r>
        <w:rPr>
          <w:rFonts w:ascii="Times New Roman" w:hAnsi="Times New Roman"/>
          <w:b w:val="0"/>
        </w:rPr>
        <w:t>Only needed if you are running the monthly rebalance. Fiddly once, then never again.</w:t>
      </w:r>
    </w:p>
    <w:p>
      <w:r>
        <w:rPr>
          <w:rFonts w:ascii="Times New Roman" w:hAnsi="Times New Roman"/>
          <w:b w:val="0"/>
        </w:rPr>
        <w:t>The paper account has its own username and password, separate from the main login. Create it in Client Portal under Settings, Account Settings, Paper Trading Account. Paper account numbers start with DU, and that prefix is what the safety guard in the code checks. Then install Trader Workstation from interactivebrokers.com and log into it with the paper credentials. The IBKR Desktop and mobile apps do not expose the API, so it has to be TWS.</w:t>
      </w:r>
    </w:p>
    <w:p>
      <w:r>
        <w:rPr>
          <w:rFonts w:ascii="Times New Roman" w:hAnsi="Times New Roman"/>
          <w:b/>
          <w:sz w:val="24"/>
        </w:rPr>
        <w:t xml:space="preserve">Turning the API on is the step everyone forgets. </w:t>
      </w:r>
      <w:r>
        <w:rPr>
          <w:rFonts w:ascii="Times New Roman" w:hAnsi="Times New Roman"/>
          <w:b w:val="0"/>
          <w:sz w:val="24"/>
        </w:rPr>
        <w:t>In TWS: File, Global Configuration, API, Settings. Check "Enable ActiveX and Socket Clients", set the socket port to 7497, add 127.0.0.1 to Trusted IPs, and make sure "Read-Only API" is UNCHECKED, because checked means orders cannot be placed. The first connection each session also pops a blue accept dialog inside TWS.</w:t>
      </w:r>
    </w:p>
    <w:p>
      <w:r>
        <w:rPr>
          <w:rFonts w:ascii="Times New Roman" w:hAnsi="Times New Roman"/>
          <w:b w:val="0"/>
        </w:rPr>
        <w:t>Connection settings live in one file, strategy/live/ib_config.py: host 127.0.0.1, port 7497, client id 17, and REQUIRE_PAPER_ACCOUNT set to True. The port is what selects the app and the account type. TWS paper is 7497 and TWS live is 7496; IB Gateway is 4002 and 4001. That single digit is the whole difference between simulated and real money, which is why the paper account guard exists as a second, independent check.</w:t>
      </w:r>
    </w:p>
    <w:p>
      <w:r>
        <w:rPr>
          <w:rFonts w:ascii="Times New Roman" w:hAnsi="Times New Roman"/>
          <w:b/>
          <w:sz w:val="24"/>
        </w:rPr>
        <w:t xml:space="preserve">One local quirk. </w:t>
      </w:r>
      <w:r>
        <w:rPr>
          <w:rFonts w:ascii="Times New Roman" w:hAnsi="Times New Roman"/>
          <w:b w:val="0"/>
          <w:sz w:val="24"/>
        </w:rPr>
        <w:t>The paper account is in CAD and every ETF prices in USD, so the script converts the account value to USD before sizing. Size off the raw number instead and you buy about 35% too much of everything. The dry run prints both figures and the rate it used.</w:t>
      </w:r>
    </w:p>
    <w:p>
      <w:pPr>
        <w:pStyle w:val="Heading1"/>
      </w:pPr>
      <w:r>
        <w:t>6. Running the Monthly Rebalance</w:t>
      </w:r>
    </w:p>
    <w:p>
      <w:r>
        <w:rPr>
          <w:rFonts w:ascii="Times New Roman" w:hAnsi="Times New Roman"/>
          <w:b w:val="0"/>
        </w:rPr>
        <w:t>On the last trading day of the month, near the close. Market-on-Close orders must reach IBKR before roughly 15:50 ET, and the script warns you if you are late.</w:t>
      </w:r>
    </w:p>
    <w:p>
      <w:pPr>
        <w:spacing w:after="40"/>
        <w:ind w:left="432" w:hanging="432"/>
      </w:pPr>
      <w:r>
        <w:rPr>
          <w:rFonts w:ascii="Times New Roman" w:hAnsi="Times New Roman"/>
          <w:sz w:val="24"/>
        </w:rPr>
        <w:t>1.</w:t>
        <w:tab/>
      </w:r>
      <w:r>
        <w:rPr>
          <w:rFonts w:ascii="Times New Roman" w:hAnsi="Times New Roman"/>
          <w:sz w:val="24"/>
        </w:rPr>
        <w:t>Open TWS and log into the paper account.</w:t>
      </w:r>
    </w:p>
    <w:p>
      <w:pPr>
        <w:spacing w:after="40"/>
        <w:ind w:left="432" w:hanging="432"/>
      </w:pPr>
      <w:r>
        <w:rPr>
          <w:rFonts w:ascii="Times New Roman" w:hAnsi="Times New Roman"/>
          <w:sz w:val="24"/>
        </w:rPr>
        <w:t>2.</w:t>
        <w:tab/>
      </w:r>
      <w:r>
        <w:rPr>
          <w:rFonts w:ascii="Times New Roman" w:hAnsi="Times New Roman"/>
          <w:sz w:val="24"/>
        </w:rPr>
        <w:t>python3 strategy/live/ib_test.py, a read only check. It prints the DU account, its value and current positions. If it fails, the error names the setup step to fix.</w:t>
      </w:r>
    </w:p>
    <w:p>
      <w:pPr>
        <w:spacing w:after="40"/>
        <w:ind w:left="432" w:hanging="432"/>
      </w:pPr>
      <w:r>
        <w:rPr>
          <w:rFonts w:ascii="Times New Roman" w:hAnsi="Times New Roman"/>
          <w:sz w:val="24"/>
        </w:rPr>
        <w:t>3.</w:t>
        <w:tab/>
      </w:r>
      <w:r>
        <w:rPr>
          <w:rFonts w:ascii="Times New Roman" w:hAnsi="Times New Roman"/>
          <w:sz w:val="24"/>
        </w:rPr>
        <w:t>python3 strategy/live/execute_rebalance.py --refresh, the dry run. Read the ticket properly: target percentage, what you hold, what you want, the delta and the notional per name. Check the signal date is the month that just ended.</w:t>
      </w:r>
    </w:p>
    <w:p>
      <w:pPr>
        <w:spacing w:after="40"/>
        <w:ind w:left="432" w:hanging="432"/>
      </w:pPr>
      <w:r>
        <w:rPr>
          <w:rFonts w:ascii="Times New Roman" w:hAnsi="Times New Roman"/>
          <w:sz w:val="24"/>
        </w:rPr>
        <w:t>4.</w:t>
        <w:tab/>
      </w:r>
      <w:r>
        <w:rPr>
          <w:rFonts w:ascii="Times New Roman" w:hAnsi="Times New Roman"/>
          <w:sz w:val="24"/>
        </w:rPr>
        <w:t>If it looks right, add --live and type "yes" at the prompt. Sells go before buys so cash is freed first.</w:t>
      </w:r>
    </w:p>
    <w:p>
      <w:pPr>
        <w:spacing w:after="40"/>
        <w:ind w:left="432" w:hanging="432"/>
      </w:pPr>
      <w:r>
        <w:rPr>
          <w:rFonts w:ascii="Times New Roman" w:hAnsi="Times New Roman"/>
          <w:sz w:val="24"/>
        </w:rPr>
        <w:t>5.</w:t>
        <w:tab/>
      </w:r>
      <w:r>
        <w:rPr>
          <w:rFonts w:ascii="Times New Roman" w:hAnsi="Times New Roman"/>
          <w:sz w:val="24"/>
        </w:rPr>
        <w:t>Next morning, run ib_test.py again to confirm fills, and save a screenshot. A dated record of real fills each month is worth more than any backtest table.</w:t>
      </w:r>
    </w:p>
    <w:p>
      <w:r>
        <w:rPr>
          <w:rFonts w:ascii="Times New Roman" w:hAnsi="Times New Roman"/>
          <w:b/>
          <w:sz w:val="24"/>
        </w:rPr>
        <w:t xml:space="preserve">If the dry run looks wrong, stop. </w:t>
      </w:r>
      <w:r>
        <w:rPr>
          <w:rFonts w:ascii="Times New Roman" w:hAnsi="Times New Roman"/>
          <w:b w:val="0"/>
          <w:sz w:val="24"/>
        </w:rPr>
        <w:t>There is no penalty for rebalancing a day late. There is a real penalty for transmitting a ticket you did not understand.</w:t>
      </w:r>
    </w:p>
    <w:p>
      <w:r>
        <w:rPr>
          <w:rFonts w:ascii="Times New Roman" w:hAnsi="Times New Roman"/>
          <w:b/>
          <w:sz w:val="24"/>
        </w:rPr>
        <w:t xml:space="preserve">Safety rails already in the code: </w:t>
      </w:r>
      <w:r>
        <w:rPr>
          <w:rFonts w:ascii="Times New Roman" w:hAnsi="Times New Roman"/>
          <w:b w:val="0"/>
          <w:sz w:val="24"/>
        </w:rPr>
        <w:t>dry run is the default and nothing trades without --live; it refuses any account not starting with D; it aborts if a single order exceeds 90% of account value; it warns past the MOC cutoff; it requires a typed confirmation; it refuses to signal on an unfinished month; and it skips any ticker with a missing price rather than sizing off garbage.</w:t>
      </w:r>
    </w:p>
    <w:p>
      <w:pPr>
        <w:pStyle w:val="Heading1"/>
      </w:pPr>
      <w:r>
        <w:t>7. When It Breaks</w:t>
      </w:r>
    </w:p>
    <w:tbl>
      <w:tblPr>
        <w:tblStyle w:val="TableGrid"/>
        <w:tblW w:type="auto" w:w="0"/>
        <w:jc w:val="center"/>
        <w:tblLayout w:type="fixed"/>
        <w:tblLook w:firstColumn="1" w:firstRow="1" w:lastColumn="0" w:lastRow="0" w:noHBand="0" w:noVBand="1" w:val="04A0"/>
      </w:tblPr>
      <w:tblGrid>
        <w:gridCol w:w="4824"/>
        <w:gridCol w:w="4824"/>
      </w:tblGrid>
      <w:tr>
        <w:tc>
          <w:tcPr>
            <w:tcW w:type="dxa" w:w="3024"/>
            <w:shd w:val="clear" w:fill="E8E8E8"/>
          </w:tcPr>
          <w:p>
            <w:pPr>
              <w:spacing w:after="20" w:before="20" w:line="240" w:lineRule="auto"/>
            </w:pPr>
            <w:r/>
            <w:r>
              <w:rPr>
                <w:rFonts w:ascii="Times New Roman" w:hAnsi="Times New Roman"/>
                <w:b/>
                <w:sz w:val="19"/>
              </w:rPr>
              <w:t>Symptom</w:t>
            </w:r>
          </w:p>
        </w:tc>
        <w:tc>
          <w:tcPr>
            <w:tcW w:type="dxa" w:w="6624"/>
            <w:shd w:val="clear" w:fill="E8E8E8"/>
          </w:tcPr>
          <w:p>
            <w:pPr>
              <w:spacing w:after="20" w:before="20" w:line="240" w:lineRule="auto"/>
            </w:pPr>
            <w:r/>
            <w:r>
              <w:rPr>
                <w:rFonts w:ascii="Times New Roman" w:hAnsi="Times New Roman"/>
                <w:b/>
                <w:sz w:val="19"/>
              </w:rPr>
              <w:t>Cause and fix</w:t>
            </w:r>
          </w:p>
        </w:tc>
      </w:tr>
      <w:tr>
        <w:tc>
          <w:tcPr>
            <w:tcW w:type="dxa" w:w="3024"/>
          </w:tcPr>
          <w:p>
            <w:pPr>
              <w:spacing w:after="20" w:before="20" w:line="240" w:lineRule="auto"/>
            </w:pPr>
            <w:r/>
            <w:r>
              <w:rPr>
                <w:rFonts w:ascii="Times New Roman" w:hAnsi="Times New Roman"/>
                <w:sz w:val="19"/>
              </w:rPr>
              <w:t>Connection refused or timeout</w:t>
            </w:r>
          </w:p>
        </w:tc>
        <w:tc>
          <w:tcPr>
            <w:tcW w:type="dxa" w:w="6624"/>
          </w:tcPr>
          <w:p>
            <w:pPr>
              <w:spacing w:after="20" w:before="20" w:line="240" w:lineRule="auto"/>
            </w:pPr>
            <w:r/>
            <w:r>
              <w:rPr>
                <w:rFonts w:ascii="Times New Roman" w:hAnsi="Times New Roman"/>
                <w:sz w:val="19"/>
              </w:rPr>
              <w:t>TWS not running, not logged in, or the API is off. Re-check Section 5 and that the port matches.</w:t>
            </w:r>
          </w:p>
        </w:tc>
      </w:tr>
      <w:tr>
        <w:tc>
          <w:tcPr>
            <w:tcW w:type="dxa" w:w="3024"/>
          </w:tcPr>
          <w:p>
            <w:pPr>
              <w:spacing w:after="20" w:before="20" w:line="240" w:lineRule="auto"/>
            </w:pPr>
            <w:r/>
            <w:r>
              <w:rPr>
                <w:rFonts w:ascii="Times New Roman" w:hAnsi="Times New Roman"/>
                <w:sz w:val="19"/>
              </w:rPr>
              <w:t>Connects but orders rejected</w:t>
            </w:r>
          </w:p>
        </w:tc>
        <w:tc>
          <w:tcPr>
            <w:tcW w:type="dxa" w:w="6624"/>
          </w:tcPr>
          <w:p>
            <w:pPr>
              <w:spacing w:after="20" w:before="20" w:line="240" w:lineRule="auto"/>
            </w:pPr>
            <w:r/>
            <w:r>
              <w:rPr>
                <w:rFonts w:ascii="Times New Roman" w:hAnsi="Times New Roman"/>
                <w:sz w:val="19"/>
              </w:rPr>
              <w:t>"Read-Only API" is checked in TWS. Uncheck it.</w:t>
            </w:r>
          </w:p>
        </w:tc>
      </w:tr>
      <w:tr>
        <w:tc>
          <w:tcPr>
            <w:tcW w:type="dxa" w:w="3024"/>
          </w:tcPr>
          <w:p>
            <w:pPr>
              <w:spacing w:after="20" w:before="20" w:line="240" w:lineRule="auto"/>
            </w:pPr>
            <w:r/>
            <w:r>
              <w:rPr>
                <w:rFonts w:ascii="Times New Roman" w:hAnsi="Times New Roman"/>
                <w:sz w:val="19"/>
              </w:rPr>
              <w:t>Script hangs on first connect</w:t>
            </w:r>
          </w:p>
        </w:tc>
        <w:tc>
          <w:tcPr>
            <w:tcW w:type="dxa" w:w="6624"/>
          </w:tcPr>
          <w:p>
            <w:pPr>
              <w:spacing w:after="20" w:before="20" w:line="240" w:lineRule="auto"/>
            </w:pPr>
            <w:r/>
            <w:r>
              <w:rPr>
                <w:rFonts w:ascii="Times New Roman" w:hAnsi="Times New Roman"/>
                <w:sz w:val="19"/>
              </w:rPr>
              <w:t>TWS is showing an accept dialog. Accept it, and add 127.0.0.1 to Trusted IPs.</w:t>
            </w:r>
          </w:p>
        </w:tc>
      </w:tr>
      <w:tr>
        <w:tc>
          <w:tcPr>
            <w:tcW w:type="dxa" w:w="3024"/>
          </w:tcPr>
          <w:p>
            <w:pPr>
              <w:spacing w:after="20" w:before="20" w:line="240" w:lineRule="auto"/>
            </w:pPr>
            <w:r/>
            <w:r>
              <w:rPr>
                <w:rFonts w:ascii="Times New Roman" w:hAnsi="Times New Roman"/>
                <w:sz w:val="19"/>
              </w:rPr>
              <w:t>"no valid formation date"</w:t>
            </w:r>
          </w:p>
        </w:tc>
        <w:tc>
          <w:tcPr>
            <w:tcW w:type="dxa" w:w="6624"/>
          </w:tcPr>
          <w:p>
            <w:pPr>
              <w:spacing w:after="20" w:before="20" w:line="240" w:lineRule="auto"/>
            </w:pPr>
            <w:r/>
            <w:r>
              <w:rPr>
                <w:rFonts w:ascii="Times New Roman" w:hAnsi="Times New Roman"/>
                <w:sz w:val="19"/>
              </w:rPr>
              <w:t>Working as intended. The month has not ended or FRED has not published yet. Wait a day.</w:t>
            </w:r>
          </w:p>
        </w:tc>
      </w:tr>
      <w:tr>
        <w:tc>
          <w:tcPr>
            <w:tcW w:type="dxa" w:w="3024"/>
          </w:tcPr>
          <w:p>
            <w:pPr>
              <w:spacing w:after="20" w:before="20" w:line="240" w:lineRule="auto"/>
            </w:pPr>
            <w:r/>
            <w:r>
              <w:rPr>
                <w:rFonts w:ascii="Times New Roman" w:hAnsi="Times New Roman"/>
                <w:sz w:val="19"/>
              </w:rPr>
              <w:t>Order sizes look far too big</w:t>
            </w:r>
          </w:p>
        </w:tc>
        <w:tc>
          <w:tcPr>
            <w:tcW w:type="dxa" w:w="6624"/>
          </w:tcPr>
          <w:p>
            <w:pPr>
              <w:spacing w:after="20" w:before="20" w:line="240" w:lineRule="auto"/>
            </w:pPr>
            <w:r/>
            <w:r>
              <w:rPr>
                <w:rFonts w:ascii="Times New Roman" w:hAnsi="Times New Roman"/>
                <w:sz w:val="19"/>
              </w:rPr>
              <w:t>The FX conversion failed or used a stale rate. Check the printed FX line before confirming.</w:t>
            </w:r>
          </w:p>
        </w:tc>
      </w:tr>
      <w:tr>
        <w:tc>
          <w:tcPr>
            <w:tcW w:type="dxa" w:w="3024"/>
          </w:tcPr>
          <w:p>
            <w:pPr>
              <w:spacing w:after="20" w:before="20" w:line="240" w:lineRule="auto"/>
            </w:pPr>
            <w:r/>
            <w:r>
              <w:rPr>
                <w:rFonts w:ascii="Times New Roman" w:hAnsi="Times New Roman"/>
                <w:sz w:val="19"/>
              </w:rPr>
              <w:t>MOC orders rejected</w:t>
            </w:r>
          </w:p>
        </w:tc>
        <w:tc>
          <w:tcPr>
            <w:tcW w:type="dxa" w:w="6624"/>
          </w:tcPr>
          <w:p>
            <w:pPr>
              <w:spacing w:after="20" w:before="20" w:line="240" w:lineRule="auto"/>
            </w:pPr>
            <w:r/>
            <w:r>
              <w:rPr>
                <w:rFonts w:ascii="Times New Roman" w:hAnsi="Times New Roman"/>
                <w:sz w:val="19"/>
              </w:rPr>
              <w:t>Past the 15:50 ET cutoff. Wait for the next trading day.</w:t>
            </w:r>
          </w:p>
        </w:tc>
      </w:tr>
    </w:tbl>
    <w:p>
      <w:pPr>
        <w:spacing w:after="0"/>
      </w:pPr>
    </w:p>
    <w:p>
      <w:pPr>
        <w:pStyle w:val="Heading1"/>
      </w:pPr>
      <w:r>
        <w:t>8. For New Members</w:t>
      </w:r>
    </w:p>
    <w:p>
      <w:r>
        <w:rPr>
          <w:rFonts w:ascii="Times New Roman" w:hAnsi="Times New Roman"/>
          <w:b w:val="0"/>
        </w:rPr>
        <w:t>Read in this order: this document, then strategy/README.md (the real model documentation, especially Sections 6 and 7, which are the honest ones and the parts that get asked about), then concepts_notebook-2.ipynb, which explains every concept the strategy uses with a worked example and doubles as the glossary. connectivity_notebook.ipynb proves each data source connects. SUMMER_SUMMARY.md covers the six designs built and the three rejected, which is more useful than only knowing what survived.</w:t>
      </w:r>
    </w:p>
    <w:p>
      <w:r>
        <w:rPr>
          <w:rFonts w:ascii="Times New Roman" w:hAnsi="Times New Roman"/>
          <w:b w:val="0"/>
        </w:rPr>
        <w:t>Ground rules:</w:t>
      </w:r>
    </w:p>
    <w:p>
      <w:pPr>
        <w:pStyle w:val="ListBullet"/>
        <w:spacing w:after="40"/>
      </w:pPr>
      <w:r>
        <w:rPr>
          <w:rFonts w:ascii="Times New Roman" w:hAnsi="Times New Roman"/>
          <w:sz w:val="24"/>
        </w:rPr>
        <w:t>Never commit credentials. Nothing here needs an API key, so if you are adding one, stop and ask.</w:t>
      </w:r>
    </w:p>
    <w:p>
      <w:pPr>
        <w:pStyle w:val="ListBullet"/>
        <w:spacing w:after="40"/>
      </w:pPr>
      <w:r>
        <w:rPr>
          <w:rFonts w:ascii="Times New Roman" w:hAnsi="Times New Roman"/>
          <w:sz w:val="24"/>
        </w:rPr>
        <w:t>Do not change constants in strategy_lib.py and leave them changed. Branch, test, and bring the in-sample and out-of-sample effect separately.</w:t>
      </w:r>
    </w:p>
    <w:p>
      <w:pPr>
        <w:pStyle w:val="ListBullet"/>
        <w:spacing w:after="40"/>
      </w:pPr>
      <w:r>
        <w:rPr>
          <w:rFonts w:ascii="Times New Roman" w:hAnsi="Times New Roman"/>
          <w:sz w:val="24"/>
        </w:rPr>
        <w:t>Do not run anything with --live until you have watched a full monthly cycle with someone who has done it before.</w:t>
      </w:r>
    </w:p>
    <w:p>
      <w:pPr>
        <w:pStyle w:val="ListBullet"/>
        <w:spacing w:after="40"/>
      </w:pPr>
      <w:r>
        <w:rPr>
          <w:rFonts w:ascii="Times New Roman" w:hAnsi="Times New Roman"/>
          <w:sz w:val="24"/>
        </w:rPr>
        <w:t>Any change to the strategy or this setup gets a line in the change log.</w:t>
      </w:r>
    </w:p>
    <w:p>
      <w:pPr>
        <w:pStyle w:val="ListBullet"/>
        <w:spacing w:after="40"/>
      </w:pPr>
      <w:r>
        <w:rPr>
          <w:rFonts w:ascii="Times New Roman" w:hAnsi="Times New Roman"/>
          <w:sz w:val="24"/>
        </w:rPr>
        <w:t>Ask early. The TWS setup catches everyone once, and the fix is usually one checkbox.</w:t>
      </w:r>
    </w:p>
    <w:p>
      <w:pPr>
        <w:pStyle w:val="Heading1"/>
      </w:pPr>
      <w:r>
        <w:t>9. Known Limitations</w:t>
      </w:r>
    </w:p>
    <w:p>
      <w:pPr>
        <w:pStyle w:val="ListBullet"/>
        <w:spacing w:after="40"/>
      </w:pPr>
      <w:r>
        <w:rPr>
          <w:rFonts w:ascii="Times New Roman" w:hAnsi="Times New Roman"/>
          <w:sz w:val="24"/>
        </w:rPr>
        <w:t>Run by hand once a month. A scheduled job is a later step, once the manual process has been trusted for a few cycles.</w:t>
      </w:r>
    </w:p>
    <w:p>
      <w:pPr>
        <w:pStyle w:val="ListBullet"/>
        <w:spacing w:after="40"/>
      </w:pPr>
      <w:r>
        <w:rPr>
          <w:rFonts w:ascii="Times New Roman" w:hAnsi="Times New Roman"/>
          <w:sz w:val="24"/>
        </w:rPr>
        <w:t>Whole shares only, sized off the last close. Fine at this account size.</w:t>
      </w:r>
    </w:p>
    <w:p>
      <w:pPr>
        <w:pStyle w:val="ListBullet"/>
        <w:spacing w:after="40"/>
      </w:pPr>
      <w:r>
        <w:rPr>
          <w:rFonts w:ascii="Times New Roman" w:hAnsi="Times New Roman"/>
          <w:sz w:val="24"/>
        </w:rPr>
        <w:t>One laptop, one free data vendor. A second price source for cross checking is the obvious next piece of infrastructure.</w:t>
      </w:r>
    </w:p>
    <w:p>
      <w:pPr>
        <w:pStyle w:val="ListBullet"/>
        <w:spacing w:after="40"/>
      </w:pPr>
      <w:r>
        <w:rPr>
          <w:rFonts w:ascii="Times New Roman" w:hAnsi="Times New Roman"/>
          <w:sz w:val="24"/>
        </w:rPr>
        <w:t>2019 onward is not a clean holdout, since recent changes were evaluated against it.</w:t>
      </w:r>
    </w:p>
    <w:p>
      <w:pPr>
        <w:pStyle w:val="ListBullet"/>
        <w:spacing w:after="40"/>
      </w:pPr>
      <w:r>
        <w:rPr>
          <w:rFonts w:ascii="Times New Roman" w:hAnsi="Times New Roman"/>
          <w:sz w:val="24"/>
        </w:rPr>
        <w:t>No automated tests, and no factor regression of the book's returns. Both are small, self contained jobs for the fall.</w:t>
      </w:r>
    </w:p>
    <w:p>
      <w:pPr>
        <w:pStyle w:val="Heading1"/>
      </w:pPr>
      <w:r>
        <w:t>10. References</w:t>
      </w:r>
    </w:p>
    <w:p>
      <w:r>
        <w:rPr>
          <w:rFonts w:ascii="Times New Roman" w:hAnsi="Times New Roman"/>
          <w:b w:val="0"/>
        </w:rPr>
        <w:t>Jegadeesh and Titman (1993), "Returns to Buying Winners and Selling Losers", Journal of Finance. The original momentum result, behind the 3, 6 and 12 month scoring.</w:t>
      </w:r>
    </w:p>
    <w:p>
      <w:r>
        <w:rPr>
          <w:rFonts w:ascii="Times New Roman" w:hAnsi="Times New Roman"/>
          <w:b w:val="0"/>
        </w:rPr>
        <w:t>Moskowitz, Ooi and Pedersen (2012), "Time Series Momentum", Journal of Financial Economics. Momentum against an asset's own history, behind the T-bill hurdle.</w:t>
      </w:r>
    </w:p>
    <w:p>
      <w:r>
        <w:rPr>
          <w:rFonts w:ascii="Times New Roman" w:hAnsi="Times New Roman"/>
          <w:b w:val="0"/>
        </w:rPr>
        <w:t>Faber (2007), "A Quantitative Approach to Tactical Asset Allocation", Journal of Wealth Management. Moving average trend following, behind the 231/63 day regime filter.</w:t>
      </w:r>
    </w:p>
    <w:p>
      <w:r>
        <w:rPr>
          <w:rFonts w:ascii="Times New Roman" w:hAnsi="Times New Roman"/>
          <w:b w:val="0"/>
        </w:rPr>
        <w:t>Rosenthal (1973), "A Class of Games Possessing Pure-Strategy Nash Equilibria", International Journal of Game Theory. The congestion game behind the sector crowding tax.</w:t>
      </w:r>
    </w:p>
    <w:p>
      <w:r>
        <w:rPr>
          <w:rFonts w:ascii="Times New Roman" w:hAnsi="Times New Roman"/>
          <w:b w:val="0"/>
        </w:rPr>
        <w:t>Repository: https://github.com/quanttqueensu/Momentum-Game-Theory   |   FRED DGS3MO: https://fred.stlouisfed.org/series/DGS3MO   |   ib_async: https://github.com/ib-api-reloaded/ib_async</w:t>
      </w:r>
    </w:p>
    <w:p>
      <w:pPr>
        <w:pStyle w:val="Heading1"/>
      </w:pPr>
      <w:r>
        <w:t>11. Change Log</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E8E8"/>
          </w:tcPr>
          <w:p>
            <w:pPr>
              <w:spacing w:after="20" w:before="20" w:line="240" w:lineRule="auto"/>
            </w:pPr>
            <w:r/>
            <w:r>
              <w:rPr>
                <w:rFonts w:ascii="Times New Roman" w:hAnsi="Times New Roman"/>
                <w:b/>
                <w:sz w:val="19"/>
              </w:rPr>
              <w:t>Date</w:t>
            </w:r>
          </w:p>
        </w:tc>
        <w:tc>
          <w:tcPr>
            <w:tcW w:type="dxa" w:w="792"/>
            <w:shd w:val="clear" w:fill="E8E8E8"/>
          </w:tcPr>
          <w:p>
            <w:pPr>
              <w:spacing w:after="20" w:before="20" w:line="240" w:lineRule="auto"/>
            </w:pPr>
            <w:r/>
            <w:r>
              <w:rPr>
                <w:rFonts w:ascii="Times New Roman" w:hAnsi="Times New Roman"/>
                <w:b/>
                <w:sz w:val="19"/>
              </w:rPr>
              <w:t>Ver.</w:t>
            </w:r>
          </w:p>
        </w:tc>
        <w:tc>
          <w:tcPr>
            <w:tcW w:type="dxa" w:w="5976"/>
            <w:shd w:val="clear" w:fill="E8E8E8"/>
          </w:tcPr>
          <w:p>
            <w:pPr>
              <w:spacing w:after="20" w:before="20" w:line="240" w:lineRule="auto"/>
            </w:pPr>
            <w:r/>
            <w:r>
              <w:rPr>
                <w:rFonts w:ascii="Times New Roman" w:hAnsi="Times New Roman"/>
                <w:b/>
                <w:sz w:val="19"/>
              </w:rPr>
              <w:t>Change</w:t>
            </w:r>
          </w:p>
        </w:tc>
        <w:tc>
          <w:tcPr>
            <w:tcW w:type="dxa" w:w="1440"/>
            <w:shd w:val="clear" w:fill="E8E8E8"/>
          </w:tcPr>
          <w:p>
            <w:pPr>
              <w:spacing w:after="20" w:before="20" w:line="240" w:lineRule="auto"/>
            </w:pPr>
            <w:r/>
            <w:r>
              <w:rPr>
                <w:rFonts w:ascii="Times New Roman" w:hAnsi="Times New Roman"/>
                <w:b/>
                <w:sz w:val="19"/>
              </w:rPr>
              <w:t>By</w:t>
            </w:r>
          </w:p>
        </w:tc>
      </w:tr>
      <w:tr>
        <w:tc>
          <w:tcPr>
            <w:tcW w:type="dxa" w:w="1440"/>
          </w:tcPr>
          <w:p>
            <w:pPr>
              <w:spacing w:after="20" w:before="20" w:line="240" w:lineRule="auto"/>
            </w:pPr>
            <w:r/>
            <w:r>
              <w:rPr>
                <w:rFonts w:ascii="Times New Roman" w:hAnsi="Times New Roman"/>
                <w:sz w:val="19"/>
              </w:rPr>
              <w:t>2026-08-16</w:t>
            </w:r>
          </w:p>
        </w:tc>
        <w:tc>
          <w:tcPr>
            <w:tcW w:type="dxa" w:w="792"/>
          </w:tcPr>
          <w:p>
            <w:pPr>
              <w:spacing w:after="20" w:before="20" w:line="240" w:lineRule="auto"/>
            </w:pPr>
            <w:r/>
            <w:r>
              <w:rPr>
                <w:rFonts w:ascii="Times New Roman" w:hAnsi="Times New Roman"/>
                <w:sz w:val="19"/>
              </w:rPr>
              <w:t>1.0</w:t>
            </w:r>
          </w:p>
        </w:tc>
        <w:tc>
          <w:tcPr>
            <w:tcW w:type="dxa" w:w="5976"/>
          </w:tcPr>
          <w:p>
            <w:pPr>
              <w:spacing w:after="20" w:before="20" w:line="240" w:lineRule="auto"/>
            </w:pPr>
            <w:r/>
            <w:r>
              <w:rPr>
                <w:rFonts w:ascii="Times New Roman" w:hAnsi="Times New Roman"/>
                <w:sz w:val="19"/>
              </w:rPr>
              <w:t>First version. Infrastructure as of the end of the summer build.</w:t>
            </w:r>
          </w:p>
        </w:tc>
        <w:tc>
          <w:tcPr>
            <w:tcW w:type="dxa" w:w="1440"/>
          </w:tcPr>
          <w:p>
            <w:pPr>
              <w:spacing w:after="20" w:before="20" w:line="240" w:lineRule="auto"/>
            </w:pPr>
            <w:r/>
            <w:r>
              <w:rPr>
                <w:rFonts w:ascii="Times New Roman" w:hAnsi="Times New Roman"/>
                <w:sz w:val="19"/>
              </w:rPr>
              <w:t>H. Hayes</w:t>
            </w:r>
          </w:p>
        </w:tc>
      </w:tr>
      <w:tr>
        <w:tc>
          <w:tcPr>
            <w:tcW w:type="dxa" w:w="1440"/>
          </w:tcPr>
          <w:p>
            <w:pPr>
              <w:spacing w:after="20" w:before="20" w:line="240" w:lineRule="auto"/>
            </w:pPr>
            <w:r/>
            <w:r>
              <w:rPr>
                <w:rFonts w:ascii="Times New Roman" w:hAnsi="Times New Roman"/>
                <w:sz w:val="19"/>
              </w:rPr>
            </w:r>
          </w:p>
        </w:tc>
        <w:tc>
          <w:tcPr>
            <w:tcW w:type="dxa" w:w="792"/>
          </w:tcPr>
          <w:p>
            <w:pPr>
              <w:spacing w:after="20" w:before="20" w:line="240" w:lineRule="auto"/>
            </w:pPr>
            <w:r/>
            <w:r>
              <w:rPr>
                <w:rFonts w:ascii="Times New Roman" w:hAnsi="Times New Roman"/>
                <w:sz w:val="19"/>
              </w:rPr>
            </w:r>
          </w:p>
        </w:tc>
        <w:tc>
          <w:tcPr>
            <w:tcW w:type="dxa" w:w="5976"/>
          </w:tcPr>
          <w:p>
            <w:pPr>
              <w:spacing w:after="20" w:before="20" w:line="240" w:lineRule="auto"/>
            </w:pPr>
            <w:r/>
            <w:r>
              <w:rPr>
                <w:rFonts w:ascii="Times New Roman" w:hAnsi="Times New Roman"/>
                <w:sz w:val="19"/>
              </w:rPr>
            </w:r>
          </w:p>
        </w:tc>
        <w:tc>
          <w:tcPr>
            <w:tcW w:type="dxa" w:w="1440"/>
          </w:tcPr>
          <w:p>
            <w:pPr>
              <w:spacing w:after="20" w:before="20" w:line="240" w:lineRule="auto"/>
            </w:pPr>
            <w:r/>
            <w:r>
              <w:rPr>
                <w:rFonts w:ascii="Times New Roman" w:hAnsi="Times New Roman"/>
                <w:sz w:val="19"/>
              </w:rPr>
            </w:r>
          </w:p>
        </w:tc>
      </w:tr>
      <w:tr>
        <w:tc>
          <w:tcPr>
            <w:tcW w:type="dxa" w:w="1440"/>
          </w:tcPr>
          <w:p>
            <w:pPr>
              <w:spacing w:after="20" w:before="20" w:line="240" w:lineRule="auto"/>
            </w:pPr>
            <w:r/>
            <w:r>
              <w:rPr>
                <w:rFonts w:ascii="Times New Roman" w:hAnsi="Times New Roman"/>
                <w:sz w:val="19"/>
              </w:rPr>
            </w:r>
          </w:p>
        </w:tc>
        <w:tc>
          <w:tcPr>
            <w:tcW w:type="dxa" w:w="792"/>
          </w:tcPr>
          <w:p>
            <w:pPr>
              <w:spacing w:after="20" w:before="20" w:line="240" w:lineRule="auto"/>
            </w:pPr>
            <w:r/>
            <w:r>
              <w:rPr>
                <w:rFonts w:ascii="Times New Roman" w:hAnsi="Times New Roman"/>
                <w:sz w:val="19"/>
              </w:rPr>
            </w:r>
          </w:p>
        </w:tc>
        <w:tc>
          <w:tcPr>
            <w:tcW w:type="dxa" w:w="5976"/>
          </w:tcPr>
          <w:p>
            <w:pPr>
              <w:spacing w:after="20" w:before="20" w:line="240" w:lineRule="auto"/>
            </w:pPr>
            <w:r/>
            <w:r>
              <w:rPr>
                <w:rFonts w:ascii="Times New Roman" w:hAnsi="Times New Roman"/>
                <w:sz w:val="19"/>
              </w:rPr>
            </w:r>
          </w:p>
        </w:tc>
        <w:tc>
          <w:tcPr>
            <w:tcW w:type="dxa" w:w="1440"/>
          </w:tcPr>
          <w:p>
            <w:pPr>
              <w:spacing w:after="20" w:before="20" w:line="240" w:lineRule="auto"/>
            </w:pPr>
            <w:r/>
            <w:r>
              <w:rPr>
                <w:rFonts w:ascii="Times New Roman" w:hAnsi="Times New Roman"/>
                <w:sz w:val="19"/>
              </w:rPr>
            </w:r>
          </w:p>
        </w:tc>
      </w:tr>
      <w:tr>
        <w:tc>
          <w:tcPr>
            <w:tcW w:type="dxa" w:w="1440"/>
          </w:tcPr>
          <w:p>
            <w:pPr>
              <w:spacing w:after="20" w:before="20" w:line="240" w:lineRule="auto"/>
            </w:pPr>
            <w:r/>
            <w:r>
              <w:rPr>
                <w:rFonts w:ascii="Times New Roman" w:hAnsi="Times New Roman"/>
                <w:sz w:val="19"/>
              </w:rPr>
            </w:r>
          </w:p>
        </w:tc>
        <w:tc>
          <w:tcPr>
            <w:tcW w:type="dxa" w:w="792"/>
          </w:tcPr>
          <w:p>
            <w:pPr>
              <w:spacing w:after="20" w:before="20" w:line="240" w:lineRule="auto"/>
            </w:pPr>
            <w:r/>
            <w:r>
              <w:rPr>
                <w:rFonts w:ascii="Times New Roman" w:hAnsi="Times New Roman"/>
                <w:sz w:val="19"/>
              </w:rPr>
            </w:r>
          </w:p>
        </w:tc>
        <w:tc>
          <w:tcPr>
            <w:tcW w:type="dxa" w:w="5976"/>
          </w:tcPr>
          <w:p>
            <w:pPr>
              <w:spacing w:after="20" w:before="20" w:line="240" w:lineRule="auto"/>
            </w:pPr>
            <w:r/>
            <w:r>
              <w:rPr>
                <w:rFonts w:ascii="Times New Roman" w:hAnsi="Times New Roman"/>
                <w:sz w:val="19"/>
              </w:rPr>
            </w:r>
          </w:p>
        </w:tc>
        <w:tc>
          <w:tcPr>
            <w:tcW w:type="dxa" w:w="1440"/>
          </w:tcPr>
          <w:p>
            <w:pPr>
              <w:spacing w:after="20" w:before="20" w:line="240" w:lineRule="auto"/>
            </w:pPr>
            <w:r/>
            <w:r>
              <w:rPr>
                <w:rFonts w:ascii="Times New Roman" w:hAnsi="Times New Roman"/>
                <w:sz w:val="19"/>
              </w:rPr>
            </w:r>
          </w:p>
        </w:tc>
      </w:tr>
      <w:tr>
        <w:tc>
          <w:tcPr>
            <w:tcW w:type="dxa" w:w="1440"/>
          </w:tcPr>
          <w:p>
            <w:pPr>
              <w:spacing w:after="20" w:before="20" w:line="240" w:lineRule="auto"/>
            </w:pPr>
            <w:r/>
            <w:r>
              <w:rPr>
                <w:rFonts w:ascii="Times New Roman" w:hAnsi="Times New Roman"/>
                <w:sz w:val="19"/>
              </w:rPr>
            </w:r>
          </w:p>
        </w:tc>
        <w:tc>
          <w:tcPr>
            <w:tcW w:type="dxa" w:w="792"/>
          </w:tcPr>
          <w:p>
            <w:pPr>
              <w:spacing w:after="20" w:before="20" w:line="240" w:lineRule="auto"/>
            </w:pPr>
            <w:r/>
            <w:r>
              <w:rPr>
                <w:rFonts w:ascii="Times New Roman" w:hAnsi="Times New Roman"/>
                <w:sz w:val="19"/>
              </w:rPr>
            </w:r>
          </w:p>
        </w:tc>
        <w:tc>
          <w:tcPr>
            <w:tcW w:type="dxa" w:w="5976"/>
          </w:tcPr>
          <w:p>
            <w:pPr>
              <w:spacing w:after="20" w:before="20" w:line="240" w:lineRule="auto"/>
            </w:pPr>
            <w:r/>
            <w:r>
              <w:rPr>
                <w:rFonts w:ascii="Times New Roman" w:hAnsi="Times New Roman"/>
                <w:sz w:val="19"/>
              </w:rPr>
            </w:r>
          </w:p>
        </w:tc>
        <w:tc>
          <w:tcPr>
            <w:tcW w:type="dxa" w:w="1440"/>
          </w:tcPr>
          <w:p>
            <w:pPr>
              <w:spacing w:after="20" w:before="20" w:line="240" w:lineRule="auto"/>
            </w:pPr>
            <w:r/>
            <w:r>
              <w:rPr>
                <w:rFonts w:ascii="Times New Roman" w:hAnsi="Times New Roman"/>
                <w:sz w:val="19"/>
              </w:rPr>
            </w:r>
          </w:p>
        </w:tc>
      </w:tr>
    </w:tbl>
    <w:p>
      <w:pPr>
        <w:spacing w:after="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s="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cs="Times New Roman" w:eastAsia="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