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S34增强效果-上证综指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8dc43626_491c_4cae_90f3_b947dae2c72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8dc43626_491c_4cae_90f3_b947dae2c729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1a9a1da7_280e_4806_a671_508afb0ce5e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1a9a1da7_280e_4806_a671_508afb0ce5ec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S34增强效果-上证50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613684e8_613a_4bcc_ba94_1e187aedff0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613684e8_613a_4bcc_ba94_1e187aedff0c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e6dcefe2_4b71_47c1_bdd3_03c024ad6e3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e6dcefe2_4b71_47c1_bdd3_03c024ad6e3b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S34增强效果-中证500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a4153af7_c2c0_448f_998b_7b8f5945c5e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a4153af7_c2c0_448f_998b_7b8f5945c5ed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fc45b86b_3e73_4d30_8115_db06aacc798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fc45b86b_3e73_4d30_8115_db06aacc798d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S34增强效果-沪深300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5ff8e64a_2c71_4876_b044_24a8300ccaf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5ff8e64a_2c71_4876_b044_24a8300ccafa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50598fe9_c5fb_485c_9cda_60c3784fe88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50598fe9_c5fb_485c_9cda_60c3784fe88a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