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External Anchor Heading</w:t>
      </w:r>
    </w:p>
    <w:p>
      <w:pPr>
        <w:pStyle w:val="BodyText"/>
        <w:bidi w:val="0"/>
        <w:jc w:val="left"/>
        <w:rPr/>
      </w:pPr>
      <w:r>
        <w:rPr/>
        <w:t>Plain paragraph with an ampersand &amp; and a less-than &lt;tag&gt;.</w:t>
      </w:r>
    </w:p>
    <w:p>
      <w:pPr>
        <w:pStyle w:val="BodyText"/>
        <w:bidi w:val="0"/>
        <w:jc w:val="left"/>
        <w:rPr/>
      </w:pPr>
      <w:r>
        <w:rPr>
          <w:b/>
        </w:rPr>
        <w:t>Bold run</w:t>
      </w:r>
      <w:r>
        <w:rPr/>
        <w:t xml:space="preserve"> then </w:t>
      </w:r>
      <w:r>
        <w:rPr>
          <w:i/>
        </w:rPr>
        <w:t>italic run</w:t>
      </w:r>
      <w:r>
        <w:rPr/>
        <w:t>.</w:t>
      </w:r>
    </w:p>
    <w:tbl>
      <w:tblPr>
        <w:tblW w:w="13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711"/>
      </w:tblGrid>
      <w:tr>
        <w:trPr/>
        <w:tc>
          <w:tcPr>
            <w:tcW w:w="68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R1C1</w:t>
            </w:r>
          </w:p>
        </w:tc>
        <w:tc>
          <w:tcPr>
            <w:tcW w:w="7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R1C2</w:t>
            </w:r>
          </w:p>
        </w:tc>
      </w:tr>
      <w:tr>
        <w:trPr/>
        <w:tc>
          <w:tcPr>
            <w:tcW w:w="68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R2C1</w:t>
            </w:r>
          </w:p>
        </w:tc>
        <w:tc>
          <w:tcPr>
            <w:tcW w:w="7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R2C2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