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before="0" w:after="160" w:line="264" w:lineRule="auto"/>
        <w:jc w:val="left"/>
      </w:pPr>
      <w:r>
        <w:rPr>
          <w:rFonts w:ascii="Calibri" w:hAnsi="Calibri" w:cs="Calibri"/>
          <w:b/>
          <w:color w:val="A87500"/>
          <w:sz w:val="20"/>
        </w:rPr>
        <w:t>PRODUCT CONCEPT</w:t>
      </w:r>
    </w:p>
    <w:p>
      <w:pPr>
        <w:spacing w:before="0" w:after="80" w:line="264" w:lineRule="auto"/>
      </w:pPr>
      <w:r>
        <w:rPr>
          <w:rFonts w:ascii="Calibri" w:hAnsi="Calibri" w:cs="Calibri"/>
          <w:b/>
          <w:color w:val="0B2545"/>
          <w:sz w:val="50"/>
        </w:rPr>
        <w:t>Концепция платформы сбора и доставки данных</w:t>
      </w:r>
    </w:p>
    <w:p>
      <w:pPr>
        <w:spacing w:before="0" w:after="320" w:line="276" w:lineRule="auto"/>
      </w:pPr>
      <w:r>
        <w:rPr>
          <w:rFonts w:ascii="Calibri" w:hAnsi="Calibri" w:cs="Calibri"/>
          <w:color w:val="666666"/>
          <w:sz w:val="26"/>
        </w:rPr>
        <w:t>Идея продукта для сбора данных из разных источников, нормализации изменений и выдачи в аналитические системы через CSV, SQL, Parquet и API.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00"/>
        <w:gridCol w:w="6800"/>
      </w:tblGrid>
      <w:tr>
        <w:tc>
          <w:tcPr>
            <w:tcW w:type="dxa" w:w="22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Фокус</w:t>
            </w:r>
          </w:p>
        </w:tc>
        <w:tc>
          <w:tcPr>
            <w:tcW w:type="dxa" w:w="68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</w:rPr>
              <w:t>Идея и продуктовая архитектура, без раскрытия внутренней реализации</w:t>
            </w:r>
          </w:p>
        </w:tc>
      </w:tr>
      <w:tr>
        <w:tc>
          <w:tcPr>
            <w:tcW w:type="dxa" w:w="22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Подход</w:t>
            </w:r>
          </w:p>
        </w:tc>
        <w:tc>
          <w:tcPr>
            <w:tcW w:type="dxa" w:w="68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</w:rPr>
              <w:t>Репозиторий и существующая система рассматриваются как черный ящик</w:t>
            </w:r>
          </w:p>
        </w:tc>
      </w:tr>
      <w:tr>
        <w:tc>
          <w:tcPr>
            <w:tcW w:type="dxa" w:w="22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Тех. опоры</w:t>
            </w:r>
          </w:p>
        </w:tc>
        <w:tc>
          <w:tcPr>
            <w:tcW w:type="dxa" w:w="68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</w:rPr>
              <w:t>gRPC/Protobuf для передачи изменений, Parquet для аналитической выдачи</w:t>
            </w:r>
          </w:p>
        </w:tc>
      </w:tr>
      <w:tr>
        <w:tc>
          <w:tcPr>
            <w:tcW w:type="dxa" w:w="22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Дата</w:t>
            </w:r>
          </w:p>
        </w:tc>
        <w:tc>
          <w:tcPr>
            <w:tcW w:type="dxa" w:w="68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</w:rPr>
              <w:t>22 июня 2026</w:t>
            </w:r>
          </w:p>
        </w:tc>
      </w:tr>
    </w:tbl>
    <w:p>
      <w:pPr>
        <w:spacing w:after="2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F"/>
          </w:tcPr>
          <w:p>
            <w:pPr>
              <w:spacing w:before="60" w:after="60" w:line="276" w:lineRule="auto"/>
            </w:pPr>
            <w:r>
              <w:rPr>
                <w:rFonts w:ascii="Calibri" w:hAnsi="Calibri" w:cs="Calibri"/>
                <w:b/>
                <w:color w:val="0B2545"/>
              </w:rPr>
              <w:t xml:space="preserve">Ключевая идея: </w:t>
            </w:r>
            <w:r>
              <w:rPr>
                <w:rFonts w:ascii="Calibri" w:hAnsi="Calibri" w:cs="Calibri"/>
                <w:color w:val="222222"/>
              </w:rPr>
              <w:t>платформа не является еще одним коннектором. Это доверенный слой между источниками данных и аналитикой, который принимает изменения один раз и выдает их многим потребителям в нужном формате.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Что это за проект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Это продуктовая платформа, которая стоит между источниками данных и аналитическими потребителями. Она принимает данные из разных систем, приводит их к единой логике изменений, контролирует порядок и целостность, а затем готовит удобные форматы выдачи для BI, плагинов и партнерских сервисов.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В этом документе существующий репозиторий рассматривается как черный ящик. Мы не описываем классы, структуру хранения, внутренние сервисы или технические детали реализации. Важна идея: какие проблемы решает система и как должна мыслиться похожая платформа, если начинать с нуля.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60" w:after="60" w:line="276" w:lineRule="auto"/>
            </w:pPr>
            <w:r>
              <w:rPr>
                <w:rFonts w:ascii="Calibri" w:hAnsi="Calibri" w:cs="Calibri"/>
                <w:b/>
                <w:color w:val="0B2545"/>
              </w:rPr>
              <w:t xml:space="preserve">Формула: </w:t>
            </w:r>
            <w:r>
              <w:rPr>
                <w:rFonts w:ascii="Calibri" w:hAnsi="Calibri" w:cs="Calibri"/>
                <w:color w:val="222222"/>
              </w:rPr>
              <w:t>любой источник данных подключается один раз, а результат становится доступен многим потребителям в нужном им виде.</w:t>
            </w:r>
          </w:p>
        </w:tc>
      </w:tr>
    </w:tbl>
    <w:p>
      <w:pPr>
        <w:spacing w:after="80"/>
      </w:pP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_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cs="Calibri"/>
          <w:i/>
          <w:color w:val="666666"/>
          <w:sz w:val="18"/>
        </w:rPr>
        <w:t>Инфографика 1. Продуктовая граница: источники и потребители видят платформу как черный ящик.</w:t>
      </w:r>
    </w:p>
    <w:p>
      <w:pPr>
        <w:pStyle w:val="Heading1"/>
      </w:pPr>
      <w:r>
        <w:t>2. Зачем платформа нужна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В реальности данные редко живут в одной аккуратной системе. У одного клиента это Postgres, у другого MS SQL, у третьего DBF или CSV, у четвертого SaaS API, webhooks или поток сообщений. Если каждый потребитель строит свой коннектор, возникают дублирование, расхождение логики и высокая цена поддержки.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Платформа предлагает другой центр тяжести: источники подключаются через адаптеры, а потребители получают уже нормализованный результат. Это снимает с BI-продуктов обязанность понимать каждую историческую систему клиента.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Проблема без платформы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Идея платформы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Каждый BI-продукт пишет свой коннектор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Коннекторы живут на стороне ingest-слоя, потребители читают готовую выдачу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Файлы, базы и API обрабатываются разными правилами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Все входы переводятся в общую модель изменений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Трудно понять, что уже было принято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Платформа ведет watermark и подтверждает принятый прогресс</w:t>
            </w:r>
          </w:p>
        </w:tc>
      </w:tr>
      <w:tr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Сбой часто означает ручную перезагрузку</w:t>
            </w:r>
          </w:p>
        </w:tc>
        <w:tc>
          <w:tcPr>
            <w:tcW w:type="dxa" w:w="51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Есть явная модель восстановления и полного re-baseline</w:t>
            </w:r>
          </w:p>
        </w:tc>
      </w:tr>
    </w:tbl>
    <w:p>
      <w:pPr>
        <w:spacing w:after="120"/>
      </w:pPr>
    </w:p>
    <w:p>
      <w:pPr>
        <w:pStyle w:val="Heading1"/>
      </w:pPr>
      <w:r>
        <w:t>3. Центральная идея данных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Система не должна думать в терминах конкретного источника. Ей не важно, пришли данные из Postgres, MS SQL, файла или webhook. После адаптера каждое изменение должно отвечать на простые вопросы: где оно произошло, что изменилось, к какой записи относится, в каком порядке пришло и по какой схеме его нужно понимать.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Так появляется единый язык данных. Он позволяет добавлять новые источники без переписывания выдачи для Bit BI, Power BI или партнерского API. И наоборот: можно добавить новый формат выдачи, не заставляя источники менять способ отправки данных.</w:t>
      </w:r>
    </w:p>
    <w:p>
      <w:r>
        <w:drawing>
          <wp:inline xmlns:a="http://schemas.openxmlformats.org/drawingml/2006/main" xmlns:pic="http://schemas.openxmlformats.org/drawingml/2006/picture">
            <wp:extent cx="5943600" cy="2823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ue_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cs="Calibri"/>
          <w:i/>
          <w:color w:val="666666"/>
          <w:sz w:val="18"/>
        </w:rPr>
        <w:t>Инфографика 2. Источник и потребитель развязаны через общий язык изменений.</w:t>
      </w:r>
    </w:p>
    <w:p>
      <w:pPr>
        <w:pStyle w:val="Heading1"/>
      </w:pPr>
      <w:r>
        <w:t>4. Какие источники можно собирать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Фраза “любые источники” не означает, что все источники одинаковые. Она означает, что платформа поддерживает несколько паттернов подключения, а каждый конкретный источник попадает в один из них.</w:t>
      </w:r>
    </w:p>
    <w:p>
      <w:r>
        <w:drawing>
          <wp:inline xmlns:a="http://schemas.openxmlformats.org/drawingml/2006/main" xmlns:pic="http://schemas.openxmlformats.org/drawingml/2006/picture">
            <wp:extent cx="5943600" cy="2897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cs="Calibri"/>
          <w:i/>
          <w:color w:val="666666"/>
          <w:sz w:val="18"/>
        </w:rPr>
        <w:t>Инфографика 3. Источники различаются способом чтения, но сходятся в одном продукте.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Snapshot-путь удобен для legacy-систем и файлов. Delta/CDC-путь дает экономию трафика и более быструю синхронизацию. Event stream полезен там, где данные изначально рождаются как поток событий, например уведомления, SMS, webhooks или очереди.</w:t>
      </w:r>
    </w:p>
    <w:p>
      <w:pPr>
        <w:pStyle w:val="Heading1"/>
      </w:pPr>
      <w:r>
        <w:t>5. Жизненный цикл клиента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Платформа должна быть понятной не только разработчику, но и владельцу данных. Подключение источника выглядит как управляемый жизненный цикл: получить доступ, описать данные, загрузить первую базу, дальше синхронизировать только изменения и иметь понятный путь восстановления.</w:t>
      </w:r>
    </w:p>
    <w:p>
      <w:r>
        <w:drawing>
          <wp:inline xmlns:a="http://schemas.openxmlformats.org/drawingml/2006/main" xmlns:pic="http://schemas.openxmlformats.org/drawingml/2006/picture">
            <wp:extent cx="5943600" cy="3046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cs="Calibri"/>
          <w:i/>
          <w:color w:val="666666"/>
          <w:sz w:val="18"/>
        </w:rPr>
        <w:t>Инфографика 4. Система проектируется вокруг жизненного цикла, а не вокруг одного endpoint.</w:t>
      </w:r>
    </w:p>
    <w:p>
      <w:pPr>
        <w:pStyle w:val="Heading1"/>
      </w:pPr>
      <w:r>
        <w:t>6. Почему gRPC и Protobuf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gRPC в этой идее важен не как модная технология, а как способ сделать ingest диалогом. Клиент отправляет изменения, сервер может подтверждать прогресс, требовать продолжить с конкретного места или попросить полный re-baseline. Это естественная модель для надежной синхронизации.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Что дает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Продуктовый смысл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Типизированный Protobuf-контракт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Меньше неявных договоренностей между клиентом и сервером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Bidirectional stream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Можно принимать данные и одновременно отдавать ack/recovery-сигналы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Code generation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Проще создавать клиенты для разных языков и платформ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Явная сессия</w:t>
            </w:r>
          </w:p>
        </w:tc>
        <w:tc>
          <w:tcPr>
            <w:tcW w:type="dxa" w:w="63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Один поток изменений становится понятной единицей синхронизации</w:t>
            </w:r>
          </w:p>
        </w:tc>
      </w:tr>
    </w:tbl>
    <w:p>
      <w:pPr>
        <w:spacing w:after="120"/>
      </w:pPr>
    </w:p>
    <w:p>
      <w:pPr>
        <w:spacing w:before="0" w:after="120" w:line="264" w:lineRule="auto"/>
      </w:pPr>
      <w:r>
        <w:rPr>
          <w:rFonts w:ascii="Calibri" w:hAnsi="Calibri" w:cs="Calibri"/>
        </w:rPr>
        <w:t>HTTP при этом не исчезает. Он остается хорошим выбором для административного API, legacy upload, plugin API и простых операций control plane. Идея не в том, чтобы заменить все на gRPC, а в том, чтобы использовать правильный транспорт для data plane.</w:t>
      </w:r>
    </w:p>
    <w:p>
      <w:pPr>
        <w:pStyle w:val="Heading1"/>
      </w:pPr>
      <w:r>
        <w:t>7. Почему Parquet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Parquet нужен не для приема данных, а для аналитической выдачи. Это формат, который хорошо подходит для BI-сценариев: он колонночный, типизированный, эффективно сжимается и хорошо работает с инкрементальными partition-подходами.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B"/>
          </w:tcPr>
          <w:p>
            <w:pPr>
              <w:spacing w:before="60" w:after="60" w:line="276" w:lineRule="auto"/>
            </w:pPr>
            <w:r>
              <w:rPr>
                <w:rFonts w:ascii="Calibri" w:hAnsi="Calibri" w:cs="Calibri"/>
                <w:b/>
                <w:color w:val="0B2545"/>
              </w:rPr>
              <w:t xml:space="preserve">Разделение ролей: </w:t>
            </w:r>
            <w:r>
              <w:rPr>
                <w:rFonts w:ascii="Calibri" w:hAnsi="Calibri" w:cs="Calibri"/>
                <w:color w:val="222222"/>
              </w:rPr>
              <w:t>gRPC/Protobuf отвечает за надежную передачу изменений, changelog отвечает за историю, checkpoint отвечает за восстановимое состояние, а Parquet отвечает за удобное аналитическое чтение.</w:t>
            </w:r>
          </w:p>
        </w:tc>
      </w:tr>
    </w:tbl>
    <w:p>
      <w:pPr>
        <w:spacing w:after="80"/>
      </w:pP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CSV остается полезным для legacy-совместимости и продуктов, которые уже ждут файловые снимки.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SQL остается полезным для интеграций, где результат должен быть применим к базе-потребителю.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Parquet становится основным форматом для современного BI и инкрементальной аналитики.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API нужен там, где потребитель хочет не файл, а контролируемый программный доступ.</w:t>
      </w:r>
    </w:p>
    <w:p>
      <w:pPr>
        <w:pStyle w:val="Heading1"/>
      </w:pPr>
      <w:r>
        <w:t>8. Что получает каждая роль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Роль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0B2545"/>
              </w:rPr>
              <w:t>Польза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Владелец источника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Подключает систему один раз и не проектирует отдельную интеграцию под каждого потребителя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BI-потребитель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Получает данные в привычном формате без знания внутреннего устройства источника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Администратор аккаунта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Видит статусы, ошибки, историю синхронизации и подключенные интеграции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Команда поддержки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Имеет понятные признаки прогресса, сбоя, восстановления и повторной базовой загрузки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Разработчик нового адаптера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22222"/>
                <w:sz w:val="21"/>
              </w:rPr>
              <w:t>Пишет только преобразование источника в общий язык изменений</w:t>
            </w:r>
          </w:p>
        </w:tc>
      </w:tr>
    </w:tbl>
    <w:p>
      <w:pPr>
        <w:spacing w:after="120"/>
      </w:pPr>
    </w:p>
    <w:p>
      <w:pPr>
        <w:pStyle w:val="Heading1"/>
      </w:pPr>
      <w:r>
        <w:t>9. Как строить похожий проект с нуля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Если начинать подобный продукт с чистого листа, лучше проектировать его не от базы данных и не от первого источника, а от устойчивой продуктовой идеи: источник сообщает изменения, платформа их принимает и подтверждает, потребители получают удобные проекции.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cs="Calibri"/>
        </w:rPr>
        <w:t>Определить общий язык изменений: источник, объект, операция, порядок, ключ, данные, версия схемы.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cs="Calibri"/>
        </w:rPr>
        <w:t>Отделить адаптеры источников от ядра платформы, чтобы Postgres, MS SQL, CSV и API не диктовали архитектуру.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cs="Calibri"/>
        </w:rPr>
        <w:t>Разделить control plane и data plane: управление доступом отдельно, поток данных отдельно.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cs="Calibri"/>
        </w:rPr>
        <w:t>Сделать восстановление частью продукта: watermark, ack, resume и re-baseline должны быть явными.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cs="Calibri"/>
        </w:rPr>
        <w:t>Проектировать выдачу как набор проекций: CSV, SQL, Parquet и API строятся поверх одной принятой логики.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cs="Calibri"/>
        </w:rPr>
        <w:t>Не раскрывать внутреннюю реализацию потребителям: внешний контракт важнее того, как именно система хранит состояние.</w:t>
      </w:r>
    </w:p>
    <w:p>
      <w:pPr>
        <w:pStyle w:val="Heading1"/>
      </w:pPr>
      <w:r>
        <w:t>10. Границы идеи</w:t>
      </w:r>
    </w:p>
    <w:p>
      <w:pPr>
        <w:spacing w:before="0" w:after="120" w:line="264" w:lineRule="auto"/>
      </w:pPr>
      <w:r>
        <w:rPr>
          <w:rFonts w:ascii="Calibri" w:hAnsi="Calibri" w:cs="Calibri"/>
        </w:rPr>
        <w:t>Эта концепция не требует превращать middleware в большую аналитическую базу или lakehouse с первого дня. Важнее сохранить правильные границы: источники не должны знать о BI-потребителях, потребители не должны знать о деталях источника, а продуктовая логика должна оставаться поверх внутренней реализации.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Не делаем отдельный пайплайн под каждого потребителя.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Не раскрываем внутреннюю структуру репозитория как часть продуктовой идеи.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Не смешиваем прием данных и выдачу аналитических форматов в один синхронный процесс.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Не заставляем legacy-источники сразу становиться современными stream-клиентами.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cs="Calibri"/>
        </w:rPr>
        <w:t>Не считаем Parquet заменой ingest-протокола: это формат выдачи, а не язык клиента.</w:t>
      </w:r>
    </w:p>
    <w:p>
      <w:pPr>
        <w:pStyle w:val="Heading1"/>
      </w:pPr>
      <w:r>
        <w:t>11. Итоговая формулировка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F"/>
          </w:tcPr>
          <w:p>
            <w:pPr>
              <w:spacing w:before="60" w:after="60" w:line="276" w:lineRule="auto"/>
            </w:pPr>
            <w:r>
              <w:rPr>
                <w:rFonts w:ascii="Calibri" w:hAnsi="Calibri" w:cs="Calibri"/>
                <w:b/>
                <w:color w:val="0B2545"/>
              </w:rPr>
              <w:t xml:space="preserve">Суть проекта: </w:t>
            </w:r>
            <w:r>
              <w:rPr>
                <w:rFonts w:ascii="Calibri" w:hAnsi="Calibri" w:cs="Calibri"/>
                <w:color w:val="222222"/>
              </w:rPr>
              <w:t>это универсальный слой синхронизации данных. Он принимает данные из разных источников, переводит их в общий язык изменений, хранит доверенную историю, восстанавливает актуальное состояние и выдает результат в форматах, которые нужны аналитике и интеграциям.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cs="Calibri"/>
        </w:rPr>
        <w:t>В таком виде проект можно объяснять без привязки к внутренней реализации или структуре репозитория. Технологии вроде gRPC, Protobuf и Parquet становятся не самоцелью, а выбранными инструментами для трех продуктовых свойств: надежного приема, понятного восстановления и удобной аналитической выдачи.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cs="Calibri"/>
        <w:color w:val="666666"/>
        <w:sz w:val="18"/>
      </w:rPr>
      <w:t>Финальная версия | 2026-06-22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  <w:pBdr>
        <w:bottom w:val="single" w:sz="4" w:space="4" w:color="E2E6EC"/>
      </w:pBdr>
    </w:pPr>
    <w:r>
      <w:rPr>
        <w:rFonts w:ascii="Calibri" w:hAnsi="Calibri" w:cs="Calibri"/>
        <w:color w:val="666666"/>
        <w:sz w:val="18"/>
      </w:rPr>
      <w:t>Концепция платформы сбора данных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