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QuantumRAG 기술 제안서</w:t>
      </w:r>
    </w:p>
    <w:p>
      <w:r>
        <w:t>NTT 데이터 PoC 제안서</w:t>
      </w:r>
    </w:p>
    <w:p>
      <w:r>
        <w:t>제안사: 퀀텀소프트 주식회사</w:t>
      </w:r>
    </w:p>
    <w:p>
      <w:r>
        <w:t>제안일: 2024년 11월 1일</w:t>
      </w:r>
    </w:p>
    <w:p>
      <w:r>
        <w:t>버전: v1.2 (최종)</w:t>
      </w:r>
    </w:p>
    <w:p>
      <w:pPr>
        <w:pStyle w:val="Heading1"/>
      </w:pPr>
      <w:r>
        <w:t>1. 프로젝트 개요</w:t>
      </w:r>
    </w:p>
    <w:p>
      <w:r>
        <w:t>NTT 데이터의 사내 기술 문서 검색 시스템 고도화를 위한 QuantumRAG Enterprise 도입 제안서입니다. 기존 키워드 기반 검색의 한계를 극복하고, AI 기반 의미 검색으로 개발자 생산성을 향상시키는 것을 목표로 합니다.</w:t>
      </w:r>
    </w:p>
    <w:p>
      <w:pPr>
        <w:pStyle w:val="Heading2"/>
      </w:pPr>
      <w:r>
        <w:t>1.1 프로젝트 범위</w:t>
      </w:r>
    </w:p>
    <w:p>
      <w:pPr>
        <w:pStyle w:val="ListBullet"/>
      </w:pPr>
      <w:r>
        <w:t>대상 문서: 기술 매뉴얼 12,000건 (일본어 80%, 영어 20%)</w:t>
      </w:r>
    </w:p>
    <w:p>
      <w:pPr>
        <w:pStyle w:val="ListBullet"/>
      </w:pPr>
      <w:r>
        <w:t>사용자: 개발자 500명, PM 100명</w:t>
      </w:r>
    </w:p>
    <w:p>
      <w:pPr>
        <w:pStyle w:val="ListBullet"/>
      </w:pPr>
      <w:r>
        <w:t>PoC 기간: 2024년 12월 ~ 2025년 2월 (3개월)</w:t>
      </w:r>
    </w:p>
    <w:p>
      <w:pPr>
        <w:pStyle w:val="ListBullet"/>
      </w:pPr>
      <w:r>
        <w:t>PoC 비용: 연 3.2억원 (월 약 2,667만원)</w:t>
      </w:r>
    </w:p>
    <w:p>
      <w:pPr>
        <w:pStyle w:val="ListBullet"/>
      </w:pPr>
      <w:r>
        <w:t>성공 기준: 검색 정확도 NDCG@10 ≥ 0.80, 응답 시간 ≤ 2초</w:t>
      </w:r>
    </w:p>
    <w:p>
      <w:pPr>
        <w:pStyle w:val="Heading1"/>
      </w:pPr>
      <w:r>
        <w:t>2. 기술 아키텍처</w:t>
      </w:r>
    </w:p>
    <w:p>
      <w:pPr>
        <w:pStyle w:val="Heading2"/>
      </w:pPr>
      <w:r>
        <w:t>2.1 Triple Index Fusion</w:t>
      </w:r>
    </w:p>
    <w:p>
      <w:r>
        <w:t>QuantumRAG의 핵심 검색 기술인 Triple Index Fusion은 세 가지 인덱스를 RRF(Reciprocal Rank Fusion)로 결합합니다: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인덱스</w:t>
            </w:r>
          </w:p>
        </w:tc>
        <w:tc>
          <w:tcPr>
            <w:tcW w:type="dxa" w:w="2160"/>
          </w:tcPr>
          <w:p>
            <w:r>
              <w:t>가중치</w:t>
            </w:r>
          </w:p>
        </w:tc>
        <w:tc>
          <w:tcPr>
            <w:tcW w:type="dxa" w:w="2160"/>
          </w:tcPr>
          <w:p>
            <w:r>
              <w:t>방식</w:t>
            </w:r>
          </w:p>
        </w:tc>
        <w:tc>
          <w:tcPr>
            <w:tcW w:type="dxa" w:w="2160"/>
          </w:tcPr>
          <w:p>
            <w:r>
              <w:t>강점</w:t>
            </w:r>
          </w:p>
        </w:tc>
      </w:tr>
      <w:tr>
        <w:tc>
          <w:tcPr>
            <w:tcW w:type="dxa" w:w="2160"/>
          </w:tcPr>
          <w:p>
            <w:r>
              <w:t>Original Embedding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벡터 유사도</w:t>
            </w:r>
          </w:p>
        </w:tc>
        <w:tc>
          <w:tcPr>
            <w:tcW w:type="dxa" w:w="2160"/>
          </w:tcPr>
          <w:p>
            <w:r>
              <w:t>의미적 유사 검색</w:t>
            </w:r>
          </w:p>
        </w:tc>
      </w:tr>
      <w:tr>
        <w:tc>
          <w:tcPr>
            <w:tcW w:type="dxa" w:w="2160"/>
          </w:tcPr>
          <w:p>
            <w:r>
              <w:t>HyPE Embedding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가상 질문 매칭</w:t>
            </w:r>
          </w:p>
        </w:tc>
        <w:tc>
          <w:tcPr>
            <w:tcW w:type="dxa" w:w="2160"/>
          </w:tcPr>
          <w:p>
            <w:r>
              <w:t>질문-문서 정밀 매칭</w:t>
            </w:r>
          </w:p>
        </w:tc>
      </w:tr>
      <w:tr>
        <w:tc>
          <w:tcPr>
            <w:tcW w:type="dxa" w:w="2160"/>
          </w:tcPr>
          <w:p>
            <w:r>
              <w:t>Contextual BM25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Kiwi 형태소 + 키워드</w:t>
            </w:r>
          </w:p>
        </w:tc>
        <w:tc>
          <w:tcPr>
            <w:tcW w:type="dxa" w:w="2160"/>
          </w:tcPr>
          <w:p>
            <w:r>
              <w:t>정확한 고유명사 검색</w:t>
            </w:r>
          </w:p>
        </w:tc>
      </w:tr>
    </w:tbl>
    <w:p>
      <w:pPr>
        <w:pStyle w:val="Heading2"/>
      </w:pPr>
      <w:r>
        <w:t>2.2 다국어 지원</w:t>
      </w:r>
    </w:p>
    <w:p>
      <w:r>
        <w:t>NTT 데이터의 일본어-영어 혼합 문서 환경에 최적화된 다국어 처리를 제공합니다. 일본어 형태소 분석은 MeCab을 사용하며, 한국어는 Kiwi를 지원합니다. 자동 언어 감지로 문서별 최적 분석기를 선택합니다.</w:t>
      </w:r>
    </w:p>
    <w:p>
      <w:pPr>
        <w:pStyle w:val="Heading2"/>
      </w:pPr>
      <w:r>
        <w:t>2.3 Adaptive Query Routing</w:t>
      </w:r>
    </w:p>
    <w:p>
      <w:r>
        <w:t>쿼리 복잡도를 자동 분류하여 최적의 LLM을 선택합니다:</w:t>
        <w:br/>
        <w:t>- SIMPLE (단순 사실): gpt-5.4-nano (저비용, 고속)</w:t>
        <w:br/>
        <w:t>- MEDIUM (일반 추론): gpt-5.4-mini (균형)</w:t>
        <w:br/>
        <w:t>- COMPLEX (복합 분석): Claude Sonnet (고정확도)</w:t>
        <w:br/>
        <w:br/>
        <w:t>이를 통해 월간 API 비용을 40% 이상 절감할 수 있습니다.</w:t>
      </w:r>
    </w:p>
    <w:p>
      <w:pPr>
        <w:pStyle w:val="Heading1"/>
      </w:pPr>
      <w:r>
        <w:t>3. 도입 효과 (기존 고객 사례)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고객</w:t>
            </w:r>
          </w:p>
        </w:tc>
        <w:tc>
          <w:tcPr>
            <w:tcW w:type="dxa" w:w="1728"/>
          </w:tcPr>
          <w:p>
            <w:r>
              <w:t>문서 수</w:t>
            </w:r>
          </w:p>
        </w:tc>
        <w:tc>
          <w:tcPr>
            <w:tcW w:type="dxa" w:w="1728"/>
          </w:tcPr>
          <w:p>
            <w:r>
              <w:t>검색 정확도 개선</w:t>
            </w:r>
          </w:p>
        </w:tc>
        <w:tc>
          <w:tcPr>
            <w:tcW w:type="dxa" w:w="1728"/>
          </w:tcPr>
          <w:p>
            <w:r>
              <w:t>응답 시간 개선</w:t>
            </w:r>
          </w:p>
        </w:tc>
        <w:tc>
          <w:tcPr>
            <w:tcW w:type="dxa" w:w="1728"/>
          </w:tcPr>
          <w:p>
            <w:r>
              <w:t>비용 절감</w:t>
            </w:r>
          </w:p>
        </w:tc>
      </w:tr>
      <w:tr>
        <w:tc>
          <w:tcPr>
            <w:tcW w:type="dxa" w:w="1728"/>
          </w:tcPr>
          <w:p>
            <w:r>
              <w:t>삼성전자</w:t>
            </w:r>
          </w:p>
        </w:tc>
        <w:tc>
          <w:tcPr>
            <w:tcW w:type="dxa" w:w="1728"/>
          </w:tcPr>
          <w:p>
            <w:r>
              <w:t>50,000건</w:t>
            </w:r>
          </w:p>
        </w:tc>
        <w:tc>
          <w:tcPr>
            <w:tcW w:type="dxa" w:w="1728"/>
          </w:tcPr>
          <w:p>
            <w:r>
              <w:t>+134%</w:t>
            </w:r>
          </w:p>
        </w:tc>
        <w:tc>
          <w:tcPr>
            <w:tcW w:type="dxa" w:w="1728"/>
          </w:tcPr>
          <w:p>
            <w:r>
              <w:t>-68%</w:t>
            </w:r>
          </w:p>
        </w:tc>
        <w:tc>
          <w:tcPr>
            <w:tcW w:type="dxa" w:w="1728"/>
          </w:tcPr>
          <w:p>
            <w:r>
              <w:t>연 2억원</w:t>
            </w:r>
          </w:p>
        </w:tc>
      </w:tr>
      <w:tr>
        <w:tc>
          <w:tcPr>
            <w:tcW w:type="dxa" w:w="1728"/>
          </w:tcPr>
          <w:p>
            <w:r>
              <w:t>KB국민은행</w:t>
            </w:r>
          </w:p>
        </w:tc>
        <w:tc>
          <w:tcPr>
            <w:tcW w:type="dxa" w:w="1728"/>
          </w:tcPr>
          <w:p>
            <w:r>
              <w:t>3,500건</w:t>
            </w:r>
          </w:p>
        </w:tc>
        <w:tc>
          <w:tcPr>
            <w:tcW w:type="dxa" w:w="1728"/>
          </w:tcPr>
          <w:p>
            <w:r>
              <w:t>+89%</w:t>
            </w:r>
          </w:p>
        </w:tc>
        <w:tc>
          <w:tcPr>
            <w:tcW w:type="dxa" w:w="1728"/>
          </w:tcPr>
          <w:p>
            <w:r>
              <w:t>-57%</w:t>
            </w:r>
          </w:p>
        </w:tc>
        <w:tc>
          <w:tcPr>
            <w:tcW w:type="dxa" w:w="1728"/>
          </w:tcPr>
          <w:p>
            <w:r>
              <w:t>연 1.5억원</w:t>
            </w:r>
          </w:p>
        </w:tc>
      </w:tr>
      <w:tr>
        <w:tc>
          <w:tcPr>
            <w:tcW w:type="dxa" w:w="1728"/>
          </w:tcPr>
          <w:p>
            <w:r>
              <w:t>네이버 클라우드</w:t>
            </w:r>
          </w:p>
        </w:tc>
        <w:tc>
          <w:tcPr>
            <w:tcW w:type="dxa" w:w="1728"/>
          </w:tcPr>
          <w:p>
            <w:r>
              <w:t>8,500건</w:t>
            </w:r>
          </w:p>
        </w:tc>
        <w:tc>
          <w:tcPr>
            <w:tcW w:type="dxa" w:w="1728"/>
          </w:tcPr>
          <w:p>
            <w:r>
              <w:t>+19% (Upstage 대비)</w:t>
            </w:r>
          </w:p>
        </w:tc>
        <w:tc>
          <w:tcPr>
            <w:tcW w:type="dxa" w:w="1728"/>
          </w:tcPr>
          <w:p>
            <w:r>
              <w:t>-45%</w:t>
            </w:r>
          </w:p>
        </w:tc>
        <w:tc>
          <w:tcPr>
            <w:tcW w:type="dxa" w:w="1728"/>
          </w:tcPr>
          <w:p>
            <w:r>
              <w:t>연 8,000만원</w:t>
            </w:r>
          </w:p>
        </w:tc>
      </w:tr>
    </w:tbl>
    <w:p>
      <w:pPr>
        <w:pStyle w:val="Heading1"/>
      </w:pPr>
      <w:r>
        <w:t>4. PoC 실행 계획</w:t>
      </w:r>
    </w:p>
    <w:p>
      <w:r>
        <w:t>Phase 1 (1개월): 환경 구축 및 문서 인제스트</w:t>
        <w:br/>
        <w:t xml:space="preserve">  - 온프레미스 서버 설치 (GPU: NVIDIA A10G x2)</w:t>
        <w:br/>
        <w:t xml:space="preserve">  - 12,000건 문서 인제스트 및 인덱싱</w:t>
        <w:br/>
        <w:t xml:space="preserve">  - 예상 인제스트 시간: 약 8시간</w:t>
        <w:br/>
        <w:br/>
        <w:t>Phase 2 (1개월): 파일럿 운영</w:t>
        <w:br/>
        <w:t xml:space="preserve">  - 개발자 50명 대상 베타 테스트</w:t>
        <w:br/>
        <w:t xml:space="preserve">  - 기존 검색 시스템과 A/B 비교</w:t>
        <w:br/>
        <w:t xml:space="preserve">  - 주간 정확도 리포트 제출</w:t>
        <w:br/>
        <w:br/>
        <w:t>Phase 3 (1개월): 최적화 및 평가</w:t>
        <w:br/>
        <w:t xml:space="preserve">  - 피드백 기반 프롬프트/검색 최적화</w:t>
        <w:br/>
        <w:t xml:space="preserve">  - 최종 성과 보고서 제출</w:t>
        <w:br/>
        <w:t xml:space="preserve">  - Go/No-Go 결정 지원</w:t>
      </w:r>
    </w:p>
    <w:p>
      <w:pPr>
        <w:pStyle w:val="Heading1"/>
      </w:pPr>
      <w:r>
        <w:t>5. 가격 및 계약 조건</w:t>
      </w:r>
    </w:p>
    <w:p>
      <w:r>
        <w:t>PoC 비용: 3.2억원/년 (Enterprise 라이선스)</w:t>
        <w:br/>
        <w:t xml:space="preserve">  - 포함: QuantumRAG Enterprise 라이선스, 온프레미스 배포 지원</w:t>
        <w:br/>
        <w:t xml:space="preserve">  - 포함: 전담 엔지니어 1명 (월 2회 방문 지원)</w:t>
        <w:br/>
        <w:t xml:space="preserve">  - 포함: SLA 99.9%, 24시간 긴급 대응</w:t>
        <w:br/>
        <w:t xml:space="preserve">  - 별도: GPU 서버 비용 (NTT 자체 인프라 사용 시 없음)</w:t>
        <w:br/>
        <w:br/>
        <w:t>정식 계약 전환 시: 연 3.2억원 동일 조건 유지 (3년 약정 시 10% 할인)</w:t>
        <w:br/>
        <w:t>42Maru 대비 가격 경쟁력: 약 20% 저렴 (42Maru 견적 약 4억원/년 추정)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