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MSSQL Migration Platform</w:t>
        <w:br/>
        <w:t>Local → Local E2E Documentation</w:t>
      </w:r>
    </w:p>
    <w:p>
      <w:pPr>
        <w:jc w:val="center"/>
      </w:pPr>
      <w:r>
        <w:rPr>
          <w:i/>
        </w:rPr>
        <w:t>Feature branch: feature/mssql-objects</w:t>
      </w:r>
    </w:p>
    <w:p>
      <w:pPr>
        <w:pStyle w:val="Heading1"/>
      </w:pPr>
      <w:r>
        <w:t>1. Objective</w:t>
      </w:r>
    </w:p>
    <w:p>
      <w:r>
        <w:t>This phase validates MSSQL migration from a local SQL Server source to a local SQL Server target, covering database objects, metadata, dependencies, security, error isolation, and source-vs-target validation.</w:t>
      </w:r>
    </w:p>
    <w:p>
      <w:pPr>
        <w:pStyle w:val="Heading1"/>
      </w:pPr>
      <w:r>
        <w:t>2. Test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Microsoft SQL Server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localhost,1533 / mssql_migration_test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localhost,1533 / mssql_migration_target</w:t>
            </w:r>
          </w:p>
        </w:tc>
      </w:tr>
      <w:tr>
        <w:tc>
          <w:tcPr>
            <w:tcW w:type="dxa" w:w="4320"/>
          </w:tcPr>
          <w:p>
            <w:r>
              <w:t>Schemas</w:t>
            </w:r>
          </w:p>
        </w:tc>
        <w:tc>
          <w:tcPr>
            <w:tcW w:type="dxa" w:w="4320"/>
          </w:tcPr>
          <w:p>
            <w:r>
              <w:t>sales, billing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feature/mssql-objects</w:t>
            </w:r>
          </w:p>
        </w:tc>
      </w:tr>
      <w:tr>
        <w:tc>
          <w:tcPr>
            <w:tcW w:type="dxa" w:w="4320"/>
          </w:tcPr>
          <w:p>
            <w:r>
              <w:t>Push policy</w:t>
            </w:r>
          </w:p>
        </w:tc>
        <w:tc>
          <w:tcPr>
            <w:tcW w:type="dxa" w:w="4320"/>
          </w:tcPr>
          <w:p>
            <w:r>
              <w:t>Local checkpoints only; no push</w:t>
            </w:r>
          </w:p>
        </w:tc>
      </w:tr>
    </w:tbl>
    <w:p>
      <w:pPr>
        <w:pStyle w:val="Heading1"/>
      </w:pPr>
      <w:r>
        <w:t>3. MSSQL Object Coverage</w:t>
      </w:r>
    </w:p>
    <w:p>
      <w:pPr>
        <w:pStyle w:val="ListBullet"/>
      </w:pPr>
      <w:r>
        <w:t>Database &amp; Schema</w:t>
      </w:r>
    </w:p>
    <w:p>
      <w:pPr>
        <w:pStyle w:val="ListBullet"/>
      </w:pPr>
      <w:r>
        <w:t>Tables &amp; Data</w:t>
      </w:r>
    </w:p>
    <w:p>
      <w:pPr>
        <w:pStyle w:val="ListBullet"/>
      </w:pPr>
      <w:r>
        <w:t>Constraints &amp; Relationships (PK/FK, including cross-schema FK)</w:t>
      </w:r>
    </w:p>
    <w:p>
      <w:pPr>
        <w:pStyle w:val="ListBullet"/>
      </w:pPr>
      <w:r>
        <w:t>Identity &amp; Computed Columns</w:t>
      </w:r>
    </w:p>
    <w:p>
      <w:pPr>
        <w:pStyle w:val="ListBullet"/>
      </w:pPr>
      <w:r>
        <w:t>Sequences</w:t>
      </w:r>
    </w:p>
    <w:p>
      <w:pPr>
        <w:pStyle w:val="ListBullet"/>
      </w:pPr>
      <w:r>
        <w:t>Indexes</w:t>
      </w:r>
    </w:p>
    <w:p>
      <w:pPr>
        <w:pStyle w:val="ListBullet"/>
      </w:pPr>
      <w:r>
        <w:t>Views</w:t>
      </w:r>
    </w:p>
    <w:p>
      <w:pPr>
        <w:pStyle w:val="ListBullet"/>
      </w:pPr>
      <w:r>
        <w:t>Functions &amp; Procedures</w:t>
      </w:r>
    </w:p>
    <w:p>
      <w:pPr>
        <w:pStyle w:val="ListBullet"/>
      </w:pPr>
      <w:r>
        <w:t>Triggers</w:t>
      </w:r>
    </w:p>
    <w:p>
      <w:pPr>
        <w:pStyle w:val="ListBullet"/>
      </w:pPr>
      <w:r>
        <w:t>Synonyms</w:t>
      </w:r>
    </w:p>
    <w:p>
      <w:pPr>
        <w:pStyle w:val="ListBullet"/>
      </w:pPr>
      <w:r>
        <w:t>User-Defined Types (UDTs)</w:t>
      </w:r>
    </w:p>
    <w:p>
      <w:pPr>
        <w:pStyle w:val="ListBullet"/>
      </w:pPr>
      <w:r>
        <w:t>Partitioning</w:t>
      </w:r>
    </w:p>
    <w:p>
      <w:pPr>
        <w:pStyle w:val="ListBullet"/>
      </w:pPr>
      <w:r>
        <w:t>XML, JSON, VARBINARY/BINARY, UNIQUEIDENTIFIER and SQL_VARIANT</w:t>
      </w:r>
    </w:p>
    <w:p>
      <w:pPr>
        <w:pStyle w:val="ListBullet"/>
      </w:pPr>
      <w:r>
        <w:t>Users, Roles &amp; Permissions</w:t>
      </w:r>
    </w:p>
    <w:p>
      <w:pPr>
        <w:pStyle w:val="ListBullet"/>
      </w:pPr>
      <w:r>
        <w:t>Comments / Extended Properties</w:t>
      </w:r>
    </w:p>
    <w:p>
      <w:pPr>
        <w:pStyle w:val="ListBullet"/>
      </w:pPr>
      <w:r>
        <w:t>Dependency Ordering</w:t>
      </w:r>
    </w:p>
    <w:p>
      <w:pPr>
        <w:pStyle w:val="ListBullet"/>
      </w:pPr>
      <w:r>
        <w:t>Cross-Schema / Reference Validation</w:t>
      </w:r>
    </w:p>
    <w:p>
      <w:pPr>
        <w:pStyle w:val="ListBullet"/>
      </w:pPr>
      <w:r>
        <w:t>Error Isolation &amp; Negative Testing</w:t>
      </w:r>
    </w:p>
    <w:p>
      <w:pPr>
        <w:pStyle w:val="ListBullet"/>
      </w:pPr>
      <w:r>
        <w:t>Metadata Validation</w:t>
      </w:r>
    </w:p>
    <w:p>
      <w:pPr>
        <w:pStyle w:val="ListBullet"/>
      </w:pPr>
      <w:r>
        <w:t>Local → Local E2E Validation</w:t>
      </w:r>
    </w:p>
    <w:p>
      <w:pPr>
        <w:pStyle w:val="Heading1"/>
      </w:pPr>
      <w:r>
        <w:t>4. Dependency Ordering</w:t>
      </w:r>
    </w:p>
    <w:p>
      <w:pPr>
        <w:pStyle w:val="ListBullet"/>
      </w:pPr>
      <w:r>
        <w:t>Schemas → Tables</w:t>
      </w:r>
    </w:p>
    <w:p>
      <w:pPr>
        <w:pStyle w:val="ListBullet"/>
      </w:pPr>
      <w:r>
        <w:t>UDTs → Tables</w:t>
      </w:r>
    </w:p>
    <w:p>
      <w:pPr>
        <w:pStyle w:val="ListBullet"/>
      </w:pPr>
      <w:r>
        <w:t>Tables → Constraints / Indexes / FKs</w:t>
      </w:r>
    </w:p>
    <w:p>
      <w:pPr>
        <w:pStyle w:val="ListBullet"/>
      </w:pPr>
      <w:r>
        <w:t>Tables → Data</w:t>
      </w:r>
    </w:p>
    <w:p>
      <w:pPr>
        <w:pStyle w:val="ListBullet"/>
      </w:pPr>
      <w:r>
        <w:t>Tables → Views</w:t>
      </w:r>
    </w:p>
    <w:p>
      <w:pPr>
        <w:pStyle w:val="ListBullet"/>
      </w:pPr>
      <w:r>
        <w:t>Tables → Functions / Procedures</w:t>
      </w:r>
    </w:p>
    <w:p>
      <w:pPr>
        <w:pStyle w:val="ListBullet"/>
      </w:pPr>
      <w:r>
        <w:t>Tables → Synonyms</w:t>
      </w:r>
    </w:p>
    <w:p>
      <w:pPr>
        <w:pStyle w:val="ListBullet"/>
      </w:pPr>
      <w:r>
        <w:t>Tables → Triggers</w:t>
      </w:r>
    </w:p>
    <w:p>
      <w:pPr>
        <w:pStyle w:val="ListBullet"/>
      </w:pPr>
      <w:r>
        <w:t>Tables → Comments / Extended Properties</w:t>
      </w:r>
    </w:p>
    <w:p>
      <w:pPr>
        <w:pStyle w:val="ListBullet"/>
      </w:pPr>
      <w:r>
        <w:t>Schemas / Objects → Security / Grants</w:t>
      </w:r>
    </w:p>
    <w:p>
      <w:pPr>
        <w:pStyle w:val="Heading1"/>
      </w:pPr>
      <w:r>
        <w:t>5. Local → Local E2E Run</w:t>
      </w:r>
    </w:p>
    <w:p>
      <w:r>
        <w:t>A full Local → Local MSSQL migration was executed after the object-level implementation and validation work. The migration completed successfully. The reported mismatch was associated with a pre-existing target-state row-count difference in sales_partitioned.</w:t>
      </w:r>
    </w:p>
    <w:p>
      <w:pPr>
        <w:pStyle w:val="Heading1"/>
      </w:pPr>
      <w:r>
        <w:t>6. E2E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Tables / rows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9 tables; 28 rows reported migrated; 100% success rate.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1/1 validated.</w:t>
            </w:r>
          </w:p>
        </w:tc>
      </w:tr>
      <w:tr>
        <w:tc>
          <w:tcPr>
            <w:tcW w:type="dxa" w:w="2880"/>
          </w:tcPr>
          <w:p>
            <w:r>
              <w:t>Functions / Procedures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2/2 validated.</w:t>
            </w:r>
          </w:p>
        </w:tc>
      </w:tr>
      <w:tr>
        <w:tc>
          <w:tcPr>
            <w:tcW w:type="dxa" w:w="2880"/>
          </w:tcPr>
          <w:p>
            <w:r>
              <w:t>Sequence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1/1 validated.</w:t>
            </w:r>
          </w:p>
        </w:tc>
      </w:tr>
      <w:tr>
        <w:tc>
          <w:tcPr>
            <w:tcW w:type="dxa" w:w="2880"/>
          </w:tcPr>
          <w:p>
            <w:r>
              <w:t>Triggers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2/2 validated; one disabled.</w:t>
            </w:r>
          </w:p>
        </w:tc>
      </w:tr>
      <w:tr>
        <w:tc>
          <w:tcPr>
            <w:tcW w:type="dxa" w:w="2880"/>
          </w:tcPr>
          <w:p>
            <w:r>
              <w:t>Synonyms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3/3 validated.</w:t>
            </w:r>
          </w:p>
        </w:tc>
      </w:tr>
      <w:tr>
        <w:tc>
          <w:tcPr>
            <w:tcW w:type="dxa" w:w="2880"/>
          </w:tcPr>
          <w:p>
            <w:r>
              <w:t>UDT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1/1 validated.</w:t>
            </w:r>
          </w:p>
        </w:tc>
      </w:tr>
      <w:tr>
        <w:tc>
          <w:tcPr>
            <w:tcW w:type="dxa" w:w="2880"/>
          </w:tcPr>
          <w:p>
            <w:r>
              <w:t>Partition function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1/1 validated.</w:t>
            </w:r>
          </w:p>
        </w:tc>
      </w:tr>
      <w:tr>
        <w:tc>
          <w:tcPr>
            <w:tcW w:type="dxa" w:w="2880"/>
          </w:tcPr>
          <w:p>
            <w:r>
              <w:t>Foreign keys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Cross-schema billing.customer_addresses → sales.customers validated.</w:t>
            </w:r>
          </w:p>
        </w:tc>
      </w:tr>
      <w:tr>
        <w:tc>
          <w:tcPr>
            <w:tcW w:type="dxa" w:w="2880"/>
          </w:tcPr>
          <w:p>
            <w:r>
              <w:t>Indexes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Source/target indexes matched.</w:t>
            </w:r>
          </w:p>
        </w:tc>
      </w:tr>
      <w:tr>
        <w:tc>
          <w:tcPr>
            <w:tcW w:type="dxa" w:w="2880"/>
          </w:tcPr>
          <w:p>
            <w:r>
              <w:t>Users / Roles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Security objects matched.</w:t>
            </w:r>
          </w:p>
        </w:tc>
      </w:tr>
    </w:tbl>
    <w:p>
      <w:pPr>
        <w:pStyle w:val="Heading1"/>
      </w:pPr>
      <w:r>
        <w:t>7. Regression 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sales.customers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sales.orders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billing.customer_addresses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sales.identity_computed_test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sales.specialized_types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sales.udt_test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sales.partitioned_orders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sales.orders_audit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8. Cross-Schema Foreign Key</w:t>
      </w:r>
    </w:p>
    <w:p>
      <w:r>
        <w:t>Source FK: FK_billing_customer_addresses_customers on billing.customer_addresses, referencing sales.customers. The FK was discovered, recreated on the target, and verified through sys.foreign_keys.</w:t>
      </w:r>
    </w:p>
    <w:p>
      <w:r>
        <w:t>A controlled invalid insert using customer_id=999999 was rejected by SQL Server with a FOREIGN KEY conflict, confirming target-side enforcement.</w:t>
      </w:r>
    </w:p>
    <w:p>
      <w:pPr>
        <w:pStyle w:val="Heading1"/>
      </w:pPr>
      <w:r>
        <w:t>9. Test Results</w:t>
      </w:r>
    </w:p>
    <w:p>
      <w:pPr>
        <w:pStyle w:val="ListBullet"/>
      </w:pPr>
      <w:r>
        <w:t>Step 16 dependency-order tests: 11/11 passed.</w:t>
      </w:r>
    </w:p>
    <w:p>
      <w:pPr>
        <w:pStyle w:val="ListBullet"/>
      </w:pPr>
      <w:r>
        <w:t>Step 17 cross-schema/reference tests: 6/6 passed.</w:t>
      </w:r>
    </w:p>
    <w:p>
      <w:pPr>
        <w:pStyle w:val="ListBullet"/>
      </w:pPr>
      <w:r>
        <w:t>Step 18 error-isolation tests: 6/6 passed.</w:t>
      </w:r>
    </w:p>
    <w:p>
      <w:pPr>
        <w:pStyle w:val="ListBullet"/>
      </w:pPr>
      <w:r>
        <w:t>Step 19 metadata-validation tests: 54/54 passed.</w:t>
      </w:r>
    </w:p>
    <w:p>
      <w:pPr>
        <w:pStyle w:val="ListBullet"/>
      </w:pPr>
      <w:r>
        <w:t>Existing MSSQL DDL tests: 108/108 passed.</w:t>
      </w:r>
    </w:p>
    <w:p>
      <w:pPr>
        <w:pStyle w:val="ListBullet"/>
      </w:pPr>
      <w:r>
        <w:t>Step 20 Local → Local E2E validation: completed.</w:t>
      </w:r>
    </w:p>
    <w:p>
      <w:pPr>
        <w:pStyle w:val="Heading1"/>
      </w:pPr>
      <w:r>
        <w:t>10. Known / Pre-existing Mismatches</w:t>
      </w:r>
    </w:p>
    <w:p>
      <w:pPr>
        <w:pStyle w:val="ListBullet"/>
      </w:pPr>
      <w:r>
        <w:t>sales.sales_partitioned had a source/target row-count mismatch in the E2E validation because the target already contained extra rows. This was classified as pre-existing.</w:t>
      </w:r>
    </w:p>
    <w:p>
      <w:pPr>
        <w:pStyle w:val="ListBullet"/>
      </w:pPr>
      <w:r>
        <w:t>Some PK names differ because the target may use SQL-generated constraint names while the source uses human-readable names.</w:t>
      </w:r>
    </w:p>
    <w:p>
      <w:pPr>
        <w:pStyle w:val="ListBullet"/>
      </w:pPr>
      <w:r>
        <w:t>The training schema was intentionally not migrated because include_schemas contains only sales and billing.</w:t>
      </w:r>
    </w:p>
    <w:p>
      <w:pPr>
        <w:pStyle w:val="Heading1"/>
      </w:pPr>
      <w:r>
        <w:t>11. Checkpoint Commits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Checkpoint</w:t>
            </w:r>
          </w:p>
        </w:tc>
        <w:tc>
          <w:tcPr>
            <w:tcW w:type="dxa" w:w="4320"/>
          </w:tcPr>
          <w:p>
            <w:r>
              <w:t>Commit</w:t>
            </w:r>
          </w:p>
        </w:tc>
      </w:tr>
      <w:tr>
        <w:tc>
          <w:tcPr>
            <w:tcW w:type="dxa" w:w="4320"/>
          </w:tcPr>
          <w:p>
            <w:r>
              <w:t>Step 12</w:t>
            </w:r>
          </w:p>
        </w:tc>
        <w:tc>
          <w:tcPr>
            <w:tcW w:type="dxa" w:w="4320"/>
          </w:tcPr>
          <w:p>
            <w:r>
              <w:t>6c382a836f90161a5aa826ba985273ff9320cc44</w:t>
            </w:r>
          </w:p>
        </w:tc>
      </w:tr>
      <w:tr>
        <w:tc>
          <w:tcPr>
            <w:tcW w:type="dxa" w:w="4320"/>
          </w:tcPr>
          <w:p>
            <w:r>
              <w:t>Step 13</w:t>
            </w:r>
          </w:p>
        </w:tc>
        <w:tc>
          <w:tcPr>
            <w:tcW w:type="dxa" w:w="4320"/>
          </w:tcPr>
          <w:p>
            <w:r>
              <w:t>b267755</w:t>
            </w:r>
          </w:p>
        </w:tc>
      </w:tr>
      <w:tr>
        <w:tc>
          <w:tcPr>
            <w:tcW w:type="dxa" w:w="4320"/>
          </w:tcPr>
          <w:p>
            <w:r>
              <w:t>Step 14</w:t>
            </w:r>
          </w:p>
        </w:tc>
        <w:tc>
          <w:tcPr>
            <w:tcW w:type="dxa" w:w="4320"/>
          </w:tcPr>
          <w:p>
            <w:r>
              <w:t>6b019f5b6b4e100b23ac3074a67ed7208dfa3e93</w:t>
            </w:r>
          </w:p>
        </w:tc>
      </w:tr>
      <w:tr>
        <w:tc>
          <w:tcPr>
            <w:tcW w:type="dxa" w:w="4320"/>
          </w:tcPr>
          <w:p>
            <w:r>
              <w:t>Step 16</w:t>
            </w:r>
          </w:p>
        </w:tc>
        <w:tc>
          <w:tcPr>
            <w:tcW w:type="dxa" w:w="4320"/>
          </w:tcPr>
          <w:p>
            <w:r>
              <w:t>f9baff0</w:t>
            </w:r>
          </w:p>
        </w:tc>
      </w:tr>
      <w:tr>
        <w:tc>
          <w:tcPr>
            <w:tcW w:type="dxa" w:w="4320"/>
          </w:tcPr>
          <w:p>
            <w:r>
              <w:t>Step 17</w:t>
            </w:r>
          </w:p>
        </w:tc>
        <w:tc>
          <w:tcPr>
            <w:tcW w:type="dxa" w:w="4320"/>
          </w:tcPr>
          <w:p>
            <w:r>
              <w:t>3ded12d</w:t>
            </w:r>
          </w:p>
        </w:tc>
      </w:tr>
      <w:tr>
        <w:tc>
          <w:tcPr>
            <w:tcW w:type="dxa" w:w="4320"/>
          </w:tcPr>
          <w:p>
            <w:r>
              <w:t>Step 18</w:t>
            </w:r>
          </w:p>
        </w:tc>
        <w:tc>
          <w:tcPr>
            <w:tcW w:type="dxa" w:w="4320"/>
          </w:tcPr>
          <w:p>
            <w:r>
              <w:t>1e0f4e8</w:t>
            </w:r>
          </w:p>
        </w:tc>
      </w:tr>
      <w:tr>
        <w:tc>
          <w:tcPr>
            <w:tcW w:type="dxa" w:w="4320"/>
          </w:tcPr>
          <w:p>
            <w:r>
              <w:t>Step 19 / Step 20 validation</w:t>
            </w:r>
          </w:p>
        </w:tc>
        <w:tc>
          <w:tcPr>
            <w:tcW w:type="dxa" w:w="4320"/>
          </w:tcPr>
          <w:p>
            <w:r>
              <w:t>c4814d2</w:t>
            </w:r>
          </w:p>
        </w:tc>
      </w:tr>
    </w:tbl>
    <w:p>
      <w:r>
        <w:t>No push was performed.</w:t>
      </w:r>
    </w:p>
    <w:p>
      <w:pPr>
        <w:pStyle w:val="Heading1"/>
      </w:pPr>
      <w:r>
        <w:t>12. Next Phase</w:t>
      </w:r>
    </w:p>
    <w:p>
      <w:r>
        <w:t>Local → Local is now the baseline. The next phase should be MSSQL Local → Cloud (Azure SQL) E2E. Keeping the cloud phase separate makes cloud-specific connection, permission, compatibility, and metadata issues easier to isolate. After that, validate Cloud → Local, run final regression, and then consolidate the final MSSQL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