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B398F" w14:textId="77777777" w:rsidR="00FB3DB1" w:rsidRPr="00FB3DB1" w:rsidRDefault="00FB3DB1" w:rsidP="00FB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B3DB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Предложения за Етичния кодекс и Статута на Комисията по етика на НБУ</w:t>
      </w:r>
    </w:p>
    <w:p w14:paraId="7DB12096" w14:textId="6DF8475B" w:rsidR="00FB3DB1" w:rsidRDefault="00FB3DB1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Предложенията се основават на</w:t>
      </w: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 двете книги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на Кен Бинмор </w:t>
      </w:r>
      <w:r w:rsidRPr="00FB3DB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Game Theory and the Social Contract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т. 1–2</w:t>
      </w: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, и на съкратената версия: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B3DB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Natural Justice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Според него правилата в една общност се спазват трайно само ако са самоподдържащи се: всеки има интерес да ги спазва, когато и останалите ги спазват. Освен това няма външен пазител – и тези, които </w:t>
      </w: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следят за спазването на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правилата, са участници в играта. Затова добрият етичен кодекс служи за координация</w:t>
      </w: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 на поведението на индивидите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а не за пропов</w:t>
      </w: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ядване на абстрактни принципи</w:t>
      </w:r>
      <w:r w:rsidRPr="00FB3D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D2689F4" w14:textId="77777777" w:rsidR="00C97453" w:rsidRPr="00C97453" w:rsidRDefault="00C97453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I. Етичен кодекс: общи принципи</w:t>
      </w:r>
    </w:p>
    <w:p w14:paraId="4A87547E" w14:textId="77777777" w:rsidR="00C97453" w:rsidRPr="00C97453" w:rsidRDefault="00C97453" w:rsidP="00C9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Самоподдържащи се правила.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За всяка норма трябва да е ясно кой печели от нарушаването ѝ, как ще бъде установено нарушението и кой има интерес да реагира. Норма, която не издържа тази проверка, на практика наказва само честните. Кодексът да задължава и самия университет да проектира оценяването, конкурсите и процедурите така, че честното поведение да бъде най-изгодното.</w:t>
      </w:r>
    </w:p>
    <w:p w14:paraId="44C1538B" w14:textId="77777777" w:rsidR="00C97453" w:rsidRPr="00C97453" w:rsidRDefault="00C97453" w:rsidP="00C9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Технологична неутралност и отговорно авторство.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Кодексът да съдържа принципи, които не зависят от конкретни технологии. Който подписва дадена работа, отговаря за цялото ѝ съдържание и декларира съществената помощ – човешка или технологична.</w:t>
      </w:r>
    </w:p>
    <w:p w14:paraId="47AED94E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Конкретните правила, включително действащите правила за ИИ, да бъдат отделни документи. Кодексът препраща към тях, а те се обновяват по-често.</w:t>
      </w:r>
    </w:p>
    <w:p w14:paraId="19D36F10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Днес кодексът изисква студентите да разчитат само на собствената си подготовка и да изпълняват задачите самостоятелно. Това изискване следва да бъде заменено от принципа на отговорното авторство.</w:t>
      </w:r>
    </w:p>
    <w:p w14:paraId="5F58779A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Същите норми да важат изрично и в дигиталната среда: за личните данни, записите и електронната комуникация.</w:t>
      </w:r>
    </w:p>
    <w:p w14:paraId="5FF13106" w14:textId="77777777" w:rsidR="00C97453" w:rsidRPr="00C97453" w:rsidRDefault="00C97453" w:rsidP="00C9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Конкретни норми вместо общи ценности.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Днес кодексът започва със списък от общи ценности. Те обаче координират поведението само ако всеки знае какво означават на практика и знае, че и другите го знаят. Затова ценностите да се допълнят с конкретни, проверими норми и примери. Ежегоден анонимизиран сборник с решения на Комисията ще направи практиката ѝ известна на всички.</w:t>
      </w:r>
    </w:p>
    <w:p w14:paraId="42F2AA77" w14:textId="723EB0DD" w:rsidR="00C97453" w:rsidRPr="00C97453" w:rsidRDefault="00C97453" w:rsidP="00C9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Еднакви правила за всички роли 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(„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veil of ignorance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Джон </w:t>
      </w:r>
      <w:proofErr w:type="spellStart"/>
      <w:r w:rsidRPr="00C97453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Роулс</w:t>
      </w:r>
      <w:proofErr w:type="spellEnd"/>
      <w:r w:rsidRPr="00C97453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bg-BG" w:eastAsia="en-GB"/>
          <w14:ligatures w14:val="none"/>
        </w:rPr>
        <w:t xml:space="preserve"> 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A theory of Justice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 Всяка норма трябва да е приемлива за човек, който не знае каква роля ще заеме: студент, преподавател, служител, ръководител, жалбоподател или лице, срещу което е подадена жалба.</w:t>
      </w:r>
    </w:p>
    <w:p w14:paraId="728277A9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Общите принципи (авторство, конфликт на интереси, лични данни, достойнство) да важат еднакво за всички, включително за ръководството.</w:t>
      </w:r>
    </w:p>
    <w:p w14:paraId="123585D5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Задължението по кодекса да се пази доброто име на НБУ, включително извън кампуса, да бъде съчетано с изрична защита на добросъвестната критика и на лицата, подаващи сигнали.</w:t>
      </w:r>
    </w:p>
    <w:p w14:paraId="2A5C0463" w14:textId="5E0C792A" w:rsidR="00C97453" w:rsidRPr="00C97453" w:rsidRDefault="00C97453" w:rsidP="00C9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Защита на по-слабата страна.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Според Бинмор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в средносрочен план представите за справедливост се изместват към съотношението на силите. Затова при неравенство във властта (</w:t>
      </w: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ръководител на департамент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– преподавател, докторант – научен ръководител, служител – ръководител) по-слабата страна се защитава не с призиви, а с реални възможности:</w:t>
      </w:r>
    </w:p>
    <w:p w14:paraId="272112CC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смяна на научния ръководител без неблагоприятни последици;</w:t>
      </w:r>
    </w:p>
    <w:p w14:paraId="3ADAE4DE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авторство, договорено предварително;</w:t>
      </w:r>
    </w:p>
    <w:p w14:paraId="7A8ADA6F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ясни срокове в процедурите;</w:t>
      </w:r>
    </w:p>
    <w:p w14:paraId="3BEAC099" w14:textId="77777777" w:rsidR="00C97453" w:rsidRPr="00C97453" w:rsidRDefault="00C97453" w:rsidP="00C9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защита от ответни действия.</w:t>
      </w:r>
    </w:p>
    <w:p w14:paraId="37EB7331" w14:textId="77777777" w:rsidR="00C97453" w:rsidRPr="00C97453" w:rsidRDefault="00C97453" w:rsidP="00C9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Жив документ.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Новите норми да нямат обратно действие и да са придружени от преходни разпоредби и периодичен преглед. Кодексът вече препраща към Европейската харта за научните изследователи. Към нея да се добави и Европейският кодекс за почтеност в научните изследвания (ALLEA, ред. 2023).</w:t>
      </w:r>
    </w:p>
    <w:p w14:paraId="5EAEEED3" w14:textId="77777777" w:rsidR="00C97453" w:rsidRPr="00C97453" w:rsidRDefault="00C97453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II. Статут на Комисията по етика</w:t>
      </w:r>
    </w:p>
    <w:p w14:paraId="780CEE30" w14:textId="77777777" w:rsidR="00C97453" w:rsidRPr="00C97453" w:rsidRDefault="00C97453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Днес Комисията е постоянна комисия към Настоятелството. Съставът ѝ се определя от Председателя на Настоятелството, а статутът ѝ се приема от Академичния съвет. Актовете ѝ имат характер на препоръки – към Ректора или към страните. Комисията е едновременно пазител и участник в играта. Затова статутът трябва да гарантира, че тя е независима, че препоръките ѝ имат реална тежест и че действията ѝ са предвидими.</w:t>
      </w:r>
    </w:p>
    <w:p w14:paraId="231AA9F7" w14:textId="77777777" w:rsidR="00C97453" w:rsidRPr="00C97453" w:rsidRDefault="00C97453" w:rsidP="00C9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Независимост и легитимност.</w:t>
      </w:r>
    </w:p>
    <w:p w14:paraId="50F72C3D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Съставът да се определя по процедура с участие на академичната общност, например чрез номинации от Академичния съвет и Студентския съвет.</w:t>
      </w:r>
    </w:p>
    <w:p w14:paraId="35691340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Мандатът да е фиксиран, а членовете да се сменят поетапно.</w:t>
      </w:r>
    </w:p>
    <w:p w14:paraId="1B145817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има ясни правила за несъвместимост и отвод: член на Комисията не участва в случаи, засягащи звено, което ръководи, или страна, която представлява.</w:t>
      </w:r>
    </w:p>
    <w:p w14:paraId="76843C06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състава да влиза и представител на студентите, освен докторанта.</w:t>
      </w:r>
    </w:p>
    <w:p w14:paraId="49FFB1EF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 случаи с хабилитирани преподаватели или ръководители да участва и външен член.</w:t>
      </w:r>
    </w:p>
    <w:p w14:paraId="7159EC1F" w14:textId="5CD26D39" w:rsidR="00C97453" w:rsidRPr="00C97453" w:rsidRDefault="00C97453" w:rsidP="00C9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Задължителен отговор на препоръките (</w:t>
      </w:r>
      <w:r w:rsidR="00AF7DDD">
        <w:rPr>
          <w:rFonts w:ascii="Times New Roman" w:eastAsia="Times New Roman" w:hAnsi="Times New Roman" w:cs="Times New Roman"/>
          <w:b/>
          <w:bCs/>
          <w:color w:val="000000"/>
          <w:kern w:val="0"/>
          <w:lang w:val="bg-BG" w:eastAsia="en-GB"/>
          <w14:ligatures w14:val="none"/>
        </w:rPr>
        <w:t xml:space="preserve">или да се </w:t>
      </w: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изпълн</w:t>
      </w:r>
      <w:r w:rsidR="00AF7DDD">
        <w:rPr>
          <w:rFonts w:ascii="Times New Roman" w:eastAsia="Times New Roman" w:hAnsi="Times New Roman" w:cs="Times New Roman"/>
          <w:b/>
          <w:bCs/>
          <w:color w:val="000000"/>
          <w:kern w:val="0"/>
          <w:lang w:val="bg-BG" w:eastAsia="en-GB"/>
          <w14:ligatures w14:val="none"/>
        </w:rPr>
        <w:t>ят</w:t>
      </w: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или </w:t>
      </w:r>
      <w:r w:rsidR="00AF7DDD">
        <w:rPr>
          <w:rFonts w:ascii="Times New Roman" w:eastAsia="Times New Roman" w:hAnsi="Times New Roman" w:cs="Times New Roman"/>
          <w:b/>
          <w:bCs/>
          <w:color w:val="000000"/>
          <w:kern w:val="0"/>
          <w:lang w:val="bg-BG" w:eastAsia="en-GB"/>
          <w14:ligatures w14:val="none"/>
        </w:rPr>
        <w:t>аргументирано да се посочи защо няма</w:t>
      </w: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Компетентният орган да отговаря на всяка препоръка с мотивирано решение в определен срок. Изпълнението на препоръките да се отчита в годишния доклад. Препоръка, която може да бъде пренебрегната без обяснение, няма реална тежест.</w:t>
      </w:r>
    </w:p>
    <w:p w14:paraId="21C45A59" w14:textId="5AEF1986" w:rsidR="00C97453" w:rsidRPr="00C97453" w:rsidRDefault="00C97453" w:rsidP="00C9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Ясна компетентност.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Статутът да разграничава етичните нарушения от административните и трудовите спорове. </w:t>
      </w:r>
      <w:r w:rsidR="00AF7DDD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Например, т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ой трябва да ги разграничава и от проверките на Комисията по академична етика към министъра на образованието и науката за нарушения в процедурите за научни степени и академични длъжности. Сигналите извън компетентността на Комисията да се препращат към компетентния орган, а не само да се оставят без разглеждане, както е отбелязано в доклада за 2022–2023 г.</w:t>
      </w:r>
    </w:p>
    <w:p w14:paraId="04CAD031" w14:textId="77777777" w:rsidR="00C97453" w:rsidRPr="00C97453" w:rsidRDefault="00C97453" w:rsidP="00C9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Две отделни процедури.</w:t>
      </w:r>
    </w:p>
    <w:p w14:paraId="73A1A2B1" w14:textId="53699FB0" w:rsidR="00C97453" w:rsidRPr="00C97453" w:rsidRDefault="00AF7DDD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Медиация</w:t>
      </w:r>
      <w:r w:rsidR="00C97453"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– за междуличностни конфликти.</w:t>
      </w:r>
    </w:p>
    <w:p w14:paraId="1AEB57AA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Проверка – за нарушения на академичната почтеност. Комисията да има право да привлича независими експерти, включително за цифрови доказателства.</w:t>
      </w:r>
    </w:p>
    <w:p w14:paraId="518ED5DF" w14:textId="77777777" w:rsidR="00C97453" w:rsidRPr="00C97453" w:rsidRDefault="00C97453" w:rsidP="00C9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Процесуални гаранции.</w:t>
      </w:r>
    </w:p>
    <w:p w14:paraId="6FAF9FEE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право на изслушване и на достъп до доказателствата;</w:t>
      </w:r>
    </w:p>
    <w:p w14:paraId="3F975816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срокове;</w:t>
      </w:r>
    </w:p>
    <w:p w14:paraId="2C1B09C1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изрично определен стандарт на доказване;</w:t>
      </w:r>
    </w:p>
    <w:p w14:paraId="2451E8B6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разделяне на проверката от решението;</w:t>
      </w:r>
    </w:p>
    <w:p w14:paraId="75595F69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писмени мотивирани актове;</w:t>
      </w:r>
    </w:p>
    <w:p w14:paraId="00AE426C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обжалване пред втора инстанция;</w:t>
      </w:r>
    </w:p>
    <w:p w14:paraId="3836E5B4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поверителност и защита на подаващите сигнали;</w:t>
      </w:r>
    </w:p>
    <w:p w14:paraId="2D16F446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право на Комисията да започва проверка по собствена инициатива (самосезиране);</w:t>
      </w:r>
    </w:p>
    <w:p w14:paraId="64A5E41D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степенувани мерки, които са пропорционални и реално приложими.</w:t>
      </w:r>
    </w:p>
    <w:p w14:paraId="4B2D1FB3" w14:textId="77777777" w:rsidR="00C97453" w:rsidRPr="00C97453" w:rsidRDefault="00C97453" w:rsidP="00C9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Прозрачност и превенция.</w:t>
      </w:r>
    </w:p>
    <w:p w14:paraId="1D25F6D6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Годишен доклад с анонимизирани казуси и отчет за изпълнението на препоръките.</w:t>
      </w:r>
    </w:p>
    <w:p w14:paraId="547B3D4B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Консултативни становища по запитване, преди да е възникнал спор.</w:t>
      </w:r>
    </w:p>
    <w:p w14:paraId="16EB4003" w14:textId="77777777" w:rsidR="00C97453" w:rsidRPr="00C97453" w:rsidRDefault="00C97453" w:rsidP="00C974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Периодичен преглед на статута.</w:t>
      </w:r>
    </w:p>
    <w:p w14:paraId="5A037DCB" w14:textId="41FCF956" w:rsidR="00C97453" w:rsidRPr="00C97453" w:rsidRDefault="00C97453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Академичната етика е най-убедителна не като морализаторство, а като защита на об</w:t>
      </w:r>
      <w:r w:rsidR="00AF7DDD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що благо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Това е доверието в дипломите, изследванията и творческите постижения на НБУ, в което всеки член на общността има дял.</w:t>
      </w:r>
    </w:p>
    <w:p w14:paraId="52FDB241" w14:textId="77777777" w:rsidR="00C97453" w:rsidRPr="00C97453" w:rsidRDefault="00C97453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доц. д-р Виктор Аврамов</w:t>
      </w:r>
      <w:r w:rsidRPr="00C974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департамент „Администрация и управление“</w:t>
      </w:r>
    </w:p>
    <w:p w14:paraId="4188E136" w14:textId="77777777" w:rsidR="00C97453" w:rsidRPr="00FB3DB1" w:rsidRDefault="00C97453" w:rsidP="00C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4E9ABE4" w14:textId="19C28EC9" w:rsidR="00FB3DB1" w:rsidRDefault="00FB3DB1"/>
    <w:sectPr w:rsidR="00FB3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1772C9"/>
    <w:multiLevelType w:val="multilevel"/>
    <w:tmpl w:val="CED4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F97C18"/>
    <w:multiLevelType w:val="multilevel"/>
    <w:tmpl w:val="E53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714CB"/>
    <w:multiLevelType w:val="multilevel"/>
    <w:tmpl w:val="C706EC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505408">
    <w:abstractNumId w:val="0"/>
  </w:num>
  <w:num w:numId="2" w16cid:durableId="761528502">
    <w:abstractNumId w:val="1"/>
  </w:num>
  <w:num w:numId="3" w16cid:durableId="4961190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B1"/>
    <w:rsid w:val="00907E92"/>
    <w:rsid w:val="00AF7DDD"/>
    <w:rsid w:val="00C97453"/>
    <w:rsid w:val="00F17AC3"/>
    <w:rsid w:val="00FB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6F6545"/>
  <w15:chartTrackingRefBased/>
  <w15:docId w15:val="{3C4B5213-47E8-6148-A12A-2742A39D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3DB1"/>
    <w:rPr>
      <w:b/>
      <w:bCs/>
    </w:rPr>
  </w:style>
  <w:style w:type="character" w:styleId="Emphasis">
    <w:name w:val="Emphasis"/>
    <w:basedOn w:val="DefaultParagraphFont"/>
    <w:uiPriority w:val="20"/>
    <w:qFormat/>
    <w:rsid w:val="00FB3DB1"/>
    <w:rPr>
      <w:i/>
      <w:iCs/>
    </w:rPr>
  </w:style>
  <w:style w:type="character" w:customStyle="1" w:styleId="apple-converted-space">
    <w:name w:val="apple-converted-space"/>
    <w:basedOn w:val="DefaultParagraphFont"/>
    <w:rsid w:val="00FB3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934</Words>
  <Characters>5336</Characters>
  <Application>Microsoft Office Word</Application>
  <DocSecurity>0</DocSecurity>
  <Lines>108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Avramov</dc:creator>
  <cp:keywords/>
  <dc:description/>
  <cp:lastModifiedBy>Victor Avramov</cp:lastModifiedBy>
  <cp:revision>2</cp:revision>
  <dcterms:created xsi:type="dcterms:W3CDTF">2026-10-22T19:17:00Z</dcterms:created>
  <dcterms:modified xsi:type="dcterms:W3CDTF">2026-10-22T19:39:00Z</dcterms:modified>
  <cp:category/>
</cp:coreProperties>
</file>