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rePlan"/>
      </w:pPr>
      <w:r>
        <w:t>Demande de non-délivrance d’un ordre de quitter le territoire (exemple fictif)</w:t>
      </w:r>
    </w:p>
    <w:p>
      <w:pPr>
        <w:pStyle w:val="Aide"/>
      </w:pPr>
      <w:r>
        <w:t>[Exemple fictif créé pour la démonstration de Probasile : personnes, pièces et faits inventés. Les repères entre doubles crochets deviendront des notes de bas de page.]</w:t>
      </w:r>
    </w:p>
    <w:p>
      <w:pPr>
        <w:pStyle w:val="Heading1"/>
      </w:pPr>
      <w:r>
        <w:t>1. Les faits</w:t>
      </w:r>
    </w:p>
    <w:p>
      <w:pPr>
        <w:jc w:val="both"/>
      </w:pPr>
      <w:r>
        <w:t>Madame A. Exemple vit en Belgique depuis 2019 avec son fils B. Exemple, scolarisé à l’Athénée Exemple[[PIECE 01_Attestation_scolarite_FICTIVE]]. Une voisine décrit leur intégration dans le quartier[[PIECE 02_Temoignage_FICTIF]]. Madame Exemple est suivie pour un état de stress post-traumatique[[PIECE 04_Certificat_medical_FICTIF]]. Son identité est établie[[PIECE 03_Carte_identite_SPECIMEN]].</w:t>
      </w:r>
    </w:p>
    <w:p>
      <w:pPr>
        <w:jc w:val="both"/>
      </w:pPr>
    </w:p>
    <w:p>
      <w:pPr>
        <w:pStyle w:val="Heading1"/>
      </w:pPr>
      <w:r>
        <w:t>2. La situation en Indonésie</w:t>
      </w:r>
    </w:p>
    <w:p>
      <w:pPr>
        <w:jc w:val="both"/>
      </w:pPr>
      <w:r>
        <w:t>L’Indonésie a adhéré au Pacte international relatif aux droits civils et politiques le 23 février 2006[[IV-4]], sans accepter la procédure de plaintes individuelles prévue par son premier Protocole facultatif[[IV-5]].</w:t>
      </w:r>
    </w:p>
    <w:p>
      <w:pPr>
        <w:jc w:val="both"/>
      </w:pPr>
    </w:p>
    <w:p>
      <w:pPr>
        <w:jc w:val="both"/>
      </w:pPr>
      <w:r>
        <w:t>Le Comité des droits de l’homme a adopté ses observations finales sur le deuxième rapport périodique de l’Indonésie le 3 mai 2024[[CCPR/C/IDN/CO/2]]. Ces observations finales sont le document de référence pour apprécier la situation actuelle[[CCPR/C/IDN/CO/2]]. Auparavant, le Comité avait adressé à l’Indonésie des courriers de suivi[[INT/CCPR/FUL/IDN/21848 ; INT/CCPR/FUL/IDN/27205]], et le Comité contre la torture avait adopté ses propres observations finales en 2008[[CAT/C/IDN/CO/2]].</w:t>
      </w:r>
    </w:p>
    <w:p>
      <w:pPr>
        <w:jc w:val="both"/>
      </w:pPr>
    </w:p>
    <w:p>
      <w:pPr>
        <w:pStyle w:val="Heading1"/>
      </w:pPr>
      <w:r>
        <w:t>3. Le droit</w:t>
      </w:r>
    </w:p>
    <w:p>
      <w:pPr>
        <w:jc w:val="both"/>
      </w:pPr>
      <w:r>
        <w:t>Lors de la prise d’une décision d’éloignement, l’Office des étrangers tient compte de l’intérêt supérieur de l’enfant, de la vie familiale et de l’état de santé de la personne concernée[[LOI1980, art. 74/13]]. L’article 3 de la Convention européenne des droits de l’homme interdit de manière absolue d’éloigner une personne vers un pays où elle court un risque réel de torture ou de traitements inhumains ou dégradants[[CEDH, art. 3]]. Même dans un pays généralement sûr, « il n’existe aucune garantie absolue de sécurité pour chaque individu »[[CJUE-ALACE-2025, point 97]].</w:t>
      </w:r>
    </w:p>
    <w:p>
      <w:pPr>
        <w:jc w:val="both"/>
      </w:pPr>
    </w:p>
    <w:p>
      <w:pPr>
        <w:jc w:val="both"/>
      </w:pPr>
      <w:r>
        <w:t>[[BLOC Intérêt supérieur de l’enfant (article 74/13)]]</w:t>
      </w:r>
    </w:p>
    <w:p>
      <w:pPr>
        <w:jc w:val="both"/>
      </w:pPr>
    </w:p>
    <w:p>
      <w:pPr>
        <w:pStyle w:val="Heading1"/>
      </w:pPr>
      <w:r>
        <w:t>4. La demande</w:t>
      </w:r>
    </w:p>
    <w:p>
      <w:pPr>
        <w:jc w:val="both"/>
      </w:pPr>
      <w:r>
        <w:t>Il est demandé à l’Office des étrangers de ne pas délivrer d’ordre de quitter le territoire à Madame A. Exemple et à son fils, compte tenu de leur situation et des risques décrits ci-dessus[[LOI1980, art. 74/13]][[= Exemple de note écrite à la main : ce texte est fictif.]].</w:t>
      </w:r>
    </w:p>
    <w:p>
      <w:pPr>
        <w:jc w:val="both"/>
      </w:pPr>
    </w:p>
    <w:p>
      <w:pPr>
        <w:pStyle w:val="Heading1"/>
      </w:pPr>
      <w:r>
        <w:t>Index des annexes</w:t>
      </w:r>
    </w:p>
    <w:p>
      <w:pPr>
        <w:jc w:val="both"/>
      </w:pPr>
      <w:r>
        <w:t>[[INDEX DES ANNEXES]]</w:t>
      </w:r>
    </w:p>
    <w:p>
      <w:pPr>
        <w:jc w:val="both"/>
      </w:pPr>
    </w:p>
    <w:sectPr>
      <w:pgSz w:w="11906" w:h="16838"/>
      <w:pgMar w:top="1417" w:right="1417" w:bottom="1417" w:left="1417" w:header="708" w:footer="708" w:gutter="0"/>
    </w:sectPr>
  </w:body>
</w:document>
</file>

<file path=word/footnotes.xml><?xml version="1.0" encoding="utf-8"?>
<w:footnotes xmlns:w="http://schemas.openxmlformats.org/wordprocessingml/2006/main" xmlns:r="http://schemas.openxmlformats.org/officeDocument/2006/relationships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w="http://schemas.openxmlformats.org/wordprocessingml/2006/main">
  <w:defaultTabStop w:val="708"/>
  <w:hyphenationZone w:val="425"/>
  <w:characterSpacingControl w:val="doNotCompress"/>
  <w:updateFields w:val="true"/>
  <w:footnotePr>
    <w:footnote w:id="-1"/>
    <w:footnote w:id="0"/>
  </w:footnotePr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2"/>
        <w:szCs w:val="22"/>
        <w:lang w:val="fr-BE" w:eastAsia="en-US" w:bidi="ar-SA"/>
      </w:rPr>
    </w:rPrDefault>
    <w:pPrDefault>
      <w:pPr>
        <w:spacing w:after="0" w:line="276" w:lineRule="auto"/>
      </w:pPr>
    </w:pPrDefault>
  </w:docDefaults>
  <w:style w:type="paragraph" w:default="1" w:styleId="Normal">
    <w:name w:val="Normal"/>
    <w:qFormat/>
    <w:pPr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120"/>
      <w:jc w:val="left"/>
      <w:outlineLvl w:val="0"/>
    </w:pPr>
    <w:rPr>
      <w:b/>
      <w:sz w:val="28"/>
      <w:szCs w:val="28"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spacing w:before="240" w:after="120"/>
      <w:jc w:val="left"/>
      <w:outlineLvl w:val="1"/>
    </w:pPr>
    <w:rPr>
      <w:b/>
      <w:sz w:val="26"/>
      <w:szCs w:val="26"/>
    </w:rPr>
  </w:style>
  <w:style w:type="paragraph" w:styleId="Heading3">
    <w:name w:val="heading 3"/>
    <w:basedOn w:val="Normal"/>
    <w:next w:val="Normal"/>
    <w:uiPriority w:val="9"/>
    <w:qFormat/>
    <w:pPr>
      <w:keepNext/>
      <w:keepLines/>
      <w:spacing w:before="240" w:after="120"/>
      <w:jc w:val="left"/>
      <w:outlineLvl w:val="2"/>
    </w:pPr>
    <w:rPr>
      <w:b/>
      <w:sz w:val="24"/>
      <w:szCs w:val="24"/>
    </w:rPr>
  </w:style>
  <w:style w:type="paragraph" w:styleId="Heading4">
    <w:name w:val="heading 4"/>
    <w:basedOn w:val="Normal"/>
    <w:next w:val="Normal"/>
    <w:uiPriority w:val="9"/>
    <w:qFormat/>
    <w:pPr>
      <w:keepNext/>
      <w:keepLines/>
      <w:spacing w:before="240" w:after="120"/>
      <w:jc w:val="left"/>
      <w:outlineLvl w:val="3"/>
    </w:pPr>
    <w:rPr>
      <w:b/>
      <w:sz w:val="22"/>
      <w:szCs w:val="22"/>
    </w:rPr>
  </w:style>
  <w:style w:type="paragraph" w:styleId="TitrePlan">
    <w:name w:val="Titre du plan"/>
    <w:basedOn w:val="Normal"/>
    <w:qFormat/>
    <w:pPr>
      <w:spacing w:after="240"/>
      <w:jc w:val="center"/>
    </w:pPr>
    <w:rPr>
      <w:b/>
      <w:sz w:val="32"/>
      <w:szCs w:val="32"/>
    </w:rPr>
  </w:style>
  <w:style w:type="paragraph" w:styleId="Aide">
    <w:name w:val="Aide Probasile"/>
    <w:basedOn w:val="Normal"/>
    <w:qFormat/>
    <w:pPr>
      <w:spacing w:after="120"/>
    </w:pPr>
    <w:rPr>
      <w:i/>
      <w:color w:val="7A7A7A"/>
    </w:rPr>
  </w:style>
  <w:style w:type="paragraph" w:styleId="Repere">
    <w:name w:val="Repère Probasile"/>
    <w:basedOn w:val="Normal"/>
    <w:qFormat/>
    <w:pPr>
      <w:ind w:left="576"/>
    </w:pPr>
    <w:rPr>
      <w:color w:val="08738F"/>
      <w:sz w:val="18"/>
      <w:szCs w:val="18"/>
    </w:rPr>
  </w:style>
  <w:style w:type="paragraph" w:styleId="TOCHeading">
    <w:name w:val="TOC Heading"/>
    <w:basedOn w:val="Normal"/>
    <w:next w:val="Normal"/>
    <w:uiPriority w:val="39"/>
    <w:qFormat/>
    <w:pPr>
      <w:spacing w:before="240" w:after="120"/>
    </w:pPr>
    <w:rPr>
      <w:b/>
      <w:sz w:val="28"/>
      <w:szCs w:val="28"/>
    </w:rPr>
  </w:style>
  <w:style w:type="paragraph" w:styleId="TOC1">
    <w:name w:val="toc 1"/>
    <w:basedOn w:val="Normal"/>
    <w:next w:val="Normal"/>
    <w:uiPriority w:val="39"/>
    <w:pPr>
      <w:ind w:left="0"/>
      <w:jc w:val="left"/>
    </w:pPr>
  </w:style>
  <w:style w:type="paragraph" w:styleId="TOC2">
    <w:name w:val="toc 2"/>
    <w:basedOn w:val="Normal"/>
    <w:next w:val="Normal"/>
    <w:uiPriority w:val="39"/>
    <w:pPr>
      <w:ind w:left="220"/>
      <w:jc w:val="left"/>
    </w:pPr>
  </w:style>
  <w:style w:type="paragraph" w:styleId="TOC3">
    <w:name w:val="toc 3"/>
    <w:basedOn w:val="Normal"/>
    <w:next w:val="Normal"/>
    <w:uiPriority w:val="39"/>
    <w:pPr>
      <w:ind w:left="440"/>
      <w:jc w:val="left"/>
    </w:pPr>
  </w:style>
  <w:style w:type="paragraph" w:styleId="TOC4">
    <w:name w:val="toc 4"/>
    <w:basedOn w:val="Normal"/>
    <w:next w:val="Normal"/>
    <w:uiPriority w:val="39"/>
    <w:pPr>
      <w:ind w:left="660"/>
      <w:jc w:val="left"/>
    </w:pPr>
  </w:style>
  <w:style w:type="paragraph" w:styleId="FootnoteText">
    <w:name w:val="footnote text"/>
    <w:basedOn w:val="Normal"/>
    <w:uiPriority w:val="99"/>
    <w:pPr>
      <w:jc w:val="both"/>
    </w:pPr>
    <w:rPr>
      <w:sz w:val="18"/>
      <w:szCs w:val="18"/>
    </w:rPr>
  </w:style>
  <w:style w:type="character" w:styleId="FootnoteReference">
    <w:name w:val="footnote reference"/>
    <w:uiPriority w:val="99"/>
    <w:rPr>
      <w:vertAlign w:val="superscript"/>
    </w:rPr>
  </w:style>
  <w:style w:type="character" w:styleId="Hyperlink">
    <w:name w:val="Hyperlink"/>
    <w:uiPriority w:val="99"/>
    <w:rPr>
      <w:color w:val="0563C1"/>
      <w:u w:val="single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footnotes" Target="footnotes.xml"/></Relationships>
</file>

<file path=docProps/app.xml><?xml version="1.0" encoding="utf-8"?>
<Properties xmlns="http://schemas.openxmlformats.org/officeDocument/2006/extended-properties">
  <Application>Probasile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Demande de non-délivrance d’un ordre de quitter le territoire (exemple fictif)</dc:title>
  <dc:creator>Probasile</dc:creator>
  <dcterms:created xsi:type="dcterms:W3CDTF">2026-10-01T10:28:09Z</dcterms:created>
  <dcterms:modified xsi:type="dcterms:W3CDTF">2026-10-01T10:28:09Z</dcterms:modified>
</cp:coreProperties>
</file>