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rePlan"/>
      </w:pPr>
      <w:r>
        <w:t>Demande de non-délivrance d’un ordre de quitter le territoire – principe de non-refoulement</w:t>
      </w:r>
    </w:p>
    <w:p>
      <w:pPr>
        <w:jc w:val="both"/>
      </w:pPr>
    </w:p>
    <w:p>
      <w:pPr>
        <w:pStyle w:val="Aide"/>
      </w:pPr>
      <w:r>
        <w:t>Mode d’emploi de ce plan (à supprimer ensuite) : remplacez les passages entre crochets, rédigez sous chaque titre et supprimez les paragraphes gris. Là où une note de bas de page est nécessaire, tapez un repère, par exemple [[CCPR/C/IDN/CO/2, §24, p.8]]. Les repères disponibles sont listés en bleu sous chaque titre et dans l’onglet « Rédaction » (double-clic pour copier) ; le bouton « Comment écrire une note ? » donne tous les exemples (pages, paragraphes, articles) et les abréviations. Enfin, onglet « Rédaction » puis « Générer les notes et les annexes ». Pour la table des matières : clic droit dessus puis « Mettre à jour l’index ».</w:t>
      </w:r>
    </w:p>
    <w:p>
      <w:pPr>
        <w:pStyle w:val="TOCHeading"/>
      </w:pPr>
      <w:r>
        <w:t>Table des matières</w:t>
      </w:r>
    </w:p>
    <w:p>
      <w:r>
        <w:fldChar w:fldCharType="begin" w:dirty="true"/>
      </w:r>
      <w:r>
        <w:instrText xml:space="preserve"> TOC \o "1-4" \h \z \u </w:instrText>
      </w:r>
      <w:r>
        <w:fldChar w:fldCharType="separate"/>
      </w:r>
      <w:r>
        <w:rPr>
          <w:i/>
          <w:color w:val="7A7A7A"/>
        </w:rPr>
        <w:t>Pour afficher la table des matières : clic droit ici, puis « Mettre à jour les champs ».</w:t>
      </w:r>
      <w:r>
        <w:fldChar w:fldCharType="end"/>
      </w:r>
    </w:p>
    <w:p>
      <w:pPr>
        <w:pStyle w:val="Heading1"/>
      </w:pPr>
      <w:r>
        <w:t>I. La situation personnelle de Madame A. Exemple[ et de sa famille]</w:t>
      </w:r>
    </w:p>
    <w:p>
      <w:pPr>
        <w:pStyle w:val="Aide"/>
      </w:pPr>
      <w:r>
        <w:t>[Présentez chaque membre de la famille : identité, parcours, faits vécus (dates, lieux, auteurs), engagements (religieux, politiques, syndicaux…). Chaque fait important appelle une pièce ou une source.]</w:t>
      </w:r>
    </w:p>
    <w:p>
      <w:pPr>
        <w:jc w:val="both"/>
      </w:pPr>
    </w:p>
    <w:p>
      <w:pPr>
        <w:pStyle w:val="Heading2"/>
      </w:pPr>
      <w:r>
        <w:t>A. Madame A. Exemple</w:t>
      </w:r>
    </w:p>
    <w:p>
      <w:pPr>
        <w:pStyle w:val="Aide"/>
      </w:pPr>
      <w:r>
        <w:t>[Faits vécus, éventuelles violences subies, engagements.]</w:t>
      </w:r>
    </w:p>
    <w:p>
      <w:pPr>
        <w:pStyle w:val="Repere"/>
      </w:pPr>
      <w:r>
        <w:t>[[PIECE 01_Attestation_scolarite_FICTIVE]]  –  Athénée Exemple, Attestation de scolarité de B. Exemple (document fictif), 12 septembre 2026.</w:t>
      </w:r>
    </w:p>
    <w:p>
      <w:pPr>
        <w:pStyle w:val="Repere"/>
      </w:pPr>
      <w:r>
        <w:t>[[PIECE 02_Temoignage_FICTIF]]  –  C. Témoin, Témoignage (document fictif), 20 septembre 2026.</w:t>
      </w:r>
    </w:p>
    <w:p>
      <w:pPr>
        <w:pStyle w:val="Repere"/>
      </w:pPr>
      <w:r>
        <w:t>[[PIECE 03_Carte_identite_SPECIMEN]]  –  Carte identite SPECIMEN.</w:t>
      </w:r>
    </w:p>
    <w:p>
      <w:pPr>
        <w:pStyle w:val="Repere"/>
      </w:pPr>
      <w:r>
        <w:t>[[PIECE 04_Certificat_medical_FICTIF]]  –  Dr D. Exemple, Certificat médical concernant Madame A. Exemple (document fictif), 22 septembre 2026.</w:t>
      </w:r>
    </w:p>
    <w:p>
      <w:pPr>
        <w:jc w:val="both"/>
      </w:pPr>
    </w:p>
    <w:p>
      <w:pPr>
        <w:pStyle w:val="Heading2"/>
      </w:pPr>
      <w:r>
        <w:t>B. [Conjoint·e]</w:t>
      </w:r>
    </w:p>
    <w:p>
      <w:pPr>
        <w:jc w:val="both"/>
      </w:pPr>
    </w:p>
    <w:p>
      <w:pPr>
        <w:pStyle w:val="Heading2"/>
      </w:pPr>
      <w:r>
        <w:t>C. Les enfants</w:t>
      </w:r>
    </w:p>
    <w:p>
      <w:pPr>
        <w:pStyle w:val="Aide"/>
      </w:pPr>
      <w:r>
        <w:t>[Scolarité, intégration, intérêt supérieur de l’enfant (attestations scolaires en annexe).]</w:t>
      </w:r>
    </w:p>
    <w:p>
      <w:pPr>
        <w:jc w:val="both"/>
      </w:pPr>
    </w:p>
    <w:p>
      <w:pPr>
        <w:pStyle w:val="Heading1"/>
      </w:pPr>
      <w:r>
        <w:t>II. Pays sûr ? La situation des droits humains en Indonésie</w:t>
      </w:r>
    </w:p>
    <w:p>
      <w:pPr>
        <w:jc w:val="both"/>
      </w:pPr>
    </w:p>
    <w:p>
      <w:pPr>
        <w:pStyle w:val="Heading2"/>
      </w:pPr>
      <w:r>
        <w:t>A. Introduction</w:t>
      </w:r>
    </w:p>
    <w:p>
      <w:pPr>
        <w:pStyle w:val="Aide"/>
      </w:pPr>
      <w:r>
        <w:t>[Traités ratifiés, réserves, procédures de plaintes acceptées ou non par l’État.]</w:t>
      </w:r>
    </w:p>
    <w:p>
      <w:pPr>
        <w:pStyle w:val="Aide"/>
      </w:pPr>
      <w:r>
        <w:t>[Paragraphes calculés automatiquement le 1er octobre 2026 à partir de la collecte (ratifications, procédures de plaintes, état des rapports, documents de suivi). Vérifiez chaque date et chaque durée, complétez les passages entre crochets, puis supprimez ce paragraphe gris.]</w:t>
      </w:r>
    </w:p>
    <w:p>
      <w:pPr>
        <w:jc w:val="both"/>
      </w:pPr>
      <w:r>
        <w:t>L’Indonésie est partie au Pacte international relatif aux droits civils et politiques (adhésion le 23 février 2006), au Pacte international relatif aux droits économiques, sociaux et culturels (adhésion le 23 février 2006), à la Convention contre la torture et autres peines ou traitements cruels, inhumains ou dégradants (ratification le 28 octobre 1998), à la Convention sur l’élimination de toutes les formes de discrimination à l’égard des femmes (ratification le 13 septembre 1984), à la Convention relative aux droits de l’enfant (ratification le 5 septembre 1990), à la Convention internationale sur l’élimination de toutes les formes de discrimination raciale (adhésion le 25 juin 1999) et à la Convention internationale sur la protection des droits de tous les travailleurs migrants et des membres de leur famille (ratification le 31 mai 2012)[[TRAITE-PIDCP ; IV-3 ; TRAITE-CAT ; IV-8 ; IV-11 ; IV-2 ; IV-13]].</w:t>
      </w:r>
    </w:p>
    <w:p>
      <w:pPr>
        <w:jc w:val="both"/>
      </w:pPr>
    </w:p>
    <w:p>
      <w:pPr>
        <w:jc w:val="both"/>
      </w:pPr>
      <w:r>
        <w:t>L’Indonésie a signé, sans les ratifier, le Protocole facultatif à la Convention sur l’élimination de toutes les formes de discrimination à l’égard des femmes (signature le 28 février 2000) et la Convention internationale pour la protection de toutes les personnes contre les disparitions forcées (signature le 27 septembre 2010)[[IV-8-b ; IV-16]].</w:t>
      </w:r>
    </w:p>
    <w:p>
      <w:pPr>
        <w:jc w:val="both"/>
      </w:pPr>
    </w:p>
    <w:p>
      <w:pPr>
        <w:jc w:val="both"/>
      </w:pPr>
      <w:r>
        <w:t>En revanche, l’Indonésie n’a ni signé ni ratifié le Protocole facultatif se rapportant au Pacte international relatif aux droits civils et politiques, le deuxième Protocole facultatif se rapportant au Pacte international relatif aux droits civils et politiques, visant à abolir la peine de mort, le Protocole facultatif se rapportant au Pacte international relatif aux droits économiques, sociaux et culturels, le Protocole facultatif se rapportant à la Convention contre la torture, la Convention relative au statut des réfugiés ni le Statut de Rome de la Cour pénale internationale[[IV-5 ; IV-12 ; IV-3-a ; IV-9-b ; V-2 ; XVIII-10]].</w:t>
      </w:r>
    </w:p>
    <w:p>
      <w:pPr>
        <w:jc w:val="both"/>
      </w:pPr>
    </w:p>
    <w:p>
      <w:pPr>
        <w:jc w:val="both"/>
      </w:pPr>
      <w:r>
        <w:t>L’Indonésie a assorti sa participation au Pacte international relatif aux droits civils et politiques, au Pacte international relatif aux droits économiques, sociaux et culturels, à la Convention contre la torture et autres peines ou traitements cruels, inhumains ou dégradants, à la Convention sur l’élimination de toutes les formes de discrimination à l’égard des femmes, à la Convention relative aux droits de l’enfant, à la Convention internationale sur l’élimination de toutes les formes de discrimination raciale et à la Convention internationale sur la protection des droits de tous les travailleurs migrants et des membres de leur famille de réserves ou de déclarations[[TRAITE-PIDCP ; IV-3 ; TRAITE-CAT ; IV-8 ; IV-11 ; IV-2 ; IV-13]] [à analyser : voir le texte sur la page de la Collection des traités et le bloc « Notion de réserve »].</w:t>
      </w:r>
    </w:p>
    <w:p>
      <w:pPr>
        <w:jc w:val="both"/>
      </w:pPr>
    </w:p>
    <w:p>
      <w:pPr>
        <w:jc w:val="both"/>
      </w:pPr>
      <w:r>
        <w:t>L’Indonésie n’a accepté aucune des procédures de plaintes individuelles prévues par les traités des Nations Unies relatifs aux droits de l’homme : aucune victime relevant de sa juridiction ne peut saisir les comités[[HCDH-PROCEDURES]].</w:t>
      </w:r>
    </w:p>
    <w:p>
      <w:pPr>
        <w:jc w:val="both"/>
      </w:pPr>
    </w:p>
    <w:p>
      <w:pPr>
        <w:pStyle w:val="Repere"/>
      </w:pPr>
      <w:r>
        <w:t>[[IV-4]]  –  ONU, Collection des Traités, état des traités, Pacte international relatif aux droits civils et politiques.</w:t>
      </w:r>
    </w:p>
    <w:p>
      <w:pPr>
        <w:pStyle w:val="Repere"/>
      </w:pPr>
      <w:r>
        <w:t>[[IV-5]]  –  ONU, Collection des Traités, état des traités, Protocole facultatif se rapportant au Pacte international relatif aux droits civils et politiques.</w:t>
      </w:r>
    </w:p>
    <w:p>
      <w:pPr>
        <w:pStyle w:val="Repere"/>
      </w:pPr>
      <w:r>
        <w:t>[[IV-12]]  –  ONU, Collection des Traités, état des traités, Deuxième Protocole facultatif se rapportant au Pacte international relatif aux droits civils et politiques, visan</w:t>
      </w:r>
    </w:p>
    <w:p>
      <w:pPr>
        <w:pStyle w:val="Repere"/>
      </w:pPr>
      <w:r>
        <w:t>[[IV-3]]  –  ONU, Collection des Traités, état des traités, Pacte international relatif aux droits économiques, sociaux et culturels.</w:t>
      </w:r>
    </w:p>
    <w:p>
      <w:pPr>
        <w:pStyle w:val="Repere"/>
      </w:pPr>
      <w:r>
        <w:t>[[IV-3-a]]  –  ONU, Collection des Traités, état des traités, Protocole facultatif se rapportant au Pacte international relatif aux droits économiques, sociaux et culturels.</w:t>
      </w:r>
    </w:p>
    <w:p>
      <w:pPr>
        <w:pStyle w:val="Repere"/>
      </w:pPr>
      <w:r>
        <w:t>[[IV-9]]  –  ONU, Collection des Traités, état des traités, Convention contre la torture et autres peines ou traitements cruels, inhumains ou dégradants.</w:t>
      </w:r>
    </w:p>
    <w:p>
      <w:pPr>
        <w:pStyle w:val="Repere"/>
      </w:pPr>
      <w:r>
        <w:t>[[IV-9-b]]  –  ONU, Collection des Traités, état des traités, Protocole facultatif se rapportant à la Convention contre la torture.</w:t>
      </w:r>
    </w:p>
    <w:p>
      <w:pPr>
        <w:pStyle w:val="Repere"/>
      </w:pPr>
      <w:r>
        <w:t>[[IV-8]]  –  ONU, Collection des Traités, état des traités, Convention sur l’élimination de toutes les formes de discrimination à l’égard des femmes.</w:t>
      </w:r>
    </w:p>
    <w:p>
      <w:pPr>
        <w:pStyle w:val="Repere"/>
      </w:pPr>
      <w:r>
        <w:t>[[IV-8-b]]  –  ONU, Collection des Traités, état des traités, Protocole facultatif à la Convention sur l’élimination de toutes les formes de discrimination à l’égard des femme</w:t>
      </w:r>
    </w:p>
    <w:p>
      <w:pPr>
        <w:pStyle w:val="Repere"/>
      </w:pPr>
      <w:r>
        <w:t>[[IV-11]]  –  ONU, Collection des Traités, état des traités, Convention relative aux droits de l’enfant.</w:t>
      </w:r>
    </w:p>
    <w:p>
      <w:pPr>
        <w:pStyle w:val="Repere"/>
      </w:pPr>
      <w:r>
        <w:t>[[IV-2]]  –  ONU, Collection des Traités, état des traités, Convention internationale sur l’élimination de toutes les formes de discrimination raciale.</w:t>
      </w:r>
    </w:p>
    <w:p>
      <w:pPr>
        <w:pStyle w:val="Repere"/>
      </w:pPr>
      <w:r>
        <w:t>[[IV-13]]  –  ONU, Collection des Traités, état des traités, Convention internationale sur la protection des droits de tous les travailleurs migrants et des membres de leur f</w:t>
      </w:r>
    </w:p>
    <w:p>
      <w:pPr>
        <w:pStyle w:val="Repere"/>
      </w:pPr>
      <w:r>
        <w:t>[[IV-16]]  –  ONU, Collection des Traités, état des traités, Convention internationale pour la protection de toutes les personnes contre les disparitions forcées.</w:t>
      </w:r>
    </w:p>
    <w:p>
      <w:pPr>
        <w:pStyle w:val="Repere"/>
      </w:pPr>
      <w:r>
        <w:t>[[V-2]]  –  ONU, Collection des Traités, état des traités, Convention relative au statut des réfugiés.</w:t>
      </w:r>
    </w:p>
    <w:p>
      <w:pPr>
        <w:pStyle w:val="Repere"/>
      </w:pPr>
      <w:r>
        <w:t>[[XVIII-10]]  –  ONU, Collection des Traités, état des traités, Statut de Rome de la Cour pénale internationale.</w:t>
      </w:r>
    </w:p>
    <w:p>
      <w:pPr>
        <w:pStyle w:val="Repere"/>
      </w:pPr>
      <w:r>
        <w:t>[[HCDH-PROCEDURES]]  –  ONU, Haut-Commissariat des Nations Unies aux droits de l’homme, état des ratifications et acceptation des procédures de plaintes et d’enquête.</w:t>
      </w:r>
    </w:p>
    <w:p>
      <w:pPr>
        <w:jc w:val="both"/>
      </w:pPr>
    </w:p>
    <w:p>
      <w:pPr>
        <w:pStyle w:val="Heading2"/>
      </w:pPr>
      <w:r>
        <w:t>B. L’Indonésie et les normes de droit international en matière de droits humains : violations systématiques, systémiques</w:t>
      </w:r>
    </w:p>
    <w:p>
      <w:pPr>
        <w:jc w:val="both"/>
      </w:pPr>
    </w:p>
    <w:p>
      <w:pPr>
        <w:pStyle w:val="Heading3"/>
      </w:pPr>
      <w:r>
        <w:t>1) Violations systématiques et systémiques</w:t>
      </w:r>
    </w:p>
    <w:p>
      <w:pPr>
        <w:jc w:val="both"/>
      </w:pPr>
    </w:p>
    <w:p>
      <w:pPr>
        <w:pStyle w:val="Heading4"/>
      </w:pPr>
      <w:r>
        <w:t>a. Le Pacte international relatif aux droits civils et politiques</w:t>
      </w:r>
    </w:p>
    <w:p>
      <w:pPr>
        <w:pStyle w:val="Aide"/>
      </w:pPr>
      <w:r>
        <w:t>[Observations finales du Comité des droits de l’homme, suivi (lettres de suivi, notes attribuées), état des rapports.]</w:t>
      </w:r>
    </w:p>
    <w:p>
      <w:pPr>
        <w:pStyle w:val="Aide"/>
      </w:pPr>
      <w:r>
        <w:t>[Paragraphes calculés automatiquement le 1er octobre 2026 à partir de la collecte (ratifications, procédures de plaintes, état des rapports, documents de suivi). Vérifiez chaque date et chaque durée, complétez les passages entre crochets, puis supprimez ce paragraphe gris.]</w:t>
      </w:r>
    </w:p>
    <w:p>
      <w:pPr>
        <w:jc w:val="both"/>
      </w:pPr>
      <w:r>
        <w:t>L’Indonésie a adhéré au Pacte international relatif aux droits civils et politiques le 23 février 2006[[TRAITE-PIDCP]].</w:t>
      </w:r>
    </w:p>
    <w:p>
      <w:pPr>
        <w:jc w:val="both"/>
      </w:pPr>
    </w:p>
    <w:p>
      <w:pPr>
        <w:jc w:val="both"/>
      </w:pPr>
      <w:r>
        <w:t>En revanche, l’Indonésie n’a ni signé ni ratifié le Protocole facultatif se rapportant au Pacte international relatif aux droits civils et politiques[[IV-5]], de sorte que le Comité des droits de l’homme ne peut pas recevoir de plaintes émanant de particuliers relevant de sa juridiction.</w:t>
      </w:r>
    </w:p>
    <w:p>
      <w:pPr>
        <w:jc w:val="both"/>
      </w:pPr>
    </w:p>
    <w:p>
      <w:pPr>
        <w:jc w:val="both"/>
      </w:pPr>
      <w:r>
        <w:t>L’Indonésie n’a ni signé ni ratifié le deuxième Protocole facultatif se rapportant au Pacte international relatif aux droits civils et politiques, visant à abolir la peine de mort[[IV-12]].</w:t>
      </w:r>
    </w:p>
    <w:p>
      <w:pPr>
        <w:jc w:val="both"/>
      </w:pPr>
    </w:p>
    <w:p>
      <w:pPr>
        <w:jc w:val="both"/>
      </w:pPr>
      <w:r>
        <w:t>L’Indonésie avait jusqu’au 23 mai 2007 pour transmettre son premier rapport[[ONU-ETAT-RAPPORTS]] et ne l’a soumis que le 19 janvier 2012, soit plus de quatre ans et sept mois après l’échéance du délai.</w:t>
      </w:r>
    </w:p>
    <w:p>
      <w:pPr>
        <w:jc w:val="both"/>
      </w:pPr>
    </w:p>
    <w:p>
      <w:pPr>
        <w:jc w:val="both"/>
      </w:pPr>
      <w:r>
        <w:t>L’Indonésie avait jusqu’au 26 juillet 2017 pour transmettre son deuxième rapport périodique[[ONU-ETAT-RAPPORTS]] et ne l’a soumis que le 29 juillet 2021, soit plus de quatre ans après l’échéance du délai.</w:t>
      </w:r>
    </w:p>
    <w:p>
      <w:pPr>
        <w:jc w:val="both"/>
      </w:pPr>
    </w:p>
    <w:p>
      <w:pPr>
        <w:jc w:val="both"/>
      </w:pPr>
      <w:r>
        <w:t>Dans le cadre de la procédure de suivi des observations finales, le Comité des droits de l’homme a adressé à l’Indonésie des courriers le 12 mai 2016[[INT/CCPR/FUL/IDN/21848]] et le 18 avril 2017[[INT/CCPR/FUL/IDN/27205]] [vérifiez dans le dernier courrier la note attribuée par le Comité et la clôture éventuelle de la procédure de suivi].</w:t>
      </w:r>
    </w:p>
    <w:p>
      <w:pPr>
        <w:jc w:val="both"/>
      </w:pPr>
    </w:p>
    <w:p>
      <w:pPr>
        <w:jc w:val="both"/>
      </w:pPr>
      <w:r>
        <w:t>Aucune réponse de l’Indonésie postérieure au dernier courrier du Comité, du 18 avril 2017, ne figure parmi les documents collectés, soit depuis plus de neuf ans et cinq mois[[ONU-ETAT-RAPPORTS]] [à vérifier dans l’état des rapports].</w:t>
      </w:r>
    </w:p>
    <w:p>
      <w:pPr>
        <w:jc w:val="both"/>
      </w:pPr>
    </w:p>
    <w:p>
      <w:pPr>
        <w:jc w:val="both"/>
      </w:pPr>
      <w:r>
        <w:t>Les observations finales les plus récentes du Comité des droits de l’homme datent du 3 mai 2024[[CCPR/C/IDN/CO/2]].</w:t>
      </w:r>
    </w:p>
    <w:p>
      <w:pPr>
        <w:jc w:val="both"/>
      </w:pPr>
    </w:p>
    <w:p>
      <w:pPr>
        <w:jc w:val="both"/>
      </w:pPr>
      <w:r>
        <w:t>Dès lors, conformément à l’article 40 du Pacte, l’Indonésie a l’obligation de fournir au Comité des droits de l’homme un rapport sur les mesures prises pour donner effet aux droits consacrés par le Pacte. Ce rapport doit être fourni dans un délai d’un an à compter de l’entrée en vigueur du Pacte à l’égard de l’État (art. 40, §1, a), du Pacte) et, par la suite, chaque fois que le Comité en fait la demande (art. 40, §1, b), du Pacte)[[PIDCP, art. 40]].</w:t>
      </w:r>
    </w:p>
    <w:p>
      <w:pPr>
        <w:jc w:val="both"/>
      </w:pPr>
    </w:p>
    <w:p>
      <w:pPr>
        <w:pStyle w:val="Repere"/>
      </w:pPr>
      <w:r>
        <w:t>[[CCPR/C/IDN/CO/1]]  –  ONU, Comité des droits de l’homme, observations finales concernant le rapport initial de l’Indonésie, CCPR/C/IDN/CO/1, 21 août 2013.</w:t>
      </w:r>
    </w:p>
    <w:p>
      <w:pPr>
        <w:pStyle w:val="Repere"/>
      </w:pPr>
      <w:r>
        <w:t>[[CCPR/C/IDN/CO/2]]  –  ONU, Comité des droits de l’homme, observations finales concernant le deuxième rapport périodique de l’Indonésie, CCPR/C/IDN/CO/2, 3 mai 2024.</w:t>
      </w:r>
    </w:p>
    <w:p>
      <w:pPr>
        <w:pStyle w:val="Repere"/>
      </w:pPr>
      <w:r>
        <w:t>[[CCPR/C/IDN/CO/1/Add.1]]  –  ONU, Comité des droits de l’homme, réponse de l’Indonésie, CCPR/C/IDN/CO/1/Add.1, 5 octobre 2015.</w:t>
      </w:r>
    </w:p>
    <w:p>
      <w:pPr>
        <w:pStyle w:val="Repere"/>
      </w:pPr>
      <w:r>
        <w:t>[[INT/CCPR/FUL/IDN/21848]]  –  ONU, Comité des droits de l’homme, courrier de suivi du Comité, INT/CCPR/FUL/IDN/21848, 12 mai 2016.</w:t>
      </w:r>
    </w:p>
    <w:p>
      <w:pPr>
        <w:pStyle w:val="Repere"/>
      </w:pPr>
      <w:r>
        <w:t>[[INT/CCPR/FUL/IDN/27205]]  –  ONU, Comité des droits de l’homme, courrier de suivi du Comité, INT/CCPR/FUL/IDN/27205, 18 avril 2017.</w:t>
      </w:r>
    </w:p>
    <w:p>
      <w:pPr>
        <w:jc w:val="both"/>
      </w:pPr>
    </w:p>
    <w:p>
      <w:pPr>
        <w:pStyle w:val="Heading4"/>
      </w:pPr>
      <w:r>
        <w:t>b. La Convention contre la torture et autres peines ou traitements cruels, inhumains ou dégradants</w:t>
      </w:r>
    </w:p>
    <w:p>
      <w:pPr>
        <w:pStyle w:val="Aide"/>
      </w:pPr>
      <w:r>
        <w:t>[Observations finales du Comité contre la torture, listes de points, suivi.]</w:t>
      </w:r>
    </w:p>
    <w:p>
      <w:pPr>
        <w:pStyle w:val="Aide"/>
      </w:pPr>
      <w:r>
        <w:t>[Paragraphes calculés automatiquement le 1er octobre 2026 à partir de la collecte (ratifications, procédures de plaintes, état des rapports, documents de suivi). Vérifiez chaque date et chaque durée, complétez les passages entre crochets, puis supprimez ce paragraphe gris.]</w:t>
      </w:r>
    </w:p>
    <w:p>
      <w:pPr>
        <w:jc w:val="both"/>
      </w:pPr>
      <w:r>
        <w:t>L’Indonésie a ratifié la Convention contre la torture et autres peines ou traitements cruels, inhumains ou dégradants le 28 octobre 1998[[TRAITE-CAT]].</w:t>
      </w:r>
    </w:p>
    <w:p>
      <w:pPr>
        <w:jc w:val="both"/>
      </w:pPr>
    </w:p>
    <w:p>
      <w:pPr>
        <w:jc w:val="both"/>
      </w:pPr>
      <w:r>
        <w:t>L’Indonésie n’a ni signé ni ratifié le Protocole facultatif se rapportant à la Convention contre la torture[[IV-9-b]] : aucun mécanisme international de visite des lieux de détention (Sous-comité pour la prévention de la torture) n’est donc prévu.</w:t>
      </w:r>
    </w:p>
    <w:p>
      <w:pPr>
        <w:jc w:val="both"/>
      </w:pPr>
    </w:p>
    <w:p>
      <w:pPr>
        <w:jc w:val="both"/>
      </w:pPr>
      <w:r>
        <w:t>Toutefois, l’Indonésie n’a pas fait les déclarations prévues aux articles 21 et 22 de la Convention[[HCDH-PROCEDURES]], de sorte que l’État ne reconnaît pas la compétence du Comité contre la torture pour connaître de plaintes déposées par d’autres États parties à la Convention (art. 21 de la Convention contre la torture) ou par des individus relevant de sa juridiction (art. 22 de la Convention contre la torture)[[HCDH-PROCEDURES]]. Autrement dit, une personne victime de torture en Indonésie ne peut pas saisir le Comité.</w:t>
      </w:r>
    </w:p>
    <w:p>
      <w:pPr>
        <w:jc w:val="both"/>
      </w:pPr>
    </w:p>
    <w:p>
      <w:pPr>
        <w:jc w:val="both"/>
      </w:pPr>
      <w:r>
        <w:t>L’Indonésie devait transmettre son troisième rapport périodique au plus tard le 30 juin 2012[[ONU-ETAT-RAPPORTS]] ; à la date du présent courrier, l’État ne l’a toujours pas soumis, soit un retard de plus de quatorze ans et trois mois [à vérifier : le rapport peut avoir été reçu sans figurer parmi les documents collectés].</w:t>
      </w:r>
    </w:p>
    <w:p>
      <w:pPr>
        <w:jc w:val="both"/>
      </w:pPr>
    </w:p>
    <w:p>
      <w:pPr>
        <w:jc w:val="both"/>
      </w:pPr>
      <w:r>
        <w:t>Les observations finales les plus récentes du Comité contre la torture datent du 2 juillet 2008[[CAT/C/IDN/CO/2]] : la situation de l’Indonésie n’a donc plus été examinée par ce Comité depuis plus de dix-huit ans et deux mois.</w:t>
      </w:r>
    </w:p>
    <w:p>
      <w:pPr>
        <w:jc w:val="both"/>
      </w:pPr>
    </w:p>
    <w:p>
      <w:pPr>
        <w:jc w:val="both"/>
      </w:pPr>
      <w:r>
        <w:t>En outre, l’article 20 de la Convention prévoit un mécanisme d’enquête coopératif permettant au Comité contre la torture, en cas d’indications fondées de pratique systématique de la torture, d’enquêter, de faire rapport et d’émettre des recommandations à l’État partie, dont il assure le suivi[[CAT, art. 20]]. Ce mécanisme va au-delà de la seule procédure de rapports et de suivi prévue par le Pacte international relatif aux droits civils et politiques. De plus, le paragraphe 3 de l’article 20 de la Convention prévoit qu’une visite sur place est possible avec l’accord de l’État partie. [Toutefois, l’Indonésie a fait une déclaration concernant l’article 20 de la Convention[[TRAITE-CAT]].]</w:t>
      </w:r>
    </w:p>
    <w:p>
      <w:pPr>
        <w:jc w:val="both"/>
      </w:pPr>
    </w:p>
    <w:p>
      <w:pPr>
        <w:jc w:val="both"/>
      </w:pPr>
      <w:r>
        <w:t>[En effet, l’Indonésie a déclaré : « texte de la déclaration, à recopier depuis la Collection des Traités ; pour l’Indonésie : Le Gouvernement de la République d’Indonésie déclare que les dispositions contenues dans les paragraphes 1, 2 et 3 de l’article 20 de la Convention devront être appliquées dans le strict respect des principes de la souveraineté et de l’intégrité territoriale des États »[[TRAITE-CAT]].]</w:t>
      </w:r>
    </w:p>
    <w:p>
      <w:pPr>
        <w:jc w:val="both"/>
      </w:pPr>
    </w:p>
    <w:p>
      <w:pPr>
        <w:jc w:val="both"/>
      </w:pPr>
      <w:r>
        <w:t xml:space="preserve">Certes, il ne s’agit pas d’une « réserve » au sens le plus strict du terme. Toutefois, l’article 2, §1, d), de la Convention de Vienne sur le droit des traités de 1969 définit la notion de « réserve » comme une « déclaration unilatérale, </w:t>
      </w:r>
      <w:r>
        <w:rPr>
          <w:u w:val="single"/>
        </w:rPr>
        <w:t>quel que soit son libellé ou sa désignation</w:t>
      </w:r>
      <w:r>
        <w:t>, faite par un État quand il signe, ratifie, accepte ou approuve un traité ou y adhère, par laquelle il vise à exclure ou à modifier l’effet juridique de certaines dispositions du traité dans leur application à cet État »[[VIENNE1969, art. 2, §1, d) +souligne]].</w:t>
      </w:r>
    </w:p>
    <w:p>
      <w:pPr>
        <w:jc w:val="both"/>
      </w:pPr>
    </w:p>
    <w:p>
      <w:pPr>
        <w:jc w:val="both"/>
      </w:pPr>
      <w:r>
        <w:t>[Certes, l’Indonésie n’a pas ratifié la Convention de Vienne sur le droit des traités[[TRAITE-VIENNE]]. Toutefois, la] Cour internationale de Justice reconnaît le caractère coutumier de règles contenues dans cette convention[[CIJ-CAMEROUN-NIGERIA, p. 429, §263]]. Ensuite, rappelons que la consécration d’une règle coutumière par un traité ne fait pas disparaître la règle coutumière : les deux règles sont applicables et continuent d’exister côte à côte[[CIJ-NICARAGUA, p. 94, §176]]. Enfin, cette conception de la réserve prévalait déjà avant la naissance de la Convention de Vienne sur le droit des traités[[SHATZKY-1933, pp. 216-217 ; MEEK-1955, p. 41 ; MCRAE-1978, p. 156]].</w:t>
      </w:r>
    </w:p>
    <w:p>
      <w:pPr>
        <w:jc w:val="both"/>
      </w:pPr>
    </w:p>
    <w:p>
      <w:pPr>
        <w:jc w:val="both"/>
      </w:pPr>
      <w:r>
        <w:t>Dès lors, il convient d’avoir égard au contenu de la déclaration faite par l’Indonésie plutôt qu’à l’intitulé de ladite déclaration. [Analyse propre au pays. Exemple pour l’Indonésie : Par conséquent, en déclarant que l’article 20 de la Convention contre la torture doit être appliqué dans le strict respect de sa souveraineté et de son intégrité territoriale, l’Indonésie marque son intention de se dégager du contrôle du Comité contre la torture tout en pouvant affirmer qu’elle est tenue par l’article 20 de la Convention contre la torture. En effet, l’insistance de l’Indonésie quant à sa souveraineté indique une volonté de l’État indonésien de marquer son champ de compétence et traduit à tout le moins une attitude réfractaire envers tout mécanisme de contrôle et de surveillance de la situation des droits de l’homme sur son territoire puisque, outre cette déclaration, l’Indonésie n’a pas non plus fait la déclaration permettant au Comité de connaître de plaintes émanant d’individus relevant de sa juridiction. En outre, l’attitude de l’Indonésie semble confirmer notre interprétation de sa déclaration puisque l’Indonésie ne répond plus aux sollicitations du Comité contre la torture depuis [année] (note : repère de l’état des rapports).]</w:t>
      </w:r>
    </w:p>
    <w:p>
      <w:pPr>
        <w:jc w:val="both"/>
      </w:pPr>
    </w:p>
    <w:p>
      <w:pPr>
        <w:pStyle w:val="Repere"/>
      </w:pPr>
      <w:r>
        <w:t>[[CAT/C/IDN/CO/2]]  –  ONU, Comité contre la torture, observations finales concernant le deuxième rapport périodique de l’Indonésie, CAT/C/IDN/CO/2, 2 juillet 2008.</w:t>
      </w:r>
    </w:p>
    <w:p>
      <w:pPr>
        <w:pStyle w:val="Repere"/>
      </w:pPr>
      <w:r>
        <w:t>[[PIECE 04_Certificat_medical_FICTIF]]  –  Dr D. Exemple, Certificat médical concernant Madame A. Exemple (document fictif), 22 septembre 2026.</w:t>
      </w:r>
    </w:p>
    <w:p>
      <w:pPr>
        <w:jc w:val="both"/>
      </w:pPr>
    </w:p>
    <w:p>
      <w:pPr>
        <w:pStyle w:val="Heading4"/>
      </w:pPr>
      <w:r>
        <w:t>c. Le Pacte international relatif aux droits économiques, sociaux et culturels</w:t>
      </w:r>
    </w:p>
    <w:p>
      <w:pPr>
        <w:pStyle w:val="Aide"/>
      </w:pPr>
      <w:r>
        <w:t>[Observations finales du Comité des droits économiques, sociaux et culturels (santé, travail, éducation, discriminations).]</w:t>
      </w:r>
    </w:p>
    <w:p>
      <w:pPr>
        <w:pStyle w:val="Aide"/>
      </w:pPr>
      <w:r>
        <w:t>[Paragraphes calculés automatiquement le 1er octobre 2026 à partir de la collecte (ratifications, procédures de plaintes, état des rapports, documents de suivi). Vérifiez chaque date et chaque durée, complétez les passages entre crochets, puis supprimez ce paragraphe gris.]</w:t>
      </w:r>
    </w:p>
    <w:p>
      <w:pPr>
        <w:jc w:val="both"/>
      </w:pPr>
      <w:r>
        <w:t>L’Indonésie a adhéré au Pacte international relatif aux droits économiques, sociaux et culturels le 23 février 2006[[IV-3]].</w:t>
      </w:r>
    </w:p>
    <w:p>
      <w:pPr>
        <w:jc w:val="both"/>
      </w:pPr>
    </w:p>
    <w:p>
      <w:pPr>
        <w:jc w:val="both"/>
      </w:pPr>
      <w:r>
        <w:t>L’Indonésie n’a ni signé ni ratifié le Protocole facultatif se rapportant au Pacte international relatif aux droits économiques, sociaux et culturels[[IV-3-a]].</w:t>
      </w:r>
    </w:p>
    <w:p>
      <w:pPr>
        <w:jc w:val="both"/>
      </w:pPr>
    </w:p>
    <w:p>
      <w:pPr>
        <w:jc w:val="both"/>
      </w:pPr>
      <w:r>
        <w:t>L’Indonésie avait jusqu’au 31 mai 2019 pour transmettre son deuxième rapport périodique[[ONU-ETAT-RAPPORTS]] et ne l’a soumis que le 13 avril 2021, soit plus d’un an et dix mois après l’échéance du délai.</w:t>
      </w:r>
    </w:p>
    <w:p>
      <w:pPr>
        <w:jc w:val="both"/>
      </w:pPr>
    </w:p>
    <w:p>
      <w:pPr>
        <w:jc w:val="both"/>
      </w:pPr>
    </w:p>
    <w:p>
      <w:pPr>
        <w:pStyle w:val="Heading4"/>
      </w:pPr>
      <w:r>
        <w:t>d. Autres instruments</w:t>
      </w:r>
    </w:p>
    <w:p>
      <w:pPr>
        <w:pStyle w:val="Aide"/>
      </w:pPr>
      <w:r>
        <w:t>[Autres comités (CEDAW, CRC, CERD…), OIT, etc.]</w:t>
      </w:r>
    </w:p>
    <w:p>
      <w:pPr>
        <w:pStyle w:val="Aide"/>
      </w:pPr>
      <w:r>
        <w:t>[Paragraphes calculés automatiquement le 1er octobre 2026 à partir de la collecte (ratifications, procédures de plaintes, état des rapports, documents de suivi). Vérifiez chaque date et chaque durée, complétez les passages entre crochets, puis supprimez ce paragraphe gris.]</w:t>
      </w:r>
    </w:p>
    <w:p>
      <w:pPr>
        <w:jc w:val="both"/>
      </w:pPr>
      <w:r>
        <w:t>L’Indonésie a ratifié la Convention sur l’élimination de toutes les formes de discrimination à l’égard des femmes le 13 septembre 1984[[IV-8]].</w:t>
      </w:r>
    </w:p>
    <w:p>
      <w:pPr>
        <w:jc w:val="both"/>
      </w:pPr>
    </w:p>
    <w:p>
      <w:pPr>
        <w:jc w:val="both"/>
      </w:pPr>
      <w:r>
        <w:t>L’Indonésie a signé le Protocole facultatif à la Convention sur l’élimination de toutes les formes de discrimination à l’égard des femmes le 28 février 2000, mais ne l’a pas ratifié[[IV-8-b]].</w:t>
      </w:r>
    </w:p>
    <w:p>
      <w:pPr>
        <w:jc w:val="both"/>
      </w:pPr>
    </w:p>
    <w:p>
      <w:pPr>
        <w:jc w:val="both"/>
      </w:pPr>
      <w:r>
        <w:t>L’Indonésie a ratifié la Convention relative aux droits de l’enfant le 5 septembre 1990[[IV-11]].</w:t>
      </w:r>
    </w:p>
    <w:p>
      <w:pPr>
        <w:jc w:val="both"/>
      </w:pPr>
    </w:p>
    <w:p>
      <w:pPr>
        <w:jc w:val="both"/>
      </w:pPr>
      <w:r>
        <w:t>L’Indonésie a adhéré à la Convention internationale sur l’élimination de toutes les formes de discrimination raciale le 25 juin 1999[[IV-2]].</w:t>
      </w:r>
    </w:p>
    <w:p>
      <w:pPr>
        <w:jc w:val="both"/>
      </w:pPr>
    </w:p>
    <w:p>
      <w:pPr>
        <w:jc w:val="both"/>
      </w:pPr>
      <w:r>
        <w:t>L’Indonésie n’a pas fait la déclaration prévue à l’article 14 de la Convention internationale sur l’élimination de toutes les formes de discrimination raciale : le Comité pour l’élimination de la discrimination raciale ne peut pas recevoir de plaintes émanant de particuliers[[HCDH-PROCEDURES]].</w:t>
      </w:r>
    </w:p>
    <w:p>
      <w:pPr>
        <w:jc w:val="both"/>
      </w:pPr>
    </w:p>
    <w:p>
      <w:pPr>
        <w:jc w:val="both"/>
      </w:pPr>
      <w:r>
        <w:t>L’Indonésie a ratifié la Convention internationale sur la protection des droits de tous les travailleurs migrants et des membres de leur famille le 31 mai 2012[[IV-13]].</w:t>
      </w:r>
    </w:p>
    <w:p>
      <w:pPr>
        <w:jc w:val="both"/>
      </w:pPr>
    </w:p>
    <w:p>
      <w:pPr>
        <w:jc w:val="both"/>
      </w:pPr>
      <w:r>
        <w:t>L’Indonésie n’a pas fait la déclaration prévue à l’article 77 de la Convention internationale sur la protection des droits de tous les travailleurs migrants et des membres de leur famille : le Comité des travailleurs migrants ne peut pas recevoir de plaintes émanant de particuliers[[HCDH-PROCEDURES]].</w:t>
      </w:r>
    </w:p>
    <w:p>
      <w:pPr>
        <w:jc w:val="both"/>
      </w:pPr>
    </w:p>
    <w:p>
      <w:pPr>
        <w:jc w:val="both"/>
      </w:pPr>
    </w:p>
    <w:p>
      <w:pPr>
        <w:pStyle w:val="Heading3"/>
      </w:pPr>
      <w:r>
        <w:t>2) Des violations persistantes</w:t>
      </w:r>
    </w:p>
    <w:p>
      <w:pPr>
        <w:jc w:val="both"/>
      </w:pPr>
    </w:p>
    <w:p>
      <w:pPr>
        <w:pStyle w:val="Heading4"/>
      </w:pPr>
      <w:r>
        <w:t>a. Les constatations des ONG</w:t>
      </w:r>
    </w:p>
    <w:p>
      <w:pPr>
        <w:jc w:val="both"/>
      </w:pPr>
    </w:p>
    <w:p>
      <w:pPr>
        <w:pStyle w:val="Heading4"/>
      </w:pPr>
      <w:r>
        <w:t>b. Les constatations des gouvernements et organisations régionales</w:t>
      </w:r>
    </w:p>
    <w:p>
      <w:pPr>
        <w:pStyle w:val="Aide"/>
      </w:pPr>
      <w:r>
        <w:t>[Département d’État des États-Unis, EUAA…]</w:t>
      </w:r>
    </w:p>
    <w:p>
      <w:pPr>
        <w:jc w:val="both"/>
      </w:pPr>
    </w:p>
    <w:p>
      <w:pPr>
        <w:pStyle w:val="Heading4"/>
      </w:pPr>
      <w:r>
        <w:t>c. L’Examen périodique universel : recommandations acceptées et rejetées</w:t>
      </w:r>
    </w:p>
    <w:p>
      <w:pPr>
        <w:pStyle w:val="Aide"/>
      </w:pPr>
      <w:r>
        <w:t>[Rapport du Groupe de travail et additif (recommandations « notées » = refusées).]</w:t>
      </w:r>
    </w:p>
    <w:p>
      <w:pPr>
        <w:jc w:val="both"/>
      </w:pPr>
    </w:p>
    <w:p>
      <w:pPr>
        <w:pStyle w:val="Heading4"/>
      </w:pPr>
      <w:r>
        <w:t>d. Les constatations les plus récentes</w:t>
      </w:r>
    </w:p>
    <w:p>
      <w:pPr>
        <w:pStyle w:val="Aide"/>
      </w:pPr>
      <w:r>
        <w:t>[Haut-Commissariat, procédures spéciales, presse.]</w:t>
      </w:r>
    </w:p>
    <w:p>
      <w:pPr>
        <w:jc w:val="both"/>
      </w:pPr>
    </w:p>
    <w:p>
      <w:pPr>
        <w:pStyle w:val="Heading3"/>
      </w:pPr>
      <w:r>
        <w:t>3) Conclusion générale sur la situation des droits humains en Indonésie</w:t>
      </w:r>
    </w:p>
    <w:p>
      <w:pPr>
        <w:jc w:val="both"/>
      </w:pPr>
    </w:p>
    <w:p>
      <w:pPr>
        <w:pStyle w:val="Heading1"/>
      </w:pPr>
      <w:r>
        <w:t>III. La situation de la demanderesse au regard de la situation en Indonésie</w:t>
      </w:r>
    </w:p>
    <w:p>
      <w:pPr>
        <w:pStyle w:val="Aide"/>
      </w:pPr>
      <w:r>
        <w:t>[Reliez le profil de chaque personne aux constats de la partie II : qui est visé, par qui, avec quelle protection effective ?]</w:t>
      </w:r>
    </w:p>
    <w:p>
      <w:pPr>
        <w:jc w:val="both"/>
      </w:pPr>
    </w:p>
    <w:p>
      <w:pPr>
        <w:pStyle w:val="Heading2"/>
      </w:pPr>
      <w:r>
        <w:t>A. Madame A. Exemple</w:t>
      </w:r>
    </w:p>
    <w:p>
      <w:pPr>
        <w:pStyle w:val="Repere"/>
      </w:pPr>
      <w:r>
        <w:t>[[PIECE 01_Attestation_scolarite_FICTIVE]]  –  Athénée Exemple, Attestation de scolarité de B. Exemple (document fictif), 12 septembre 2026.</w:t>
      </w:r>
    </w:p>
    <w:p>
      <w:pPr>
        <w:pStyle w:val="Repere"/>
      </w:pPr>
      <w:r>
        <w:t>[[PIECE 02_Temoignage_FICTIF]]  –  C. Témoin, Témoignage (document fictif), 20 septembre 2026.</w:t>
      </w:r>
    </w:p>
    <w:p>
      <w:pPr>
        <w:pStyle w:val="Repere"/>
      </w:pPr>
      <w:r>
        <w:t>[[PIECE 03_Carte_identite_SPECIMEN]]  –  Carte identite SPECIMEN.</w:t>
      </w:r>
    </w:p>
    <w:p>
      <w:pPr>
        <w:pStyle w:val="Repere"/>
      </w:pPr>
      <w:r>
        <w:t>[[PIECE 04_Certificat_medical_FICTIF]]  –  Dr D. Exemple, Certificat médical concernant Madame A. Exemple (document fictif), 22 septembre 2026.</w:t>
      </w:r>
    </w:p>
    <w:p>
      <w:pPr>
        <w:jc w:val="both"/>
      </w:pPr>
    </w:p>
    <w:p>
      <w:pPr>
        <w:pStyle w:val="Heading2"/>
      </w:pPr>
      <w:r>
        <w:t>B. [Conjoint·e]</w:t>
      </w:r>
    </w:p>
    <w:p>
      <w:pPr>
        <w:jc w:val="both"/>
      </w:pPr>
    </w:p>
    <w:p>
      <w:pPr>
        <w:pStyle w:val="Heading2"/>
      </w:pPr>
      <w:r>
        <w:t>C. Les enfants</w:t>
      </w:r>
    </w:p>
    <w:p>
      <w:pPr>
        <w:jc w:val="both"/>
      </w:pPr>
    </w:p>
    <w:p>
      <w:pPr>
        <w:pStyle w:val="Heading2"/>
      </w:pPr>
      <w:r>
        <w:t>D. Conclusion</w:t>
      </w:r>
    </w:p>
    <w:p>
      <w:pPr>
        <w:jc w:val="both"/>
      </w:pPr>
    </w:p>
    <w:p>
      <w:pPr>
        <w:pStyle w:val="Heading1"/>
      </w:pPr>
      <w:r>
        <w:t>IV. La demande</w:t>
      </w:r>
    </w:p>
    <w:p>
      <w:pPr>
        <w:pStyle w:val="Aide"/>
      </w:pPr>
      <w:r>
        <w:t>[Bases : art. 3 de la Convention européenne des droits de l’homme, art. 3 de la Convention contre la torture, art. 33 de la Convention de 1951 relative au statut des réfugiés, art. 74/13 de la loi du 15 décembre 1980 (intérêt supérieur de l’enfant, vie familiale, état de santé) ; jurisprudence de la Cour eur. D.H. et du C.C.E.]</w:t>
      </w:r>
    </w:p>
    <w:p>
      <w:pPr>
        <w:jc w:val="both"/>
      </w:pPr>
      <w:r>
        <w:t>Rappelons que la Belgique a ratifié – et est donc liée par – la Convention contre la torture et autres peines ou traitements cruels, inhumains ou dégradants[[TRAITE-CAT]]. L’article 3 de cette Convention prévoit qu’« aucun État partie n’expulsera, ne refoulera, ni n’extradera une personne vers un autre État où il y a des motifs sérieux de croire qu’elle risque d’être soumise à la torture ». Dès lors, la Belgique a l’obligation de s’abstenir d’expulser un individu de nationalité étrangère, même s’il n’est pas bénéficiaire d’une protection internationale, lorsqu’il existe des motifs sérieux de croire qu’il risque d’être soumis à la torture. De même, l’article 33 de la Convention de Genève interdit d’expulser ou de refouler un demandeur d’asile vers les frontières des territoires où sa vie ou sa liberté serait menacée en raison notamment de sa religion ou de ses opinions politiques[[GENEVE, art. 33]].</w:t>
      </w:r>
    </w:p>
    <w:p>
      <w:pPr>
        <w:jc w:val="both"/>
      </w:pPr>
    </w:p>
    <w:p>
      <w:pPr>
        <w:jc w:val="both"/>
      </w:pPr>
      <w:r>
        <w:t>Rappelons que la protection offerte par l’article 33 de la Convention de 1951 relative au statut des réfugiés ne bénéficie pas uniquement aux personnes qui se sont déjà vu reconnaître formellement le statut de réfugié, mais également aux demandeurs d’asile dont la demande n’a pas encore été examinée, et plus largement à toute personne qui remplit les conditions pour être reconnue réfugiée. En effet, le statut de réfugié revêt un caractère déclaratif et non constitutif : une personne est un réfugié, au sens de la Convention de 1951, dès qu’elle satisfait aux critères énoncés dans la définition de l’article 1er, A, 2, et cette situation est nécessairement antérieure à la reconnaissance formelle de son statut. Autrement dit, « une personne ne devient pas un réfugié du fait de sa reconnaissance en tant que tel, mais est reconnue en tant que tel parce qu’elle est un réfugié »[[HCR-GUIDE, §28 ; GICQUEL]]. Ce caractère déclaratif est expressément consacré par le droit de l’Union européenne, qui précise que « la reconnaissance du statut de réfugié est un acte déclaratif »[[REG2024-1347, considérant 22 ; DIR2011-95, considérant 21]]. Cela a été rappelé par la Cour de justice de l’Union européenne en 2019[[CJUE-M, §§85-92]] : « il découle des considérations qui précèdent que la qualité de “réfugié”, au sens de l’article 2, sous d), de la directive 2011/95 et de l’article 1er, section A, de la convention de Genève, ne dépend pas de la reconnaissance formelle de cette qualité par l’octroi du “statut de réfugié”, au sens de l’article 2, sous e), de cette directive, lu en combinaison avec l’article 13 de cette dernière »[[CJUE-M, §92]]. Il en découle que le principe de non-refoulement « s’applique non seulement aux réfugiés reconnus, mais aussi à ceux dont le statut n’a pas été formellement déclaré »[[GICQUEL]]. Le Comité exécutif du Haut-Commissariat des Nations Unies pour les réfugiés l’a d’ailleurs réaffirmé à plusieurs reprises, en soulignant que ce principe protège toute personne susceptible d’être persécutée, qu’elle ait ou non été officiellement reconnue comme réfugiée[[HCR-EXCOM6 ; HCR-AVIS2007, §6 ; GICQUEL]]. De plus, en 2020, l’Agence des droits fondamentaux de l’Union européenne et le Conseil de l’Europe rappellent également que l’article 33 de la Convention de 1951 interdit le retour « des réfugiés et des demandeurs d’asile » vers des pays où ils risquent d’être persécutés, et que ces obligations « n’admettent aucune dérogation, ni exception ou limitation »[[FRA2020, p.5]].</w:t>
      </w:r>
    </w:p>
    <w:p>
      <w:pPr>
        <w:jc w:val="both"/>
      </w:pPr>
    </w:p>
    <w:p>
      <w:pPr>
        <w:jc w:val="both"/>
      </w:pPr>
      <w:r>
        <w:t>Par ailleurs, rappelons que la Cour européenne des droits de l’homme a, à plusieurs reprises, souligné qu’un individu – même un criminel étranger – ne pouvait pas être expulsé s’il existe de sérieux motifs de croire qu’il sera soumis à des actes de torture ou à des traitements inhumains ou dégradants[[SOERING, §88 ; X-SUEDE-2018, §§52-56 ; X-PAYSBAS-2018, §71 +souligne]]. Autrement dit, la Cour européenne des droits de l’homme a dit pour droit qu’une personne étrangère ne peut être expulsée vers son pays d’origine s’il existe de sérieux motifs de croire qu’elle y sera soumise à des traitements contraires à l’article 3 de la Convention européenne des droits de l’homme – des actes de torture ou des traitements inhumains ou dégradants. La Cour a étendu l’interdiction d’expulsion aux cas de risque de traitements inhumains ou dégradants et ne limite pas le champ de cette obligation d’abstention aux cas de torture[[SOERING, §88]]. Cette interdiction s’applique également lorsque le risque émane d’acteurs non étatiques et que les autorités du pays de destination ne sont pas en mesure ou ne souhaitent pas y parer par une protection appropriée[[HLR, §40]]. La Cour a en outre condamné la Belgique pour avoir éloigné un demandeur sans avoir vérifié le risque qu’il encourait dans le pays de destination[[MSS]].</w:t>
      </w:r>
    </w:p>
    <w:p>
      <w:pPr>
        <w:jc w:val="both"/>
      </w:pPr>
    </w:p>
    <w:p>
      <w:pPr>
        <w:jc w:val="both"/>
      </w:pPr>
      <w:r>
        <w:t>Enfin, le Conseil du contentieux des étrangers applique les principes dégagés par la jurisprudence de la Cour européenne des droits de l’homme[[CCE-212381]]. Par conséquent, l’État belge ne peut pas expulser une personne étrangère lorsqu’il existe de sérieux motifs de croire qu’elle sera soumise à des actes de torture ou à des traitements inhumains ou dégradants ou sans avoir vérifié le risque qu’elle encourait dans le pays de destination.</w:t>
      </w:r>
    </w:p>
    <w:p>
      <w:pPr>
        <w:jc w:val="both"/>
      </w:pPr>
    </w:p>
    <w:p>
      <w:pPr>
        <w:jc w:val="both"/>
      </w:pPr>
      <w:r>
        <w:t>Par ailleurs, l’article 74/13 de la loi du 15 décembre 1980 impose, lors de la prise d’une décision d’éloignement, de tenir compte de l’intérêt supérieur de l’enfant, de la vie familiale et de l’état de santé du ressortissant d’un pays tiers concerné[[LOI1980, art. 74/13]]. L’intérêt supérieur de l’enfant doit en outre être une considération primordiale dans toutes les décisions qui le concernent, conformément à l’article 3 de la Convention relative aux droits de l’enfant et à l’article 22bis de la Constitution[[CIDE, art. 3, §1er ; CONSTITUTION, art. 22bis]]. Or, en l’espèce, un ordre de quitter le territoire exposerait [les enfants], qui ont grandi en Belgique et y sont scolarisés, aux risques de persécution ou de traitements inhumains ou dégradants décrits ci-dessus (supra).</w:t>
      </w:r>
    </w:p>
    <w:p>
      <w:pPr>
        <w:jc w:val="both"/>
      </w:pPr>
    </w:p>
    <w:p>
      <w:pPr>
        <w:jc w:val="both"/>
      </w:pPr>
      <w:r>
        <w:t>Au regard de tout ce qui précède, [nous nous joignons à Madame A. Exemple, et aux membres de sa famille, pour demander] respectueusement à l’Office des étrangers :</w:t>
      </w:r>
    </w:p>
    <w:p>
      <w:pPr>
        <w:jc w:val="both"/>
      </w:pPr>
    </w:p>
    <w:p>
      <w:pPr>
        <w:jc w:val="both"/>
      </w:pPr>
      <w:r>
        <w:t>de ne pas délivrer d’ordre de quitter le territoire à Madame A. Exemple[ et aux membres de sa famille] ;</w:t>
      </w:r>
    </w:p>
    <w:p>
      <w:pPr>
        <w:jc w:val="both"/>
      </w:pPr>
    </w:p>
    <w:p>
      <w:pPr>
        <w:jc w:val="both"/>
      </w:pPr>
      <w:r>
        <w:t>de reconnaître qu’elle bénéficie de la protection du principe de non-refoulement, en application de l’article 3 de la Convention européenne des droits de l’homme, de l’article 3 de la Convention contre la torture et de l’article 33 de la Convention de Genève, dès lors qu’il existe des motifs sérieux de croire qu’elle courrait, en cas de retour en Indonésie, un risque réel d’être soumise à la torture ou à des traitements inhumains ou dégradants ;</w:t>
      </w:r>
    </w:p>
    <w:p>
      <w:pPr>
        <w:jc w:val="both"/>
      </w:pPr>
    </w:p>
    <w:p>
      <w:pPr>
        <w:jc w:val="both"/>
      </w:pPr>
      <w:r>
        <w:t>à tout le moins, de tenir compte, conformément à l’article 74/13 de la loi du 15 décembre 1980, de l’intérêt supérieur des enfants, de la vie familiale de la demanderesse et des risques qu’elle encourt en Indonésie avant toute décision d’éloignement.</w:t>
      </w:r>
    </w:p>
    <w:p>
      <w:pPr>
        <w:jc w:val="both"/>
      </w:pPr>
    </w:p>
    <w:p>
      <w:pPr>
        <w:jc w:val="both"/>
      </w:pPr>
    </w:p>
    <w:p>
      <w:pPr>
        <w:pStyle w:val="Heading1"/>
      </w:pPr>
      <w:r>
        <w:t>Index des annexes</w:t>
      </w:r>
    </w:p>
    <w:p>
      <w:pPr>
        <w:jc w:val="both"/>
      </w:pPr>
      <w:r>
        <w:t>[[INDEX DES ANNEXES]]</w:t>
      </w:r>
    </w:p>
    <w:sectPr>
      <w:pgSz w:w="11906" w:h="16838"/>
      <w:pgMar w:top="1417" w:right="1417" w:bottom="1417" w:left="1417" w:header="708" w:footer="708" w:gutter="0"/>
    </w:sectPr>
  </w:body>
</w:document>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settings.xml><?xml version="1.0" encoding="utf-8"?>
<w:settings xmlns:w="http://schemas.openxmlformats.org/wordprocessingml/2006/main">
  <w:defaultTabStop w:val="708"/>
  <w:hyphenationZone w:val="425"/>
  <w:characterSpacingControl w:val="doNotCompress"/>
  <w:updateFields w:val="true"/>
  <w:footnotePr>
    <w:footnote w:id="-1"/>
    <w:footnote w:id="0"/>
  </w:footnotePr>
  <w:compat>
    <w:compatSetting w:name="compatibilityMode" w:uri="http://schemas.microsoft.com/office/word" w:val="15"/>
  </w:compat>
  <w:decimalSymbol w:val=","/>
  <w:listSeparator w:val=";"/>
</w:settings>
</file>

<file path=word/styles.xml><?xml version="1.0" encoding="utf-8"?>
<w:styles xmlns:w="http://schemas.openxmlformats.org/wordprocessingml/2006/main">
  <w:docDefaults>
    <w:rPrDefault>
      <w:rPr>
        <w:rFonts w:ascii="Arial" w:hAnsi="Arial" w:eastAsia="Arial" w:cs="Arial"/>
        <w:sz w:val="22"/>
        <w:szCs w:val="22"/>
        <w:lang w:val="fr-BE" w:eastAsia="en-US" w:bidi="ar-SA"/>
      </w:rPr>
    </w:rPrDefault>
    <w:pPrDefault>
      <w:pPr>
        <w:spacing w:after="0" w:line="276" w:lineRule="auto"/>
      </w:pPr>
    </w:pPrDefault>
  </w:docDefaults>
  <w:style w:type="paragraph" w:default="1" w:styleId="Normal">
    <w:name w:val="Normal"/>
    <w:qFormat/>
    <w:pPr>
      <w:jc w:val="both"/>
    </w:pPr>
  </w:style>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360" w:after="120"/>
      <w:jc w:val="left"/>
      <w:outlineLvl w:val="0"/>
    </w:pPr>
    <w:rPr>
      <w:b/>
      <w:sz w:val="28"/>
      <w:szCs w:val="28"/>
    </w:rPr>
  </w:style>
  <w:style w:type="paragraph" w:styleId="Heading2">
    <w:name w:val="heading 2"/>
    <w:basedOn w:val="Normal"/>
    <w:next w:val="Normal"/>
    <w:uiPriority w:val="9"/>
    <w:qFormat/>
    <w:pPr>
      <w:keepNext/>
      <w:keepLines/>
      <w:spacing w:before="240" w:after="120"/>
      <w:jc w:val="left"/>
      <w:outlineLvl w:val="1"/>
    </w:pPr>
    <w:rPr>
      <w:b/>
      <w:sz w:val="26"/>
      <w:szCs w:val="26"/>
    </w:rPr>
  </w:style>
  <w:style w:type="paragraph" w:styleId="Heading3">
    <w:name w:val="heading 3"/>
    <w:basedOn w:val="Normal"/>
    <w:next w:val="Normal"/>
    <w:uiPriority w:val="9"/>
    <w:qFormat/>
    <w:pPr>
      <w:keepNext/>
      <w:keepLines/>
      <w:spacing w:before="240" w:after="120"/>
      <w:jc w:val="left"/>
      <w:outlineLvl w:val="2"/>
    </w:pPr>
    <w:rPr>
      <w:b/>
      <w:sz w:val="24"/>
      <w:szCs w:val="24"/>
    </w:rPr>
  </w:style>
  <w:style w:type="paragraph" w:styleId="Heading4">
    <w:name w:val="heading 4"/>
    <w:basedOn w:val="Normal"/>
    <w:next w:val="Normal"/>
    <w:uiPriority w:val="9"/>
    <w:qFormat/>
    <w:pPr>
      <w:keepNext/>
      <w:keepLines/>
      <w:spacing w:before="240" w:after="120"/>
      <w:jc w:val="left"/>
      <w:outlineLvl w:val="3"/>
    </w:pPr>
    <w:rPr>
      <w:b/>
      <w:sz w:val="22"/>
      <w:szCs w:val="22"/>
    </w:rPr>
  </w:style>
  <w:style w:type="paragraph" w:styleId="TitrePlan">
    <w:name w:val="Titre du plan"/>
    <w:basedOn w:val="Normal"/>
    <w:qFormat/>
    <w:pPr>
      <w:spacing w:after="240"/>
      <w:jc w:val="center"/>
    </w:pPr>
    <w:rPr>
      <w:b/>
      <w:sz w:val="32"/>
      <w:szCs w:val="32"/>
    </w:rPr>
  </w:style>
  <w:style w:type="paragraph" w:styleId="Aide">
    <w:name w:val="Aide Probasile"/>
    <w:basedOn w:val="Normal"/>
    <w:qFormat/>
    <w:pPr>
      <w:spacing w:after="120"/>
    </w:pPr>
    <w:rPr>
      <w:i/>
      <w:color w:val="7A7A7A"/>
    </w:rPr>
  </w:style>
  <w:style w:type="paragraph" w:styleId="Repere">
    <w:name w:val="Repère Probasile"/>
    <w:basedOn w:val="Normal"/>
    <w:qFormat/>
    <w:pPr>
      <w:ind w:left="576"/>
    </w:pPr>
    <w:rPr>
      <w:color w:val="08738F"/>
      <w:sz w:val="18"/>
      <w:szCs w:val="18"/>
    </w:rPr>
  </w:style>
  <w:style w:type="paragraph" w:styleId="TOCHeading">
    <w:name w:val="TOC Heading"/>
    <w:basedOn w:val="Normal"/>
    <w:next w:val="Normal"/>
    <w:uiPriority w:val="39"/>
    <w:qFormat/>
    <w:pPr>
      <w:spacing w:before="240" w:after="120"/>
    </w:pPr>
    <w:rPr>
      <w:b/>
      <w:sz w:val="28"/>
      <w:szCs w:val="28"/>
    </w:rPr>
  </w:style>
  <w:style w:type="paragraph" w:styleId="TOC1">
    <w:name w:val="toc 1"/>
    <w:basedOn w:val="Normal"/>
    <w:next w:val="Normal"/>
    <w:uiPriority w:val="39"/>
    <w:pPr>
      <w:ind w:left="0"/>
      <w:jc w:val="left"/>
    </w:pPr>
  </w:style>
  <w:style w:type="paragraph" w:styleId="TOC2">
    <w:name w:val="toc 2"/>
    <w:basedOn w:val="Normal"/>
    <w:next w:val="Normal"/>
    <w:uiPriority w:val="39"/>
    <w:pPr>
      <w:ind w:left="220"/>
      <w:jc w:val="left"/>
    </w:pPr>
  </w:style>
  <w:style w:type="paragraph" w:styleId="TOC3">
    <w:name w:val="toc 3"/>
    <w:basedOn w:val="Normal"/>
    <w:next w:val="Normal"/>
    <w:uiPriority w:val="39"/>
    <w:pPr>
      <w:ind w:left="440"/>
      <w:jc w:val="left"/>
    </w:pPr>
  </w:style>
  <w:style w:type="paragraph" w:styleId="TOC4">
    <w:name w:val="toc 4"/>
    <w:basedOn w:val="Normal"/>
    <w:next w:val="Normal"/>
    <w:uiPriority w:val="39"/>
    <w:pPr>
      <w:ind w:left="660"/>
      <w:jc w:val="left"/>
    </w:pPr>
  </w:style>
  <w:style w:type="paragraph" w:styleId="FootnoteText">
    <w:name w:val="footnote text"/>
    <w:basedOn w:val="Normal"/>
    <w:uiPriority w:val="99"/>
    <w:pPr>
      <w:jc w:val="both"/>
    </w:pPr>
    <w:rPr>
      <w:sz w:val="18"/>
      <w:szCs w:val="18"/>
    </w:rPr>
  </w:style>
  <w:style w:type="character" w:styleId="FootnoteReference">
    <w:name w:val="footnote reference"/>
    <w:uiPriority w:val="99"/>
    <w:rPr>
      <w:vertAlign w:val="superscript"/>
    </w:rPr>
  </w:style>
  <w:style w:type="character" w:styleId="Hyperlink">
    <w:name w:val="Hyperlink"/>
    <w:uiPriority w:val="99"/>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s>
</file>

<file path=docProps/app.xml><?xml version="1.0" encoding="utf-8"?>
<Properties xmlns="http://schemas.openxmlformats.org/officeDocument/2006/extended-properties">
  <Application>Probasile</Application>
</Properties>
</file>

<file path=docProps/core.xml><?xml version="1.0" encoding="utf-8"?>
<cp:coreProperties xmlns:cp="http://schemas.openxmlformats.org/package/2006/metadata/core-properties" xmlns:dc="http://purl.org/dc/elements/1.1/" xmlns:dcterms="http://purl.org/dc/terms/" xmlns:xsi="http://www.w3.org/2001/XMLSchema-instance">
  <dc:title>Demande de non-délivrance d’un ordre de quitter le territoire – principe de non-refoulement</dc:title>
  <dc:creator>Probasile</dc:creator>
  <dcterms:created xsi:type="dcterms:W3CDTF">2026-10-01T10:28:35Z</dcterms:created>
  <dcterms:modified xsi:type="dcterms:W3CDTF">2026-10-01T10:28:35Z</dcterms:modified>
</cp:coreProperties>
</file>