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rePlan"/>
      </w:pPr>
      <w:r>
        <w:t>Demande de protection internationale</w:t>
      </w:r>
    </w:p>
    <w:p>
      <w:pPr>
        <w:jc w:val="both"/>
      </w:pPr>
    </w:p>
    <w:p>
      <w:pPr>
        <w:pStyle w:val="Aide"/>
      </w:pPr>
      <w:r>
        <w:t>Mode d’emploi de ce plan (à supprimer ensuite) : remplacez les passages entre crochets, rédigez sous chaque titre et supprimez les paragraphes gris. Là où une note de bas de page est nécessaire, tapez un repère, par exemple [[CCPR/C/IDN/CO/2, §24, p.8]]. Les repères disponibles sont listés en bleu sous chaque titre et dans l’onglet « Rédaction » (double-clic pour copier) ; le bouton « Comment écrire une note ? » donne tous les exemples (pages, paragraphes, articles) et les abréviations. Enfin, onglet « Rédaction » puis « Générer les notes et les annexes ». Pour la table des matières : clic droit dessus puis « Mettre à jour l’index ».</w:t>
      </w:r>
    </w:p>
    <w:p>
      <w:pPr>
        <w:pStyle w:val="TOCHeading"/>
      </w:pPr>
      <w:r>
        <w:t>Table des matières</w:t>
      </w:r>
    </w:p>
    <w:p>
      <w:r>
        <w:fldChar w:fldCharType="begin" w:dirty="true"/>
      </w:r>
      <w:r>
        <w:instrText xml:space="preserve"> TOC \o "1-4" \h \z \u </w:instrText>
      </w:r>
      <w:r>
        <w:fldChar w:fldCharType="separate"/>
      </w:r>
      <w:r>
        <w:rPr>
          <w:i/>
          <w:color w:val="7A7A7A"/>
        </w:rPr>
        <w:t>Pour afficher la table des matières : clic droit ici, puis « Mettre à jour les champs ».</w:t>
      </w:r>
      <w:r>
        <w:fldChar w:fldCharType="end"/>
      </w:r>
    </w:p>
    <w:p>
      <w:pPr>
        <w:pStyle w:val="Heading1"/>
      </w:pPr>
      <w:r>
        <w:t>1. Identité</w:t>
      </w:r>
    </w:p>
    <w:p>
      <w:pPr>
        <w:pStyle w:val="Aide"/>
      </w:pPr>
      <w:r>
        <w:t>[Identité complète de la demanderesse (pièces d’identité en annexe).]</w:t>
      </w:r>
    </w:p>
    <w:p>
      <w:pPr>
        <w:pStyle w:val="Repere"/>
      </w:pPr>
      <w:r>
        <w:t>[[PIECE 01_Attestation_scolarite_FICTIVE]]  –  Athénée Exemple, Attestation de scolarité de B. Exemple (document fictif), 12 septembre 2026.</w:t>
      </w:r>
    </w:p>
    <w:p>
      <w:pPr>
        <w:pStyle w:val="Repere"/>
      </w:pPr>
      <w:r>
        <w:t>[[PIECE 02_Temoignage_FICTIF]]  –  C. Témoin, Témoignage (document fictif), 20 septembre 2026.</w:t>
      </w:r>
    </w:p>
    <w:p>
      <w:pPr>
        <w:pStyle w:val="Repere"/>
      </w:pPr>
      <w:r>
        <w:t>[[PIECE 03_Carte_identite_SPECIMEN]]  –  Carte identite SPECIMEN.</w:t>
      </w:r>
    </w:p>
    <w:p>
      <w:pPr>
        <w:pStyle w:val="Repere"/>
      </w:pPr>
      <w:r>
        <w:t>[[PIECE 04_Certificat_medical_FICTIF]]  –  Dr D. Exemple, Certificat médical concernant Madame A. Exemple (document fictif), 22 septembre 2026.</w:t>
      </w:r>
    </w:p>
    <w:p>
      <w:pPr>
        <w:jc w:val="both"/>
      </w:pPr>
    </w:p>
    <w:p>
      <w:pPr>
        <w:pStyle w:val="Heading1"/>
      </w:pPr>
      <w:r>
        <w:t>2. Les faits</w:t>
      </w:r>
    </w:p>
    <w:p>
      <w:pPr>
        <w:pStyle w:val="Aide"/>
      </w:pPr>
      <w:r>
        <w:t>[Récit chronologique, précis et cohérent : dates, lieux, auteurs, conséquences. Chaque élément vérifiable appelle une pièce ou une source.]</w:t>
      </w:r>
    </w:p>
    <w:p>
      <w:pPr>
        <w:jc w:val="both"/>
      </w:pPr>
    </w:p>
    <w:p>
      <w:pPr>
        <w:pStyle w:val="Heading1"/>
      </w:pPr>
      <w:r>
        <w:t>3. L’introduction de la demande dans le délai</w:t>
      </w:r>
    </w:p>
    <w:p>
      <w:pPr>
        <w:pStyle w:val="Aide"/>
      </w:pPr>
      <w:r>
        <w:t>[Date d’arrivée et date de présentation de la demande. Si le délai de huit jours ouvrables est dépassé : raisons du retard (langue, traumatisme, ignorance de la procédure, passeur…) et pièces qui les établissent.]</w:t>
      </w:r>
    </w:p>
    <w:p>
      <w:pPr>
        <w:jc w:val="both"/>
      </w:pPr>
      <w:r>
        <w:t>À supposer que la demande ait été présentée au-delà du délai de huit jours ouvrables prévu par l’article 50, §1er, alinéa 1er, de la loi du 15 décembre 1980[[LOI1980, art. 50, §1er, al. 1er]], ce dépassement n’est assorti d’aucune sanction. Les paragraphes 2 à 5 de l’article 50 ont été abrogés avec effet au 12 juin 2026[[LOI2026, art. 34]], et le règlement (UE) 2024/1348, qui régit désormais la procédure, ne fixe aucun délai pour présenter une demande : celle-ci est « considérée comme ayant été présentée » dès que l’intéressé exprime en personne à une autorité compétente le souhait de bénéficier d’une protection internationale[[REG2024-1348, art. 26, §1]]. La demande doit en outre être examinée « de manière objective, impartiale et individualisée »[[REG2024-1348, art. 34, §2]].</w:t>
      </w:r>
    </w:p>
    <w:p>
      <w:pPr>
        <w:jc w:val="both"/>
      </w:pPr>
    </w:p>
    <w:p>
      <w:pPr>
        <w:jc w:val="both"/>
      </w:pPr>
      <w:r>
        <w:t>Le moment de la demande n’intervient donc qu’au stade de l’appréciation de la crédibilité, et seulement pour les aspects des déclarations qui ne sont pas étayés par des preuves. Or, depuis le 12 juin 2026, il n’est plus une condition autonome du bénéfice du doute : l’article 4, §5, du règlement (UE) 2024/1347, directement applicable, n’en retient que quatre, à savoir l’effort réel pour étayer la demande, la production des éléments disponibles, la cohérence et la plausibilité des déclarations, et la crédibilité générale du demandeur, appréciée « compte tenu, entre autres, de la date à laquelle le demandeur a demandé une protection internationale »[[REG2024-1347, art. 4, §5]]. L’ancienne condition selon laquelle le demandeur devait avoir présenté sa demande « dès que possible, à moins qu’il puisse avancer de bonnes raisons pour ne pas l’avoir fait » n’a pas été reprise[[= Anciennement loi du 15 décembre 1980, art. 48/6, §4, d), abrogé par l’article 25, 4°, de la loi du 16 juin 2026, et directive 2011/95/UE, art. 4, §5, d)]]. La date de la demande n’est donc plus qu’un élément parmi d’autres de l’appréciation de la crédibilité générale, qui doit en outre tenir compte, « le cas échéant, des raisons pour lesquelles il ne l’a pas demandée plus tôt »[[REG2024-1347, considérant 27]].</w:t>
      </w:r>
    </w:p>
    <w:p>
      <w:pPr>
        <w:jc w:val="both"/>
      </w:pPr>
    </w:p>
    <w:p>
      <w:pPr>
        <w:jc w:val="both"/>
      </w:pPr>
      <w:r>
        <w:t>Il s’ensuit que le seul dépassement du délai de huit jours ouvrables ne peut ni fonder le refus d’une protection internationale, ni priver la demanderesse du bénéfice du doute : faire de ce délai une condition supplémentaire reviendrait à ajouter aux règlements, directement applicables dans tout État membre, une exigence qu’ils ne contiennent pas[[TFUE, art. 288]]. Les éléments établis par des documents ou par les informations disponibles sur le pays d’origine restent, quant à eux, établis quel que soit le moment de la demande.</w:t>
      </w:r>
    </w:p>
    <w:p>
      <w:pPr>
        <w:jc w:val="both"/>
      </w:pPr>
    </w:p>
    <w:p>
      <w:pPr>
        <w:jc w:val="both"/>
      </w:pPr>
      <w:r>
        <w:t>Tout au plus la date de la demande peut-elle constituer un indice, à apprécier avec l’ensemble des éléments du dossier, notamment le profil du demandeur et les circonstances de son arrivée[[CCE-273434, §14 ; = arrêt rendu sous l’empire de l’ancien article 48/6, §4]]. Elle ne saurait, à elle seule, fonder le refus d’une protection internationale.</w:t>
      </w:r>
    </w:p>
    <w:p>
      <w:pPr>
        <w:jc w:val="both"/>
      </w:pPr>
    </w:p>
    <w:p>
      <w:pPr>
        <w:jc w:val="both"/>
      </w:pPr>
      <w:r>
        <w:t>Cette lecture est conforme aux exigences internationales. La Cour européenne des droits de l’homme a jugé que l’application automatique et mécanique d’un délai bref pour l’introduction d’une demande d’asile est incompatible avec la protection de la valeur fondamentale consacrée par l’article 3 de la Convention[[JABARI, §40]]. Le Comité exécutif du HCR a de même rappelé que le non-respect d’un délai, ou d’autres exigences formelles, ne devrait pas conduire à écarter une demande d’asile de tout examen[[HCR-EXCOM15, point i)]].</w:t>
      </w:r>
    </w:p>
    <w:p>
      <w:pPr>
        <w:jc w:val="both"/>
      </w:pPr>
    </w:p>
    <w:p>
      <w:pPr>
        <w:jc w:val="both"/>
      </w:pPr>
      <w:r>
        <w:t>Les raisons du délai doivent être examinées concrètement : le règlement (UE) 2024/1347 impose de tenir compte, « le cas échéant, des raisons pour lesquelles [le demandeur] ne l’a pas demandée plus tôt »[[REG2024-1347, considérant 27]], et le règlement (UE) 2024/1348 ne permet un traitement accéléré que si le retard est intervenu « sans motif valable »[[REG2024-1348, art. 42, §1er, h) et i)]]. Or les recherches consacrées aux parcours des demandeurs d’asile montrent que le moment de la demande s’explique le plus souvent par des circonstances étrangères à toute volonté de tromper les autorités ; là où le retard est légalement présumé nuire à la crédibilité, la doctrine relève qu’il s’agit d’éléments « souvent sans rapport avec la crainte de persécution » de l’intéressé[[KENDALL-2022 +trad]].</w:t>
      </w:r>
    </w:p>
    <w:p>
      <w:pPr>
        <w:jc w:val="both"/>
      </w:pPr>
    </w:p>
    <w:p>
      <w:pPr>
        <w:jc w:val="both"/>
      </w:pPr>
      <w:r>
        <w:t>En l’espèce, la demanderesse a présenté sa demande [nombre] jours ouvrables après son arrivée, pour les raisons exposées ci-après.</w:t>
      </w:r>
    </w:p>
    <w:p>
      <w:pPr>
        <w:jc w:val="both"/>
      </w:pPr>
    </w:p>
    <w:p>
      <w:pPr>
        <w:jc w:val="both"/>
      </w:pPr>
    </w:p>
    <w:p>
      <w:pPr>
        <w:pStyle w:val="Heading1"/>
      </w:pPr>
      <w:r>
        <w:t>4. Pays sûr ? La situation des droits humains en Indonésie</w:t>
      </w:r>
    </w:p>
    <w:p>
      <w:pPr>
        <w:jc w:val="both"/>
      </w:pPr>
      <w:r>
        <w:t>[L’Indonésie figure sur la liste belge des pays d’origine sûrs[[AR-PAYS-SURS-2025, art. 1er]] / sur la liste des pays d’origine sûrs au niveau de l’Union[[UE-LISTE-PAYS-SURS]].] Cette désignation ne ferme pas la porte à la protection : elle ne dispense ni d’enregistrer la demande, ni de l’examiner. Le pays d’origine sûr ne figure pas parmi les motifs d’irrecevabilité[[REG2024-1348, art. 38]] ; il est seulement un motif d’examen accéléré[[REG2024-1348, art. 42, §1er, e)]], examen qui se déroule « dans le respect des principes de base et des garanties fondamentales »[[REG2024-1348, art. 42, §1er, al. 1er]] et doit rester objectif, impartial et individualisé[[REG2024-1348, art. 34, §2]].</w:t>
      </w:r>
    </w:p>
    <w:p>
      <w:pPr>
        <w:jc w:val="both"/>
      </w:pPr>
    </w:p>
    <w:p>
      <w:pPr>
        <w:jc w:val="both"/>
      </w:pPr>
      <w:r>
        <w:t>La désignation n’instaure qu’une présomption, qui se renverse au cas par cas. Le concept de pays d’origine sûr ne peut s’appliquer que si « le demandeur ne peut fournir d’éléments justifiant pourquoi le concept de pays d’origine sûr ne lui est pas applicable, dans le cadre d’une évaluation individuelle »[[REG2024-1348, art. 61, §5, c)]]. Le droit belge est construit de la même manière : le Commissaire général ne peut refuser la protection à un ressortissant d’un pays d’origine sûr que « lorsque l’étranger n’a pas fait valoir de raisons sérieuses permettant de penser qu’il ne s’agit pas d’un pays d’origine sûr en raison de sa situation personnelle »[[LOI1980, art. 57/6/1, §3, al. 1er]]. Le rapport au Roi qui accompagne la liste belge le rappelle expressément : « Le simple fait pour un demandeur de protection internationale d’être originaire d’un pays d’origine sûr n’aura en aucun cas pour conséquence automatique que sa demande de protection internationale sera refusée »[[AR-PAYS-SURS-2025, rapport au Roi]].</w:t>
      </w:r>
    </w:p>
    <w:p>
      <w:pPr>
        <w:jc w:val="both"/>
      </w:pPr>
    </w:p>
    <w:p>
      <w:pPr>
        <w:jc w:val="both"/>
      </w:pPr>
      <w:r>
        <w:t>La Cour de justice le dit de manière générale : le régime des pays d’origine sûrs « repose sur une forme de présomption réfragable de protection suffisante dans le pays d’origine, laquelle peut […] être renversée par le demandeur s’il fait état de raisons sérieuses tenant à sa situation personnelle »[[CJUE-CV-2024, point 47]], car « même dans un pays généralement sûr pour toute sa population, il n’existe aucune garantie absolue de sécurité pour chaque individu »[[CJUE-ALACE-2025, point 97]].</w:t>
      </w:r>
    </w:p>
    <w:p>
      <w:pPr>
        <w:jc w:val="both"/>
      </w:pPr>
    </w:p>
    <w:p>
      <w:pPr>
        <w:jc w:val="both"/>
      </w:pPr>
      <w:r>
        <w:t>Cette lecture s’impose aussi au regard de la Convention de Genève, que les États appliquent « sans discrimination quant à la race, la religion ou le pays d’origine »[[GENEVE, art. 3]], et du caractère absolu de l’interdiction du renvoi vers un risque de torture ou de traitements inhumains ou dégradants[[CEDH, art. 3]][[CHARTE, art. 19, §2]].</w:t>
      </w:r>
    </w:p>
    <w:p>
      <w:pPr>
        <w:jc w:val="both"/>
      </w:pPr>
    </w:p>
    <w:p>
      <w:pPr>
        <w:jc w:val="both"/>
      </w:pPr>
      <w:r>
        <w:t>[Exposer les raisons sérieuses propres à la demanderesse : persécutions déjà subies, profil exposé (opinions politiques, orientation sexuelle, genre, appartenance à une minorité…), absence de protection des autorités ; pièces et sources de la partie 4.]</w:t>
      </w:r>
    </w:p>
    <w:p>
      <w:pPr>
        <w:jc w:val="both"/>
      </w:pPr>
    </w:p>
    <w:p>
      <w:pPr>
        <w:jc w:val="both"/>
      </w:pPr>
    </w:p>
    <w:p>
      <w:pPr>
        <w:pStyle w:val="Heading2"/>
      </w:pPr>
      <w:r>
        <w:t>A. Introduction</w:t>
      </w:r>
    </w:p>
    <w:p>
      <w:pPr>
        <w:pStyle w:val="Aide"/>
      </w:pPr>
      <w:r>
        <w:t>[Traités ratifiés, réserves, procédures de plaintes acceptées ou non.]</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est partie au Pacte international relatif aux droits civils et politiques (adhésion le 23 février 2006), au Pacte international relatif aux droits économiques, sociaux et culturels (adhésion le 23 février 2006), à la Convention contre la torture et autres peines ou traitements cruels, inhumains ou dégradants (ratification le 28 octobre 1998), à la Convention sur l’élimination de toutes les formes de discrimination à l’égard des femmes (ratification le 13 septembre 1984), à la Convention relative aux droits de l’enfant (ratification le 5 septembre 1990), à la Convention internationale sur l’élimination de toutes les formes de discrimination raciale (adhésion le 25 juin 1999) et à la Convention internationale sur la protection des droits de tous les travailleurs migrants et des membres de leur famille (ratification le 31 mai 2012)[[TRAITE-PIDCP ; IV-3 ; TRAITE-CAT ; IV-8 ; IV-11 ; IV-2 ; IV-13]].</w:t>
      </w:r>
    </w:p>
    <w:p>
      <w:pPr>
        <w:jc w:val="both"/>
      </w:pPr>
    </w:p>
    <w:p>
      <w:pPr>
        <w:jc w:val="both"/>
      </w:pPr>
      <w:r>
        <w:t>L’Indonésie a signé, sans les ratifier, le Protocole facultatif à la Convention sur l’élimination de toutes les formes de discrimination à l’égard des femmes (signature le 28 février 2000) et la Convention internationale pour la protection de toutes les personnes contre les disparitions forcées (signature le 27 septembre 2010)[[IV-8-b ; IV-16]].</w:t>
      </w:r>
    </w:p>
    <w:p>
      <w:pPr>
        <w:jc w:val="both"/>
      </w:pPr>
    </w:p>
    <w:p>
      <w:pPr>
        <w:jc w:val="both"/>
      </w:pPr>
      <w:r>
        <w:t>En revanche, l’Indonésie n’a ni signé ni ratifié le Protocole facultatif se rapportant au Pacte international relatif aux droits civils et politiques, le deuxième Protocole facultatif se rapportant au Pacte international relatif aux droits civils et politiques, visant à abolir la peine de mort, le Protocole facultatif se rapportant au Pacte international relatif aux droits économiques, sociaux et culturels, le Protocole facultatif se rapportant à la Convention contre la torture, la Convention relative au statut des réfugiés ni le Statut de Rome de la Cour pénale internationale[[IV-5 ; IV-12 ; IV-3-a ; IV-9-b ; V-2 ; XVIII-10]].</w:t>
      </w:r>
    </w:p>
    <w:p>
      <w:pPr>
        <w:jc w:val="both"/>
      </w:pPr>
    </w:p>
    <w:p>
      <w:pPr>
        <w:jc w:val="both"/>
      </w:pPr>
      <w:r>
        <w:t>L’Indonésie a assorti sa participation au Pacte international relatif aux droits civils et politiques, au Pacte international relatif aux droits économiques, sociaux et culturels, à la Convention contre la torture et autres peines ou traitements cruels, inhumains ou dégradants, à la Convention sur l’élimination de toutes les formes de discrimination à l’égard des femmes, à la Convention relative aux droits de l’enfant, à la Convention internationale sur l’élimination de toutes les formes de discrimination raciale et à la Convention internationale sur la protection des droits de tous les travailleurs migrants et des membres de leur famille de réserves ou de déclarations[[TRAITE-PIDCP ; IV-3 ; TRAITE-CAT ; IV-8 ; IV-11 ; IV-2 ; IV-13]] [à analyser : voir le texte sur la page de la Collection des traités et le bloc « Notion de réserve »].</w:t>
      </w:r>
    </w:p>
    <w:p>
      <w:pPr>
        <w:jc w:val="both"/>
      </w:pPr>
    </w:p>
    <w:p>
      <w:pPr>
        <w:jc w:val="both"/>
      </w:pPr>
      <w:r>
        <w:t>L’Indonésie n’a accepté aucune des procédures de plaintes individuelles prévues par les traités des Nations Unies relatifs aux droits de l’homme : aucune victime relevant de sa juridiction ne peut saisir les comités[[HCDH-PROCEDURES]].</w:t>
      </w:r>
    </w:p>
    <w:p>
      <w:pPr>
        <w:jc w:val="both"/>
      </w:pPr>
    </w:p>
    <w:p>
      <w:pPr>
        <w:pStyle w:val="Repere"/>
      </w:pPr>
      <w:r>
        <w:t>[[IV-4]]  –  ONU, Collection des Traités, état des traités, Pacte international relatif aux droits civils et politiques.</w:t>
      </w:r>
    </w:p>
    <w:p>
      <w:pPr>
        <w:pStyle w:val="Repere"/>
      </w:pPr>
      <w:r>
        <w:t>[[IV-5]]  –  ONU, Collection des Traités, état des traités, Protocole facultatif se rapportant au Pacte international relatif aux droits civils et politiques.</w:t>
      </w:r>
    </w:p>
    <w:p>
      <w:pPr>
        <w:pStyle w:val="Repere"/>
      </w:pPr>
      <w:r>
        <w:t>[[IV-12]]  –  ONU, Collection des Traités, état des traités, Deuxième Protocole facultatif se rapportant au Pacte international relatif aux droits civils et politiques, visan</w:t>
      </w:r>
    </w:p>
    <w:p>
      <w:pPr>
        <w:pStyle w:val="Repere"/>
      </w:pPr>
      <w:r>
        <w:t>[[IV-3]]  –  ONU, Collection des Traités, état des traités, Pacte international relatif aux droits économiques, sociaux et culturels.</w:t>
      </w:r>
    </w:p>
    <w:p>
      <w:pPr>
        <w:pStyle w:val="Repere"/>
      </w:pPr>
      <w:r>
        <w:t>[[IV-3-a]]  –  ONU, Collection des Traités, état des traités, Protocole facultatif se rapportant au Pacte international relatif aux droits économiques, sociaux et culturels.</w:t>
      </w:r>
    </w:p>
    <w:p>
      <w:pPr>
        <w:pStyle w:val="Repere"/>
      </w:pPr>
      <w:r>
        <w:t>[[IV-9]]  –  ONU, Collection des Traités, état des traités, Convention contre la torture et autres peines ou traitements cruels, inhumains ou dégradants.</w:t>
      </w:r>
    </w:p>
    <w:p>
      <w:pPr>
        <w:pStyle w:val="Repere"/>
      </w:pPr>
      <w:r>
        <w:t>[[IV-9-b]]  –  ONU, Collection des Traités, état des traités, Protocole facultatif se rapportant à la Convention contre la torture.</w:t>
      </w:r>
    </w:p>
    <w:p>
      <w:pPr>
        <w:pStyle w:val="Repere"/>
      </w:pPr>
      <w:r>
        <w:t>[[IV-8]]  –  ONU, Collection des Traités, état des traités, Convention sur l’élimination de toutes les formes de discrimination à l’égard des femmes.</w:t>
      </w:r>
    </w:p>
    <w:p>
      <w:pPr>
        <w:pStyle w:val="Repere"/>
      </w:pPr>
      <w:r>
        <w:t>[[IV-8-b]]  –  ONU, Collection des Traités, état des traités, Protocole facultatif à la Convention sur l’élimination de toutes les formes de discrimination à l’égard des femme</w:t>
      </w:r>
    </w:p>
    <w:p>
      <w:pPr>
        <w:pStyle w:val="Repere"/>
      </w:pPr>
      <w:r>
        <w:t>[[IV-11]]  –  ONU, Collection des Traités, état des traités, Convention relative aux droits de l’enfant.</w:t>
      </w:r>
    </w:p>
    <w:p>
      <w:pPr>
        <w:pStyle w:val="Repere"/>
      </w:pPr>
      <w:r>
        <w:t>[[IV-2]]  –  ONU, Collection des Traités, état des traités, Convention internationale sur l’élimination de toutes les formes de discrimination raciale.</w:t>
      </w:r>
    </w:p>
    <w:p>
      <w:pPr>
        <w:pStyle w:val="Repere"/>
      </w:pPr>
      <w:r>
        <w:t>[[IV-13]]  –  ONU, Collection des Traités, état des traités, Convention internationale sur la protection des droits de tous les travailleurs migrants et des membres de leur f</w:t>
      </w:r>
    </w:p>
    <w:p>
      <w:pPr>
        <w:pStyle w:val="Repere"/>
      </w:pPr>
      <w:r>
        <w:t>[[IV-16]]  –  ONU, Collection des Traités, état des traités, Convention internationale pour la protection de toutes les personnes contre les disparitions forcées.</w:t>
      </w:r>
    </w:p>
    <w:p>
      <w:pPr>
        <w:pStyle w:val="Repere"/>
      </w:pPr>
      <w:r>
        <w:t>[[V-2]]  –  ONU, Collection des Traités, état des traités, Convention relative au statut des réfugiés.</w:t>
      </w:r>
    </w:p>
    <w:p>
      <w:pPr>
        <w:pStyle w:val="Repere"/>
      </w:pPr>
      <w:r>
        <w:t>[[XVIII-10]]  –  ONU, Collection des Traités, état des traités, Statut de Rome de la Cour pénale internationale.</w:t>
      </w:r>
    </w:p>
    <w:p>
      <w:pPr>
        <w:pStyle w:val="Repere"/>
      </w:pPr>
      <w:r>
        <w:t>[[HCDH-PROCEDURES]]  –  ONU, Haut-Commissariat des Nations Unies aux droits de l’homme, état des ratifications et acceptation des procédures de plaintes et d’enquête.</w:t>
      </w:r>
    </w:p>
    <w:p>
      <w:pPr>
        <w:jc w:val="both"/>
      </w:pPr>
    </w:p>
    <w:p>
      <w:pPr>
        <w:pStyle w:val="Heading2"/>
      </w:pPr>
      <w:r>
        <w:t>B. L’Indonésie et les normes de droit international en matière de droits humains : violations systématiques, systémiques</w:t>
      </w:r>
    </w:p>
    <w:p>
      <w:pPr>
        <w:jc w:val="both"/>
      </w:pPr>
    </w:p>
    <w:p>
      <w:pPr>
        <w:pStyle w:val="Heading3"/>
      </w:pPr>
      <w:r>
        <w:t>1) Violations systématiques et systémiques</w:t>
      </w:r>
    </w:p>
    <w:p>
      <w:pPr>
        <w:jc w:val="both"/>
      </w:pPr>
    </w:p>
    <w:p>
      <w:pPr>
        <w:pStyle w:val="Heading4"/>
      </w:pPr>
      <w:r>
        <w:t>a. Le Pacte international relatif aux droits civils et politiques</w:t>
      </w:r>
    </w:p>
    <w:p>
      <w:pPr>
        <w:pStyle w:val="Aide"/>
      </w:pPr>
      <w:r>
        <w:t>[Observations finales du Comité des droits de l’homme, suivi, état des rapports.]</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a adhéré au Pacte international relatif aux droits civils et politiques le 23 février 2006[[TRAITE-PIDCP]].</w:t>
      </w:r>
    </w:p>
    <w:p>
      <w:pPr>
        <w:jc w:val="both"/>
      </w:pPr>
    </w:p>
    <w:p>
      <w:pPr>
        <w:jc w:val="both"/>
      </w:pPr>
      <w:r>
        <w:t>En revanche, l’Indonésie n’a ni signé ni ratifié le Protocole facultatif se rapportant au Pacte international relatif aux droits civils et politiques[[IV-5]], de sorte que le Comité des droits de l’homme ne peut pas recevoir de plaintes émanant de particuliers relevant de sa juridiction.</w:t>
      </w:r>
    </w:p>
    <w:p>
      <w:pPr>
        <w:jc w:val="both"/>
      </w:pPr>
    </w:p>
    <w:p>
      <w:pPr>
        <w:jc w:val="both"/>
      </w:pPr>
      <w:r>
        <w:t>L’Indonésie n’a ni signé ni ratifié le deuxième Protocole facultatif se rapportant au Pacte international relatif aux droits civils et politiques, visant à abolir la peine de mort[[IV-12]].</w:t>
      </w:r>
    </w:p>
    <w:p>
      <w:pPr>
        <w:jc w:val="both"/>
      </w:pPr>
    </w:p>
    <w:p>
      <w:pPr>
        <w:jc w:val="both"/>
      </w:pPr>
      <w:r>
        <w:t>L’Indonésie avait jusqu’au 23 mai 2007 pour transmettre son premier rapport[[ONU-ETAT-RAPPORTS]] et ne l’a soumis que le 19 janvier 2012, soit plus de quatre ans et sept mois après l’échéance du délai.</w:t>
      </w:r>
    </w:p>
    <w:p>
      <w:pPr>
        <w:jc w:val="both"/>
      </w:pPr>
    </w:p>
    <w:p>
      <w:pPr>
        <w:jc w:val="both"/>
      </w:pPr>
      <w:r>
        <w:t>L’Indonésie avait jusqu’au 26 juillet 2017 pour transmettre son deuxième rapport périodique[[ONU-ETAT-RAPPORTS]] et ne l’a soumis que le 29 juillet 2021, soit plus de quatre ans après l’échéance du délai.</w:t>
      </w:r>
    </w:p>
    <w:p>
      <w:pPr>
        <w:jc w:val="both"/>
      </w:pPr>
    </w:p>
    <w:p>
      <w:pPr>
        <w:jc w:val="both"/>
      </w:pPr>
      <w:r>
        <w:t>Dans le cadre de la procédure de suivi des observations finales, le Comité des droits de l’homme a adressé à l’Indonésie des courriers le 12 mai 2016[[INT/CCPR/FUL/IDN/21848]] et le 18 avril 2017[[INT/CCPR/FUL/IDN/27205]] [vérifiez dans le dernier courrier la note attribuée par le Comité et la clôture éventuelle de la procédure de suivi].</w:t>
      </w:r>
    </w:p>
    <w:p>
      <w:pPr>
        <w:jc w:val="both"/>
      </w:pPr>
    </w:p>
    <w:p>
      <w:pPr>
        <w:jc w:val="both"/>
      </w:pPr>
      <w:r>
        <w:t>Aucune réponse de l’Indonésie postérieure au dernier courrier du Comité, du 18 avril 2017, ne figure parmi les documents collectés, soit depuis plus de neuf ans et cinq mois[[ONU-ETAT-RAPPORTS]] [à vérifier dans l’état des rapports].</w:t>
      </w:r>
    </w:p>
    <w:p>
      <w:pPr>
        <w:jc w:val="both"/>
      </w:pPr>
    </w:p>
    <w:p>
      <w:pPr>
        <w:jc w:val="both"/>
      </w:pPr>
      <w:r>
        <w:t>Les observations finales les plus récentes du Comité des droits de l’homme datent du 3 mai 2024[[CCPR/C/IDN/CO/2]].</w:t>
      </w:r>
    </w:p>
    <w:p>
      <w:pPr>
        <w:jc w:val="both"/>
      </w:pPr>
    </w:p>
    <w:p>
      <w:pPr>
        <w:jc w:val="both"/>
      </w:pPr>
      <w:r>
        <w:t>Dès lors, conformément à l’article 40 du Pacte, l’Indonésie a l’obligation de fournir au Comité des droits de l’homme un rapport sur les mesures prises pour donner effet aux droits consacrés par le Pacte. Ce rapport doit être fourni dans un délai d’un an à compter de l’entrée en vigueur du Pacte à l’égard de l’État (art. 40, §1, a), du Pacte) et, par la suite, chaque fois que le Comité en fait la demande (art. 40, §1, b), du Pacte)[[PIDCP, art. 40]].</w:t>
      </w:r>
    </w:p>
    <w:p>
      <w:pPr>
        <w:jc w:val="both"/>
      </w:pPr>
    </w:p>
    <w:p>
      <w:pPr>
        <w:pStyle w:val="Repere"/>
      </w:pPr>
      <w:r>
        <w:t>[[CCPR/C/IDN/CO/1]]  –  ONU, Comité des droits de l’homme, observations finales concernant le rapport initial de l’Indonésie, CCPR/C/IDN/CO/1, 21 août 2013.</w:t>
      </w:r>
    </w:p>
    <w:p>
      <w:pPr>
        <w:pStyle w:val="Repere"/>
      </w:pPr>
      <w:r>
        <w:t>[[CCPR/C/IDN/CO/2]]  –  ONU, Comité des droits de l’homme, observations finales concernant le deuxième rapport périodique de l’Indonésie, CCPR/C/IDN/CO/2, 3 mai 2024.</w:t>
      </w:r>
    </w:p>
    <w:p>
      <w:pPr>
        <w:pStyle w:val="Repere"/>
      </w:pPr>
      <w:r>
        <w:t>[[CCPR/C/IDN/CO/1/Add.1]]  –  ONU, Comité des droits de l’homme, réponse de l’Indonésie, CCPR/C/IDN/CO/1/Add.1, 5 octobre 2015.</w:t>
      </w:r>
    </w:p>
    <w:p>
      <w:pPr>
        <w:pStyle w:val="Repere"/>
      </w:pPr>
      <w:r>
        <w:t>[[INT/CCPR/FUL/IDN/21848]]  –  ONU, Comité des droits de l’homme, courrier de suivi du Comité, INT/CCPR/FUL/IDN/21848, 12 mai 2016.</w:t>
      </w:r>
    </w:p>
    <w:p>
      <w:pPr>
        <w:pStyle w:val="Repere"/>
      </w:pPr>
      <w:r>
        <w:t>[[INT/CCPR/FUL/IDN/27205]]  –  ONU, Comité des droits de l’homme, courrier de suivi du Comité, INT/CCPR/FUL/IDN/27205, 18 avril 2017.</w:t>
      </w:r>
    </w:p>
    <w:p>
      <w:pPr>
        <w:jc w:val="both"/>
      </w:pPr>
    </w:p>
    <w:p>
      <w:pPr>
        <w:pStyle w:val="Heading4"/>
      </w:pPr>
      <w:r>
        <w:t>b. La Convention contre la torture et autres peines ou traitements cruels, inhumains ou dégradants</w:t>
      </w:r>
    </w:p>
    <w:p>
      <w:pPr>
        <w:pStyle w:val="Aide"/>
      </w:pPr>
      <w:r>
        <w:t>[Observations finales du Comité contre la torture, listes de points, suivi.]</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a ratifié la Convention contre la torture et autres peines ou traitements cruels, inhumains ou dégradants le 28 octobre 1998[[TRAITE-CAT]].</w:t>
      </w:r>
    </w:p>
    <w:p>
      <w:pPr>
        <w:jc w:val="both"/>
      </w:pPr>
    </w:p>
    <w:p>
      <w:pPr>
        <w:jc w:val="both"/>
      </w:pPr>
      <w:r>
        <w:t>L’Indonésie n’a ni signé ni ratifié le Protocole facultatif se rapportant à la Convention contre la torture[[IV-9-b]] : aucun mécanisme international de visite des lieux de détention (Sous-comité pour la prévention de la torture) n’est donc prévu.</w:t>
      </w:r>
    </w:p>
    <w:p>
      <w:pPr>
        <w:jc w:val="both"/>
      </w:pPr>
    </w:p>
    <w:p>
      <w:pPr>
        <w:jc w:val="both"/>
      </w:pPr>
      <w:r>
        <w:t>Toutefois, l’Indonésie n’a pas fait les déclarations prévues aux articles 21 et 22 de la Convention[[HCDH-PROCEDURES]], de sorte que l’État ne reconnaît pas la compétence du Comité contre la torture pour connaître de plaintes déposées par d’autres États parties à la Convention (art. 21 de la Convention contre la torture) ou par des individus relevant de sa juridiction (art. 22 de la Convention contre la torture)[[HCDH-PROCEDURES]]. Autrement dit, une personne victime de torture en Indonésie ne peut pas saisir le Comité.</w:t>
      </w:r>
    </w:p>
    <w:p>
      <w:pPr>
        <w:jc w:val="both"/>
      </w:pPr>
    </w:p>
    <w:p>
      <w:pPr>
        <w:jc w:val="both"/>
      </w:pPr>
      <w:r>
        <w:t>L’Indonésie devait transmettre son troisième rapport périodique au plus tard le 30 juin 2012[[ONU-ETAT-RAPPORTS]] ; à la date du présent courrier, l’État ne l’a toujours pas soumis, soit un retard de plus de quatorze ans et trois mois [à vérifier : le rapport peut avoir été reçu sans figurer parmi les documents collectés].</w:t>
      </w:r>
    </w:p>
    <w:p>
      <w:pPr>
        <w:jc w:val="both"/>
      </w:pPr>
    </w:p>
    <w:p>
      <w:pPr>
        <w:jc w:val="both"/>
      </w:pPr>
      <w:r>
        <w:t>Les observations finales les plus récentes du Comité contre la torture datent du 2 juillet 2008[[CAT/C/IDN/CO/2]] : la situation de l’Indonésie n’a donc plus été examinée par ce Comité depuis plus de dix-huit ans et deux mois.</w:t>
      </w:r>
    </w:p>
    <w:p>
      <w:pPr>
        <w:jc w:val="both"/>
      </w:pPr>
    </w:p>
    <w:p>
      <w:pPr>
        <w:jc w:val="both"/>
      </w:pPr>
      <w:r>
        <w:t>En outre, l’article 20 de la Convention prévoit un mécanisme d’enquête coopératif permettant au Comité contre la torture, en cas d’indications fondées de pratique systématique de la torture, d’enquêter, de faire rapport et d’émettre des recommandations à l’État partie, dont il assure le suivi[[CAT, art. 20]]. Ce mécanisme va au-delà de la seule procédure de rapports et de suivi prévue par le Pacte international relatif aux droits civils et politiques. De plus, le paragraphe 3 de l’article 20 de la Convention prévoit qu’une visite sur place est possible avec l’accord de l’État partie. [Toutefois, l’Indonésie a fait une déclaration concernant l’article 20 de la Convention[[TRAITE-CAT]].]</w:t>
      </w:r>
    </w:p>
    <w:p>
      <w:pPr>
        <w:jc w:val="both"/>
      </w:pPr>
    </w:p>
    <w:p>
      <w:pPr>
        <w:jc w:val="both"/>
      </w:pPr>
      <w:r>
        <w:t>[En effet, l’Indonésie a déclaré : « texte de la déclaration, à recopier depuis la Collection des Traités ; pour l’Indonésie : Le Gouvernement de la République d’Indonésie déclare que les dispositions contenues dans les paragraphes 1, 2 et 3 de l’article 20 de la Convention devront être appliquées dans le strict respect des principes de la souveraineté et de l’intégrité territoriale des États »[[TRAITE-CAT]].]</w:t>
      </w:r>
    </w:p>
    <w:p>
      <w:pPr>
        <w:jc w:val="both"/>
      </w:pPr>
    </w:p>
    <w:p>
      <w:pPr>
        <w:jc w:val="both"/>
      </w:pPr>
      <w:r>
        <w:t xml:space="preserve">Certes, il ne s’agit pas d’une « réserve » au sens le plus strict du terme. Toutefois, l’article 2, §1, d), de la Convention de Vienne sur le droit des traités de 1969 définit la notion de « réserve » comme une « déclaration unilatérale, </w:t>
      </w:r>
      <w:r>
        <w:rPr>
          <w:u w:val="single"/>
        </w:rPr>
        <w:t>quel que soit son libellé ou sa désignation</w:t>
      </w:r>
      <w:r>
        <w:t>, faite par un État quand il signe, ratifie, accepte ou approuve un traité ou y adhère, par laquelle il vise à exclure ou à modifier l’effet juridique de certaines dispositions du traité dans leur application à cet État »[[VIENNE1969, art. 2, §1, d) +souligne]].</w:t>
      </w:r>
    </w:p>
    <w:p>
      <w:pPr>
        <w:jc w:val="both"/>
      </w:pPr>
    </w:p>
    <w:p>
      <w:pPr>
        <w:jc w:val="both"/>
      </w:pPr>
      <w:r>
        <w:t>[Certes, l’Indonésie n’a pas ratifié la Convention de Vienne sur le droit des traités[[TRAITE-VIENNE]]. Toutefois, la] Cour internationale de Justice reconnaît le caractère coutumier de règles contenues dans cette convention[[CIJ-CAMEROUN-NIGERIA, p. 429, §263]]. Ensuite, rappelons que la consécration d’une règle coutumière par un traité ne fait pas disparaître la règle coutumière : les deux règles sont applicables et continuent d’exister côte à côte[[CIJ-NICARAGUA, p. 94, §176]]. Enfin, cette conception de la réserve prévalait déjà avant la naissance de la Convention de Vienne sur le droit des traités[[SHATZKY-1933, pp. 216-217 ; MEEK-1955, p. 41 ; MCRAE-1978, p. 156]].</w:t>
      </w:r>
    </w:p>
    <w:p>
      <w:pPr>
        <w:jc w:val="both"/>
      </w:pPr>
    </w:p>
    <w:p>
      <w:pPr>
        <w:jc w:val="both"/>
      </w:pPr>
      <w:r>
        <w:t>Dès lors, il convient d’avoir égard au contenu de la déclaration faite par l’Indonésie plutôt qu’à l’intitulé de ladite déclaration. [Analyse propre au pays. Exemple pour l’Indonésie : Par conséquent, en déclarant que l’article 20 de la Convention contre la torture doit être appliqué dans le strict respect de sa souveraineté et de son intégrité territoriale, l’Indonésie marque son intention de se dégager du contrôle du Comité contre la torture tout en pouvant affirmer qu’elle est tenue par l’article 20 de la Convention contre la torture. En effet, l’insistance de l’Indonésie quant à sa souveraineté indique une volonté de l’État indonésien de marquer son champ de compétence et traduit à tout le moins une attitude réfractaire envers tout mécanisme de contrôle et de surveillance de la situation des droits de l’homme sur son territoire puisque, outre cette déclaration, l’Indonésie n’a pas non plus fait la déclaration permettant au Comité de connaître de plaintes émanant d’individus relevant de sa juridiction. En outre, l’attitude de l’Indonésie semble confirmer notre interprétation de sa déclaration puisque l’Indonésie ne répond plus aux sollicitations du Comité contre la torture depuis [année] (note : repère de l’état des rapports).]</w:t>
      </w:r>
    </w:p>
    <w:p>
      <w:pPr>
        <w:jc w:val="both"/>
      </w:pPr>
    </w:p>
    <w:p>
      <w:pPr>
        <w:pStyle w:val="Repere"/>
      </w:pPr>
      <w:r>
        <w:t>[[CAT/C/IDN/CO/2]]  –  ONU, Comité contre la torture, observations finales concernant le deuxième rapport périodique de l’Indonésie, CAT/C/IDN/CO/2, 2 juillet 2008.</w:t>
      </w:r>
    </w:p>
    <w:p>
      <w:pPr>
        <w:pStyle w:val="Repere"/>
      </w:pPr>
      <w:r>
        <w:t>[[PIECE 04_Certificat_medical_FICTIF]]  –  Dr D. Exemple, Certificat médical concernant Madame A. Exemple (document fictif), 22 septembre 2026.</w:t>
      </w:r>
    </w:p>
    <w:p>
      <w:pPr>
        <w:jc w:val="both"/>
      </w:pPr>
    </w:p>
    <w:p>
      <w:pPr>
        <w:pStyle w:val="Heading4"/>
      </w:pPr>
      <w:r>
        <w:t>c. Le Pacte international relatif aux droits économiques, sociaux et culturels</w:t>
      </w:r>
    </w:p>
    <w:p>
      <w:pPr>
        <w:pStyle w:val="Aide"/>
      </w:pPr>
      <w:r>
        <w:t>[Observations finales du Comité des droits économiques, sociaux et culturels.]</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a adhéré au Pacte international relatif aux droits économiques, sociaux et culturels le 23 février 2006[[IV-3]].</w:t>
      </w:r>
    </w:p>
    <w:p>
      <w:pPr>
        <w:jc w:val="both"/>
      </w:pPr>
    </w:p>
    <w:p>
      <w:pPr>
        <w:jc w:val="both"/>
      </w:pPr>
      <w:r>
        <w:t>L’Indonésie n’a ni signé ni ratifié le Protocole facultatif se rapportant au Pacte international relatif aux droits économiques, sociaux et culturels[[IV-3-a]].</w:t>
      </w:r>
    </w:p>
    <w:p>
      <w:pPr>
        <w:jc w:val="both"/>
      </w:pPr>
    </w:p>
    <w:p>
      <w:pPr>
        <w:jc w:val="both"/>
      </w:pPr>
      <w:r>
        <w:t>L’Indonésie avait jusqu’au 31 mai 2019 pour transmettre son deuxième rapport périodique[[ONU-ETAT-RAPPORTS]] et ne l’a soumis que le 13 avril 2021, soit plus d’un an et dix mois après l’échéance du délai.</w:t>
      </w:r>
    </w:p>
    <w:p>
      <w:pPr>
        <w:jc w:val="both"/>
      </w:pPr>
    </w:p>
    <w:p>
      <w:pPr>
        <w:jc w:val="both"/>
      </w:pPr>
    </w:p>
    <w:p>
      <w:pPr>
        <w:pStyle w:val="Heading4"/>
      </w:pPr>
      <w:r>
        <w:t>d. Autres instruments</w:t>
      </w:r>
    </w:p>
    <w:p>
      <w:pPr>
        <w:pStyle w:val="Aide"/>
      </w:pPr>
      <w:r>
        <w:t>[Autres comités (CEDAW, CRC, CERD…), OIT, etc.]</w:t>
      </w:r>
    </w:p>
    <w:p>
      <w:pPr>
        <w:pStyle w:val="Aide"/>
      </w:pPr>
      <w:r>
        <w:t>[Paragraphes calculés automatiquement le 1er octobre 2026 à partir de la collecte (ratifications, procédures de plaintes, état des rapports, documents de suivi). Vérifiez chaque date et chaque durée, complétez les passages entre crochets, puis supprimez ce paragraphe gris.]</w:t>
      </w:r>
    </w:p>
    <w:p>
      <w:pPr>
        <w:jc w:val="both"/>
      </w:pPr>
      <w:r>
        <w:t>L’Indonésie a ratifié la Convention sur l’élimination de toutes les formes de discrimination à l’égard des femmes le 13 septembre 1984[[IV-8]].</w:t>
      </w:r>
    </w:p>
    <w:p>
      <w:pPr>
        <w:jc w:val="both"/>
      </w:pPr>
    </w:p>
    <w:p>
      <w:pPr>
        <w:jc w:val="both"/>
      </w:pPr>
      <w:r>
        <w:t>L’Indonésie a signé le Protocole facultatif à la Convention sur l’élimination de toutes les formes de discrimination à l’égard des femmes le 28 février 2000, mais ne l’a pas ratifié[[IV-8-b]].</w:t>
      </w:r>
    </w:p>
    <w:p>
      <w:pPr>
        <w:jc w:val="both"/>
      </w:pPr>
    </w:p>
    <w:p>
      <w:pPr>
        <w:jc w:val="both"/>
      </w:pPr>
      <w:r>
        <w:t>L’Indonésie a ratifié la Convention relative aux droits de l’enfant le 5 septembre 1990[[IV-11]].</w:t>
      </w:r>
    </w:p>
    <w:p>
      <w:pPr>
        <w:jc w:val="both"/>
      </w:pPr>
    </w:p>
    <w:p>
      <w:pPr>
        <w:jc w:val="both"/>
      </w:pPr>
      <w:r>
        <w:t>L’Indonésie a adhéré à la Convention internationale sur l’élimination de toutes les formes de discrimination raciale le 25 juin 1999[[IV-2]].</w:t>
      </w:r>
    </w:p>
    <w:p>
      <w:pPr>
        <w:jc w:val="both"/>
      </w:pPr>
    </w:p>
    <w:p>
      <w:pPr>
        <w:jc w:val="both"/>
      </w:pPr>
      <w:r>
        <w:t>L’Indonésie n’a pas fait la déclaration prévue à l’article 14 de la Convention internationale sur l’élimination de toutes les formes de discrimination raciale : le Comité pour l’élimination de la discrimination raciale ne peut pas recevoir de plaintes émanant de particuliers[[HCDH-PROCEDURES]].</w:t>
      </w:r>
    </w:p>
    <w:p>
      <w:pPr>
        <w:jc w:val="both"/>
      </w:pPr>
    </w:p>
    <w:p>
      <w:pPr>
        <w:jc w:val="both"/>
      </w:pPr>
      <w:r>
        <w:t>L’Indonésie a ratifié la Convention internationale sur la protection des droits de tous les travailleurs migrants et des membres de leur famille le 31 mai 2012[[IV-13]].</w:t>
      </w:r>
    </w:p>
    <w:p>
      <w:pPr>
        <w:jc w:val="both"/>
      </w:pPr>
    </w:p>
    <w:p>
      <w:pPr>
        <w:jc w:val="both"/>
      </w:pPr>
      <w:r>
        <w:t>L’Indonésie n’a pas fait la déclaration prévue à l’article 77 de la Convention internationale sur la protection des droits de tous les travailleurs migrants et des membres de leur famille : le Comité des travailleurs migrants ne peut pas recevoir de plaintes émanant de particuliers[[HCDH-PROCEDURES]].</w:t>
      </w:r>
    </w:p>
    <w:p>
      <w:pPr>
        <w:jc w:val="both"/>
      </w:pPr>
    </w:p>
    <w:p>
      <w:pPr>
        <w:jc w:val="both"/>
      </w:pPr>
    </w:p>
    <w:p>
      <w:pPr>
        <w:pStyle w:val="Heading3"/>
      </w:pPr>
      <w:r>
        <w:t>2) Des violations persistantes</w:t>
      </w:r>
    </w:p>
    <w:p>
      <w:pPr>
        <w:jc w:val="both"/>
      </w:pPr>
    </w:p>
    <w:p>
      <w:pPr>
        <w:pStyle w:val="Heading4"/>
      </w:pPr>
      <w:r>
        <w:t>a. Les constatations des ONG</w:t>
      </w:r>
    </w:p>
    <w:p>
      <w:pPr>
        <w:jc w:val="both"/>
      </w:pPr>
    </w:p>
    <w:p>
      <w:pPr>
        <w:pStyle w:val="Heading4"/>
      </w:pPr>
      <w:r>
        <w:t>b. Les constatations des gouvernements et organisations régionales</w:t>
      </w:r>
    </w:p>
    <w:p>
      <w:pPr>
        <w:pStyle w:val="Aide"/>
      </w:pPr>
      <w:r>
        <w:t>[Département d’État des États-Unis, EUAA…]</w:t>
      </w:r>
    </w:p>
    <w:p>
      <w:pPr>
        <w:jc w:val="both"/>
      </w:pPr>
    </w:p>
    <w:p>
      <w:pPr>
        <w:pStyle w:val="Heading4"/>
      </w:pPr>
      <w:r>
        <w:t>c. L’Examen périodique universel : recommandations acceptées et rejetées</w:t>
      </w:r>
    </w:p>
    <w:p>
      <w:pPr>
        <w:jc w:val="both"/>
      </w:pPr>
    </w:p>
    <w:p>
      <w:pPr>
        <w:pStyle w:val="Heading4"/>
      </w:pPr>
      <w:r>
        <w:t>d. Les constatations les plus récentes</w:t>
      </w:r>
    </w:p>
    <w:p>
      <w:pPr>
        <w:pStyle w:val="Aide"/>
      </w:pPr>
      <w:r>
        <w:t>[Haut-Commissariat, procédures spéciales, presse.]</w:t>
      </w:r>
    </w:p>
    <w:p>
      <w:pPr>
        <w:jc w:val="both"/>
      </w:pPr>
    </w:p>
    <w:p>
      <w:pPr>
        <w:pStyle w:val="Heading2"/>
      </w:pPr>
      <w:r>
        <w:t>C. Conclusion générale sur la situation des droits humains en Indonésie</w:t>
      </w:r>
    </w:p>
    <w:p>
      <w:pPr>
        <w:jc w:val="both"/>
      </w:pPr>
    </w:p>
    <w:p>
      <w:pPr>
        <w:pStyle w:val="Heading1"/>
      </w:pPr>
      <w:r>
        <w:t>5. À titre principal : l’octroi du statut de réfugié</w:t>
      </w:r>
    </w:p>
    <w:p>
      <w:pPr>
        <w:pStyle w:val="Aide"/>
      </w:pPr>
      <w:r>
        <w:t>[Base légale depuis le 12 juin 2026 : règlement (UE) 2024/1347, directement applicable (définition du réfugié : art. 3, point 5) ; évaluation des faits : art. 4 ; acteurs : art. 6 et 7 ; protection à l’intérieur du pays : art. 8 ; actes de persécution : art. 9 ; motifs : art. 10) et Convention de Genève, art. 1er, A, 2. Les anciens articles 48/3 à 48/5 et 48/7 de la loi du 15 décembre 1980 sont abrogés et l’article 48/6 ne règle plus que la production des pièces (loi du 16 juin 2026) : la jurisprudence rendue sous leur empire reste utilisable, en signalant la nouvelle base légale.]</w:t>
      </w:r>
    </w:p>
    <w:p>
      <w:pPr>
        <w:jc w:val="both"/>
      </w:pPr>
      <w:r>
        <w:t>Rappelons que la protection offerte par l’article 33 de la Convention de 1951 relative au statut des réfugiés ne bénéficie pas uniquement aux personnes qui se sont déjà vu reconnaître formellement le statut de réfugié, mais également aux demandeurs d’asile dont la demande n’a pas encore été examinée, et plus largement à toute personne qui remplit les conditions pour être reconnue réfugiée. En effet, le statut de réfugié revêt un caractère déclaratif et non constitutif : une personne est un réfugié, au sens de la Convention de 1951, dès qu’elle satisfait aux critères énoncés dans la définition de l’article 1er, A, 2, et cette situation est nécessairement antérieure à la reconnaissance formelle de son statut. Autrement dit, « une personne ne devient pas un réfugié du fait de sa reconnaissance en tant que tel, mais est reconnue en tant que tel parce qu’elle est un réfugié »[[HCR-GUIDE, §28 ; GICQUEL]]. Ce caractère déclaratif est expressément consacré par le droit de l’Union européenne, qui précise que « la reconnaissance du statut de réfugié est un acte déclaratif »[[REG2024-1347, considérant 22 ; DIR2011-95, considérant 21]]. Cela a été rappelé par la Cour de justice de l’Union européenne en 2019[[CJUE-M, §§85-92]] : « il découle des considérations qui précèdent que la qualité de “réfugié”, au sens de l’article 2, sous d), de la directive 2011/95 et de l’article 1er, section A, de la convention de Genève, ne dépend pas de la reconnaissance formelle de cette qualité par l’octroi du “statut de réfugié”, au sens de l’article 2, sous e), de cette directive, lu en combinaison avec l’article 13 de cette dernière »[[CJUE-M, §92]]. Il en découle que le principe de non-refoulement « s’applique non seulement aux réfugiés reconnus, mais aussi à ceux dont le statut n’a pas été formellement déclaré »[[GICQUEL]]. Le Comité exécutif du Haut-Commissariat des Nations Unies pour les réfugiés l’a d’ailleurs réaffirmé à plusieurs reprises, en soulignant que ce principe protège toute personne susceptible d’être persécutée, qu’elle ait ou non été officiellement reconnue comme réfugiée[[HCR-EXCOM6 ; HCR-AVIS2007, §6 ; GICQUEL]]. De plus, en 2020, l’Agence des droits fondamentaux de l’Union européenne et le Conseil de l’Europe rappellent également que l’article 33 de la Convention de 1951 interdit le retour « des réfugiés et des demandeurs d’asile » vers des pays où ils risquent d’être persécutés, et que ces obligations « n’admettent aucune dérogation, ni exception ou limitation »[[FRA2020, p.5]].</w:t>
      </w:r>
    </w:p>
    <w:p>
      <w:pPr>
        <w:jc w:val="both"/>
      </w:pPr>
    </w:p>
    <w:p>
      <w:pPr>
        <w:jc w:val="both"/>
      </w:pPr>
    </w:p>
    <w:p>
      <w:pPr>
        <w:pStyle w:val="Heading2"/>
      </w:pPr>
      <w:r>
        <w:t>A. Une crainte fondée de persécution</w:t>
      </w:r>
    </w:p>
    <w:p>
      <w:pPr>
        <w:jc w:val="both"/>
      </w:pPr>
    </w:p>
    <w:p>
      <w:pPr>
        <w:pStyle w:val="Heading3"/>
      </w:pPr>
      <w:r>
        <w:t>1) La définition du réfugié et la crainte avec raison</w:t>
      </w:r>
    </w:p>
    <w:p>
      <w:pPr>
        <w:jc w:val="both"/>
      </w:pPr>
      <w:r>
        <w:t>[À VÉRIFIER : bloc repris d’un dossier de 2019 et adapté au règlement (UE) 2024/1347 – relisez-le puis supprimez cette mention.] Depuis le 12 juin 2026, les conditions d’octroi du statut de réfugié sont régies directement par le règlement (UE) 2024/1347 ; les articles 48/3 à 48/5 et 48/7 de la loi du 15 décembre 1980 sont abrogés et l’article 48/6 ne règle plus que la production et la traduction des pièces[[REG2024-1347 ; LOI2026]]. Est un réfugié « tout ressortissant de pays tiers qui, parce qu’il craint avec raison d’être persécuté du fait de sa race, de sa religion, de sa nationalité, de ses opinions politiques ou de son appartenance à un certain groupe social, se trouve hors du pays dont il a la nationalité […] »[[REG2024-1347, art. 3, point 5) ; GENEVE, art. 1er, A, 2]]. Les actes de persécution et les motifs de persécution sont précisés aux articles 9 et 10 du règlement[[REG2024-1347, art. 9 et 10]].</w:t>
      </w:r>
    </w:p>
    <w:p>
      <w:pPr>
        <w:jc w:val="both"/>
      </w:pPr>
    </w:p>
    <w:p>
      <w:pPr>
        <w:jc w:val="both"/>
      </w:pPr>
      <w:r>
        <w:t>[À VÉRIFIER : bloc repris d’un dossier de 2019 et adapté au règlement (UE) 2024/1347 – relisez-le puis supprimez cette mention.] La crainte de persécution doit être fondée, « avec raison » : elle comporte un élément subjectif, la crainte éprouvée par Madame A. Exemple, et un élément objectif, les circonstances qui la rendent vraisemblable au regard de la situation en Indonésie[[GENEVE, art. 1er, A, 2 ; HCR-GUIDE, §§37-38]]. Dans l’hypothèse d’un retour en Indonésie, Madame A. Exemple craint [des persécutions de la part de …] (voir infra).</w:t>
      </w:r>
    </w:p>
    <w:p>
      <w:pPr>
        <w:jc w:val="both"/>
      </w:pPr>
    </w:p>
    <w:p>
      <w:pPr>
        <w:jc w:val="both"/>
      </w:pPr>
    </w:p>
    <w:p>
      <w:pPr>
        <w:pStyle w:val="Heading3"/>
      </w:pPr>
      <w:r>
        <w:t>2) Les acteurs des persécutions et l’absence de protection effective</w:t>
      </w:r>
    </w:p>
    <w:p>
      <w:pPr>
        <w:jc w:val="both"/>
      </w:pPr>
      <w:r>
        <w:t>[À VÉRIFIER : bloc repris d’un dossier de 2019 et adapté au règlement (UE) 2024/1347 – relisez-le puis supprimez cette mention.] Les persécutions ou les atteintes graves peuvent émaner de l’État, de partis ou d’organisations qui contrôlent l’État ou une partie importante de son territoire, ou d’acteurs non étatiques, s’il peut être démontré que l’État ou ces partis ou organisations ne peuvent pas ou ne veulent pas accorder une protection contre les persécutions ou les atteintes graves[[REG2024-1347, art. 6]]. Cette protection doit être effective et non temporaire : elle suppose notamment « un système judiciaire effectif permettant de déceler, de poursuivre et de sanctionner » les actes constituant une persécution ou une atteinte grave[[REG2024-1347, art. 7]]. [Si l’autorité envisage une protection à l’intérieur du pays : REG2024-1347, art. 8.]</w:t>
      </w:r>
    </w:p>
    <w:p>
      <w:pPr>
        <w:jc w:val="both"/>
      </w:pPr>
    </w:p>
    <w:p>
      <w:pPr>
        <w:jc w:val="both"/>
      </w:pPr>
    </w:p>
    <w:p>
      <w:pPr>
        <w:pStyle w:val="Heading3"/>
      </w:pPr>
      <w:r>
        <w:t>3) Le cas de Madame A. Exemple</w:t>
      </w:r>
    </w:p>
    <w:p>
      <w:pPr>
        <w:pStyle w:val="Aide"/>
      </w:pPr>
      <w:r>
        <w:t>[Pour chaque motif : les faits propres à la demanderesse, puis les constats de la partie 4 qui les rendent vraisemblables.]</w:t>
      </w:r>
    </w:p>
    <w:p>
      <w:pPr>
        <w:jc w:val="both"/>
      </w:pPr>
    </w:p>
    <w:p>
      <w:pPr>
        <w:pStyle w:val="Heading4"/>
      </w:pPr>
      <w:r>
        <w:t>a. Persécutions en raison des opinions politiques</w:t>
      </w:r>
    </w:p>
    <w:p>
      <w:pPr>
        <w:jc w:val="both"/>
      </w:pPr>
    </w:p>
    <w:p>
      <w:pPr>
        <w:pStyle w:val="Heading4"/>
      </w:pPr>
      <w:r>
        <w:t>b. Persécutions en raison de la religion ou de l’appartenance à un certain groupe social</w:t>
      </w:r>
    </w:p>
    <w:p>
      <w:pPr>
        <w:jc w:val="both"/>
      </w:pPr>
    </w:p>
    <w:p>
      <w:r>
        <w:rPr>
          <w:b/>
          <w:sz w:val="24"/>
          <w:szCs w:val="24"/>
        </w:rPr>
        <w:t>i. Les persécutions de groupe</w:t>
      </w:r>
    </w:p>
    <w:p>
      <w:pPr>
        <w:jc w:val="both"/>
      </w:pPr>
    </w:p>
    <w:p>
      <w:r>
        <w:rPr>
          <w:b/>
          <w:sz w:val="24"/>
          <w:szCs w:val="24"/>
        </w:rPr>
        <w:t>ii. Les craintes personnelles de persécutions émanant de l’État</w:t>
      </w:r>
    </w:p>
    <w:p>
      <w:pPr>
        <w:jc w:val="both"/>
      </w:pPr>
    </w:p>
    <w:p>
      <w:r>
        <w:rPr>
          <w:b/>
          <w:sz w:val="24"/>
          <w:szCs w:val="24"/>
        </w:rPr>
        <w:t>iii. Les craintes personnelles de persécutions émanant d’acteurs non étatiques</w:t>
      </w:r>
    </w:p>
    <w:p>
      <w:pPr>
        <w:jc w:val="both"/>
      </w:pPr>
    </w:p>
    <w:p>
      <w:pPr>
        <w:pStyle w:val="Heading1"/>
      </w:pPr>
      <w:r>
        <w:t>6. À titre subsidiaire : la protection subsidiaire et le principe de non-refoulement</w:t>
      </w:r>
    </w:p>
    <w:p>
      <w:pPr>
        <w:jc w:val="both"/>
      </w:pPr>
      <w:r>
        <w:t>[À VÉRIFIER : bloc repris d’un dossier de 2019 et adapté au règlement (UE) 2024/1347 – relisez-le puis supprimez cette mention.] Si le statut de réfugié ne devait pas être reconnu à Madame A. Exemple, sa demande doit être examinée sous l’angle de la protection subsidiaire, qui bénéficie à la personne qui ne remplit pas les conditions pour être reconnue réfugiée mais pour laquelle il existe des motifs sérieux et avérés de croire qu’elle courrait, en cas de retour dans son pays d’origine, un risque réel de subir des atteintes graves[[REG2024-1347, art. 3, point 6)]].</w:t>
      </w:r>
    </w:p>
    <w:p>
      <w:pPr>
        <w:jc w:val="both"/>
      </w:pPr>
    </w:p>
    <w:p>
      <w:pPr>
        <w:jc w:val="both"/>
      </w:pPr>
    </w:p>
    <w:p>
      <w:pPr>
        <w:pStyle w:val="Heading2"/>
      </w:pPr>
      <w:r>
        <w:t>A. La protection subsidiaire</w:t>
      </w:r>
    </w:p>
    <w:p>
      <w:pPr>
        <w:pStyle w:val="Aide"/>
      </w:pPr>
      <w:r>
        <w:t>[Règlement (UE) 2024/1347, art. 3, point 6), et art. 15 : a) peine de mort ou exécution ; b) torture ou traitements ou sanctions inhumains ou dégradants ; c) menace grave et individuelle en raison d’une violence aveugle en cas de conflit armé.]</w:t>
      </w:r>
    </w:p>
    <w:p>
      <w:pPr>
        <w:jc w:val="both"/>
      </w:pPr>
    </w:p>
    <w:p>
      <w:pPr>
        <w:pStyle w:val="Heading3"/>
      </w:pPr>
      <w:r>
        <w:t>1) Les atteintes graves</w:t>
      </w:r>
    </w:p>
    <w:p>
      <w:pPr>
        <w:jc w:val="both"/>
      </w:pPr>
      <w:r>
        <w:t>[À VÉRIFIER : bloc repris d’un dossier de 2019 et adapté au règlement (UE) 2024/1347 – relisez-le puis supprimez cette mention.] Les atteintes graves sont la peine de mort ou l’exécution, la torture ou des traitements ou sanctions inhumains ou dégradants infligés au demandeur dans son pays d’origine, et des menaces graves et individuelles contre la vie ou la personne d’un civil en raison d’une violence aveugle en cas de conflit armé international ou interne[[REG2024-1347, art. 15]]. Nous examinerons les deux premières hypothèses[[REG2024-1347, art. 15, a) et b)]].</w:t>
      </w:r>
    </w:p>
    <w:p>
      <w:pPr>
        <w:jc w:val="both"/>
      </w:pPr>
    </w:p>
    <w:p>
      <w:pPr>
        <w:jc w:val="both"/>
      </w:pPr>
    </w:p>
    <w:p>
      <w:pPr>
        <w:pStyle w:val="Heading3"/>
      </w:pPr>
      <w:r>
        <w:t>2) Les acteurs des atteintes graves</w:t>
      </w:r>
    </w:p>
    <w:p>
      <w:pPr>
        <w:jc w:val="both"/>
      </w:pPr>
      <w:r>
        <w:t>Comme pour le statut de réfugié, les atteintes graves peuvent émaner de l’État ou d’acteurs non étatiques lorsque l’État ne peut pas ou ne veut pas accorder une protection effective (voir supra)[[REG2024-1347, art. 6 et 7]].</w:t>
      </w:r>
    </w:p>
    <w:p>
      <w:pPr>
        <w:jc w:val="both"/>
      </w:pPr>
    </w:p>
    <w:p>
      <w:pPr>
        <w:jc w:val="both"/>
      </w:pPr>
    </w:p>
    <w:p>
      <w:pPr>
        <w:pStyle w:val="Heading3"/>
      </w:pPr>
      <w:r>
        <w:t>3) Le cas de Madame A. Exemple</w:t>
      </w:r>
    </w:p>
    <w:p>
      <w:pPr>
        <w:jc w:val="both"/>
      </w:pPr>
    </w:p>
    <w:p>
      <w:pPr>
        <w:pStyle w:val="Heading4"/>
      </w:pPr>
      <w:r>
        <w:t>a. La peine de mort ou l’exécution</w:t>
      </w:r>
    </w:p>
    <w:p>
      <w:pPr>
        <w:jc w:val="both"/>
      </w:pPr>
    </w:p>
    <w:p>
      <w:pPr>
        <w:pStyle w:val="Heading4"/>
      </w:pPr>
      <w:r>
        <w:t>b. La torture ou les traitements inhumains ou dégradants</w:t>
      </w:r>
    </w:p>
    <w:p>
      <w:pPr>
        <w:jc w:val="both"/>
      </w:pPr>
    </w:p>
    <w:p>
      <w:r>
        <w:rPr>
          <w:b/>
          <w:sz w:val="24"/>
          <w:szCs w:val="24"/>
        </w:rPr>
        <w:t>i. Les atteintes émanant de l’État</w:t>
      </w:r>
    </w:p>
    <w:p>
      <w:pPr>
        <w:jc w:val="both"/>
      </w:pPr>
    </w:p>
    <w:p>
      <w:r>
        <w:rPr>
          <w:b/>
          <w:sz w:val="24"/>
          <w:szCs w:val="24"/>
        </w:rPr>
        <w:t>ii. Les atteintes émanant d’acteurs non étatiques</w:t>
      </w:r>
    </w:p>
    <w:p>
      <w:pPr>
        <w:jc w:val="both"/>
      </w:pPr>
    </w:p>
    <w:p>
      <w:pPr>
        <w:pStyle w:val="Heading2"/>
      </w:pPr>
      <w:r>
        <w:t>B. Le principe de non-refoulement</w:t>
      </w:r>
    </w:p>
    <w:p>
      <w:pPr>
        <w:pStyle w:val="Aide"/>
      </w:pPr>
      <w:r>
        <w:t>[Art. 3 de la Convention européenne des droits de l’homme, art. 3 de la Convention contre la torture, art. 33 de la Convention de 1951.]</w:t>
      </w:r>
    </w:p>
    <w:p>
      <w:pPr>
        <w:jc w:val="both"/>
      </w:pPr>
      <w:r>
        <w:t>Enfin, si le bénéfice de la protection subsidiaire devait être refusé à Madame A. Exemple, nous demandons qu’elle bénéficie de la protection offerte par le principe de non-refoulement.</w:t>
      </w:r>
    </w:p>
    <w:p>
      <w:pPr>
        <w:jc w:val="both"/>
      </w:pPr>
    </w:p>
    <w:p>
      <w:pPr>
        <w:jc w:val="both"/>
      </w:pPr>
      <w:r>
        <w:t>Rappelons que la Belgique a ratifié – et est donc liée par – la Convention contre la torture et autres peines ou traitements cruels, inhumains ou dégradants[[TRAITE-CAT]]. L’article 3 de cette Convention prévoit qu’« aucun État partie n’expulsera, ne refoulera, ni n’extradera une personne vers un autre État où il y a des motifs sérieux de croire qu’elle risque d’être soumise à la torture ». Dès lors, la Belgique a l’obligation de s’abstenir d’expulser un individu de nationalité étrangère, même s’il n’est pas bénéficiaire d’une protection internationale, lorsqu’il existe des motifs sérieux de croire qu’il risque d’être soumis à la torture. De même, l’article 33 de la Convention de Genève interdit d’expulser ou de refouler un demandeur d’asile vers les frontières des territoires où sa vie ou sa liberté serait menacée en raison notamment de sa religion ou de ses opinions politiques[[GENEVE, art. 33]].</w:t>
      </w:r>
    </w:p>
    <w:p>
      <w:pPr>
        <w:jc w:val="both"/>
      </w:pPr>
    </w:p>
    <w:p>
      <w:pPr>
        <w:jc w:val="both"/>
      </w:pPr>
      <w:r>
        <w:t>Par ailleurs, rappelons que la Cour européenne des droits de l’homme a, à plusieurs reprises, souligné qu’un individu – même un criminel étranger – ne pouvait pas être expulsé s’il existe de sérieux motifs de croire qu’il sera soumis à des actes de torture ou à des traitements inhumains ou dégradants[[SOERING, §88 ; X-SUEDE-2018, §§52-56 ; X-PAYSBAS-2018, §71 +souligne]]. Autrement dit, la Cour européenne des droits de l’homme a dit pour droit qu’une personne étrangère ne peut être expulsée vers son pays d’origine s’il existe de sérieux motifs de croire qu’elle y sera soumise à des traitements contraires à l’article 3 de la Convention européenne des droits de l’homme – des actes de torture ou des traitements inhumains ou dégradants. La Cour a étendu l’interdiction d’expulsion aux cas de risque de traitements inhumains ou dégradants et ne limite pas le champ de cette obligation d’abstention aux cas de torture[[SOERING, §88]]. Cette interdiction s’applique également lorsque le risque émane d’acteurs non étatiques et que les autorités du pays de destination ne sont pas en mesure ou ne souhaitent pas y parer par une protection appropriée[[HLR, §40]]. La Cour a en outre condamné la Belgique pour avoir éloigné un demandeur sans avoir vérifié le risque qu’il encourait dans le pays de destination[[MSS]].</w:t>
      </w:r>
    </w:p>
    <w:p>
      <w:pPr>
        <w:jc w:val="both"/>
      </w:pPr>
    </w:p>
    <w:p>
      <w:pPr>
        <w:jc w:val="both"/>
      </w:pPr>
      <w:r>
        <w:t>Enfin, le Conseil du contentieux des étrangers applique les principes dégagés par la jurisprudence de la Cour européenne des droits de l’homme[[CCE-212381]]. Par conséquent, l’État belge ne peut pas expulser une personne étrangère lorsqu’il existe de sérieux motifs de croire qu’elle sera soumise à des actes de torture ou à des traitements inhumains ou dégradants ou sans avoir vérifié le risque qu’elle encourait dans le pays de destination.</w:t>
      </w:r>
    </w:p>
    <w:p>
      <w:pPr>
        <w:jc w:val="both"/>
      </w:pPr>
    </w:p>
    <w:p>
      <w:pPr>
        <w:jc w:val="both"/>
      </w:pPr>
      <w:r>
        <w:t>Dès lors, nous demandons, pour les mêmes raisons et au regard de l’argumentation développée supra concernant la protection subsidiaire, que Madame A. Exemple ne soit pas éloignée en Indonésie.</w:t>
      </w:r>
    </w:p>
    <w:p>
      <w:pPr>
        <w:jc w:val="both"/>
      </w:pPr>
    </w:p>
    <w:p>
      <w:pPr>
        <w:jc w:val="both"/>
      </w:pPr>
    </w:p>
    <w:p>
      <w:pPr>
        <w:pStyle w:val="Heading1"/>
      </w:pPr>
      <w:r>
        <w:t>7. La demande</w:t>
      </w:r>
    </w:p>
    <w:p>
      <w:pPr>
        <w:jc w:val="both"/>
      </w:pPr>
      <w:r>
        <w:t>Au regard de tout ce qui précède, nous demandons respectueusement [au Commissariat général aux réfugiés et aux apatrides] :</w:t>
      </w:r>
    </w:p>
    <w:p>
      <w:pPr>
        <w:jc w:val="both"/>
      </w:pPr>
    </w:p>
    <w:p>
      <w:pPr>
        <w:jc w:val="both"/>
      </w:pPr>
      <w:r>
        <w:t>à titre principal, de reconnaître à Madame A. Exemple le statut de réfugié, au sens de l’article 3, point 5), du règlement (UE) 2024/1347 et de l’article 1er, A, 2, de la Convention de Genève, en raison de [ses opinions politiques / sa religion / son appartenance à un certain groupe social] ;</w:t>
      </w:r>
    </w:p>
    <w:p>
      <w:pPr>
        <w:jc w:val="both"/>
      </w:pPr>
    </w:p>
    <w:p>
      <w:pPr>
        <w:jc w:val="both"/>
      </w:pPr>
      <w:r>
        <w:t>à titre subsidiaire, de lui accorder le statut de protection subsidiaire, au sens de l’article 3, point 6), et de l’article 15, [a) et] b), de ce règlement ;</w:t>
      </w:r>
    </w:p>
    <w:p>
      <w:pPr>
        <w:jc w:val="both"/>
      </w:pPr>
    </w:p>
    <w:p>
      <w:pPr>
        <w:jc w:val="both"/>
      </w:pPr>
      <w:r>
        <w:t>à titre infiniment subsidiaire, de constater qu’elle bénéficie de la protection du principe de non-refoulement, en application de l’article 3 de la Convention européenne des droits de l’homme, de l’article 3 de la Convention contre la torture et de l’article 33 de la Convention de Genève.</w:t>
      </w:r>
    </w:p>
    <w:p>
      <w:pPr>
        <w:jc w:val="both"/>
      </w:pPr>
    </w:p>
    <w:p>
      <w:pPr>
        <w:jc w:val="both"/>
      </w:pPr>
    </w:p>
    <w:p>
      <w:pPr>
        <w:pStyle w:val="Heading1"/>
      </w:pPr>
      <w:r>
        <w:t>Index des annexes</w:t>
      </w:r>
    </w:p>
    <w:p>
      <w:pPr>
        <w:jc w:val="both"/>
      </w:pPr>
      <w:r>
        <w:t>[[INDEX DES ANNEXES]]</w:t>
      </w:r>
    </w:p>
    <w:sectPr>
      <w:pgSz w:w="11906" w:h="16838"/>
      <w:pgMar w:top="1417" w:right="1417" w:bottom="1417" w:left="1417" w:header="708" w:footer="708" w:gutter="0"/>
    </w:sectPr>
  </w:body>
</w:document>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defaultTabStop w:val="708"/>
  <w:hyphenationZone w:val="425"/>
  <w:characterSpacingControl w:val="doNotCompress"/>
  <w:updateFields w:val="true"/>
  <w:footnotePr>
    <w:footnote w:id="-1"/>
    <w:footnote w:id="0"/>
  </w:footnotePr>
  <w:compat>
    <w:compatSetting w:name="compatibilityMode" w:uri="http://schemas.microsoft.com/office/word" w:val="15"/>
  </w:compat>
  <w:decimalSymbol w:val=","/>
  <w:listSeparator w:val=";"/>
</w:settings>
</file>

<file path=word/styles.xml><?xml version="1.0" encoding="utf-8"?>
<w:styles xmlns:w="http://schemas.openxmlformats.org/wordprocessingml/2006/main">
  <w:docDefaults>
    <w:rPrDefault>
      <w:rPr>
        <w:rFonts w:ascii="Arial" w:hAnsi="Arial" w:eastAsia="Arial" w:cs="Arial"/>
        <w:sz w:val="22"/>
        <w:szCs w:val="22"/>
        <w:lang w:val="fr-BE" w:eastAsia="en-US" w:bidi="ar-SA"/>
      </w:rPr>
    </w:rPrDefault>
    <w:pPrDefault>
      <w:pPr>
        <w:spacing w:after="0" w:line="276" w:lineRule="auto"/>
      </w:pPr>
    </w:pPrDefault>
  </w:docDefaults>
  <w:style w:type="paragraph" w:default="1" w:styleId="Normal">
    <w:name w:val="Normal"/>
    <w:qFormat/>
    <w:pPr>
      <w:jc w:val="both"/>
    </w:p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360" w:after="120"/>
      <w:jc w:val="left"/>
      <w:outlineLvl w:val="0"/>
    </w:pPr>
    <w:rPr>
      <w:b/>
      <w:sz w:val="28"/>
      <w:szCs w:val="28"/>
    </w:rPr>
  </w:style>
  <w:style w:type="paragraph" w:styleId="Heading2">
    <w:name w:val="heading 2"/>
    <w:basedOn w:val="Normal"/>
    <w:next w:val="Normal"/>
    <w:uiPriority w:val="9"/>
    <w:qFormat/>
    <w:pPr>
      <w:keepNext/>
      <w:keepLines/>
      <w:spacing w:before="240" w:after="120"/>
      <w:jc w:val="left"/>
      <w:outlineLvl w:val="1"/>
    </w:pPr>
    <w:rPr>
      <w:b/>
      <w:sz w:val="26"/>
      <w:szCs w:val="26"/>
    </w:rPr>
  </w:style>
  <w:style w:type="paragraph" w:styleId="Heading3">
    <w:name w:val="heading 3"/>
    <w:basedOn w:val="Normal"/>
    <w:next w:val="Normal"/>
    <w:uiPriority w:val="9"/>
    <w:qFormat/>
    <w:pPr>
      <w:keepNext/>
      <w:keepLines/>
      <w:spacing w:before="240" w:after="120"/>
      <w:jc w:val="left"/>
      <w:outlineLvl w:val="2"/>
    </w:pPr>
    <w:rPr>
      <w:b/>
      <w:sz w:val="24"/>
      <w:szCs w:val="24"/>
    </w:rPr>
  </w:style>
  <w:style w:type="paragraph" w:styleId="Heading4">
    <w:name w:val="heading 4"/>
    <w:basedOn w:val="Normal"/>
    <w:next w:val="Normal"/>
    <w:uiPriority w:val="9"/>
    <w:qFormat/>
    <w:pPr>
      <w:keepNext/>
      <w:keepLines/>
      <w:spacing w:before="240" w:after="120"/>
      <w:jc w:val="left"/>
      <w:outlineLvl w:val="3"/>
    </w:pPr>
    <w:rPr>
      <w:b/>
      <w:sz w:val="22"/>
      <w:szCs w:val="22"/>
    </w:rPr>
  </w:style>
  <w:style w:type="paragraph" w:styleId="TitrePlan">
    <w:name w:val="Titre du plan"/>
    <w:basedOn w:val="Normal"/>
    <w:qFormat/>
    <w:pPr>
      <w:spacing w:after="240"/>
      <w:jc w:val="center"/>
    </w:pPr>
    <w:rPr>
      <w:b/>
      <w:sz w:val="32"/>
      <w:szCs w:val="32"/>
    </w:rPr>
  </w:style>
  <w:style w:type="paragraph" w:styleId="Aide">
    <w:name w:val="Aide Probasile"/>
    <w:basedOn w:val="Normal"/>
    <w:qFormat/>
    <w:pPr>
      <w:spacing w:after="120"/>
    </w:pPr>
    <w:rPr>
      <w:i/>
      <w:color w:val="7A7A7A"/>
    </w:rPr>
  </w:style>
  <w:style w:type="paragraph" w:styleId="Repere">
    <w:name w:val="Repère Probasile"/>
    <w:basedOn w:val="Normal"/>
    <w:qFormat/>
    <w:pPr>
      <w:ind w:left="576"/>
    </w:pPr>
    <w:rPr>
      <w:color w:val="08738F"/>
      <w:sz w:val="18"/>
      <w:szCs w:val="18"/>
    </w:rPr>
  </w:style>
  <w:style w:type="paragraph" w:styleId="TOCHeading">
    <w:name w:val="TOC Heading"/>
    <w:basedOn w:val="Normal"/>
    <w:next w:val="Normal"/>
    <w:uiPriority w:val="39"/>
    <w:qFormat/>
    <w:pPr>
      <w:spacing w:before="240" w:after="120"/>
    </w:pPr>
    <w:rPr>
      <w:b/>
      <w:sz w:val="28"/>
      <w:szCs w:val="28"/>
    </w:rPr>
  </w:style>
  <w:style w:type="paragraph" w:styleId="TOC1">
    <w:name w:val="toc 1"/>
    <w:basedOn w:val="Normal"/>
    <w:next w:val="Normal"/>
    <w:uiPriority w:val="39"/>
    <w:pPr>
      <w:ind w:left="0"/>
      <w:jc w:val="left"/>
    </w:pPr>
  </w:style>
  <w:style w:type="paragraph" w:styleId="TOC2">
    <w:name w:val="toc 2"/>
    <w:basedOn w:val="Normal"/>
    <w:next w:val="Normal"/>
    <w:uiPriority w:val="39"/>
    <w:pPr>
      <w:ind w:left="220"/>
      <w:jc w:val="left"/>
    </w:pPr>
  </w:style>
  <w:style w:type="paragraph" w:styleId="TOC3">
    <w:name w:val="toc 3"/>
    <w:basedOn w:val="Normal"/>
    <w:next w:val="Normal"/>
    <w:uiPriority w:val="39"/>
    <w:pPr>
      <w:ind w:left="440"/>
      <w:jc w:val="left"/>
    </w:pPr>
  </w:style>
  <w:style w:type="paragraph" w:styleId="TOC4">
    <w:name w:val="toc 4"/>
    <w:basedOn w:val="Normal"/>
    <w:next w:val="Normal"/>
    <w:uiPriority w:val="39"/>
    <w:pPr>
      <w:ind w:left="660"/>
      <w:jc w:val="left"/>
    </w:pPr>
  </w:style>
  <w:style w:type="paragraph" w:styleId="FootnoteText">
    <w:name w:val="footnote text"/>
    <w:basedOn w:val="Normal"/>
    <w:uiPriority w:val="99"/>
    <w:pPr>
      <w:jc w:val="both"/>
    </w:pPr>
    <w:rPr>
      <w:sz w:val="18"/>
      <w:szCs w:val="18"/>
    </w:rPr>
  </w:style>
  <w:style w:type="character" w:styleId="FootnoteReference">
    <w:name w:val="footnote reference"/>
    <w:uiPriority w:val="99"/>
    <w:rPr>
      <w:vertAlign w:val="superscript"/>
    </w:rPr>
  </w:style>
  <w:style w:type="character" w:styleId="Hyperlink">
    <w:name w:val="Hyperlink"/>
    <w:uiPriority w:val="99"/>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s>
</file>

<file path=docProps/app.xml><?xml version="1.0" encoding="utf-8"?>
<Properties xmlns="http://schemas.openxmlformats.org/officeDocument/2006/extended-properties">
  <Application>Probasile</Application>
</Properties>
</file>

<file path=docProps/core.xml><?xml version="1.0" encoding="utf-8"?>
<cp:coreProperties xmlns:cp="http://schemas.openxmlformats.org/package/2006/metadata/core-properties" xmlns:dc="http://purl.org/dc/elements/1.1/" xmlns:dcterms="http://purl.org/dc/terms/" xmlns:xsi="http://www.w3.org/2001/XMLSchema-instance">
  <dc:title>Demande de protection internationale</dc:title>
  <dc:creator>Probasile</dc:creator>
  <dcterms:created xsi:type="dcterms:W3CDTF">2026-10-01T10:28:35Z</dcterms:created>
  <dcterms:modified xsi:type="dcterms:W3CDTF">2026-10-01T10:28:35Z</dcterms:modified>
</cp:coreProperties>
</file>