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rePlan"/>
      </w:pPr>
      <w:r>
        <w:t>Demande de non-délivrance d’un ordre de quitter le territoire (exemple fictif)</w:t>
      </w:r>
    </w:p>
    <w:p>
      <w:pPr>
        <w:pStyle w:val="Aide"/>
      </w:pPr>
      <w:r>
        <w:t>[Exemple fictif créé pour la démonstration de Probasile : personnes, pièces et faits inventés. Les repères entre doubles crochets deviendront des notes de bas de page.]</w:t>
      </w:r>
    </w:p>
    <w:p>
      <w:pPr>
        <w:pStyle w:val="Heading1"/>
      </w:pPr>
      <w:r>
        <w:t>1. Les faits</w:t>
      </w:r>
    </w:p>
    <w:p>
      <w:pPr>
        <w:jc w:val="both"/>
      </w:pPr>
      <w:r>
        <w:t xml:space="preserve">Madame A. Exemple vit en Belgique depuis 2019 avec son fils B. Exemple, scolarisé à l’Athénée Exemple</w:t>
      </w:r>
      <w:r>
        <w:rPr>
          <w:rStyle w:val="FootnoteReference"/>
        </w:rPr>
        <w:footnoteReference w:id="1"/>
      </w:r>
      <w:r>
        <w:t xml:space="preserve">. Une voisine décrit leur intégration dans le quartier</w:t>
      </w:r>
      <w:r>
        <w:rPr>
          <w:rStyle w:val="FootnoteReference"/>
        </w:rPr>
        <w:footnoteReference w:id="2"/>
      </w:r>
      <w:r>
        <w:t xml:space="preserve">. Madame Exemple est suivie pour un état de stress post-traumatique</w:t>
      </w:r>
      <w:r>
        <w:rPr>
          <w:rStyle w:val="FootnoteReference"/>
        </w:rPr>
        <w:footnoteReference w:id="3"/>
      </w:r>
      <w:r>
        <w:t xml:space="preserve">. Son identité est établie</w:t>
      </w:r>
      <w:r>
        <w:rPr>
          <w:rStyle w:val="FootnoteReference"/>
        </w:rPr>
        <w:footnoteReference w:id="4"/>
      </w:r>
      <w:r>
        <w:t xml:space="preserve">.</w:t>
      </w:r>
    </w:p>
    <w:p>
      <w:pPr>
        <w:jc w:val="both"/>
      </w:pPr>
    </w:p>
    <w:p>
      <w:pPr>
        <w:pStyle w:val="Heading1"/>
      </w:pPr>
      <w:r>
        <w:t>2. La situation en Indonésie</w:t>
      </w:r>
    </w:p>
    <w:p>
      <w:pPr>
        <w:jc w:val="both"/>
      </w:pPr>
      <w:r>
        <w:t xml:space="preserve">L’Indonésie a adhéré au Pacte international relatif aux droits civils et politiques le 23 février 2006</w:t>
      </w:r>
      <w:r>
        <w:rPr>
          <w:rStyle w:val="FootnoteReference"/>
        </w:rPr>
        <w:footnoteReference w:id="5"/>
      </w:r>
      <w:r>
        <w:t xml:space="preserve">, sans accepter la procédure de plaintes individuelles prévue par son premier Protocole facultatif</w:t>
      </w:r>
      <w:r>
        <w:rPr>
          <w:rStyle w:val="FootnoteReference"/>
        </w:rPr>
        <w:footnoteReference w:id="6"/>
      </w:r>
      <w:r>
        <w:t xml:space="preserve">.</w:t>
      </w:r>
    </w:p>
    <w:p>
      <w:pPr>
        <w:jc w:val="both"/>
      </w:pPr>
    </w:p>
    <w:p>
      <w:pPr>
        <w:jc w:val="both"/>
      </w:pPr>
      <w:r>
        <w:t xml:space="preserve">Le Comité des droits de l’homme a adopté ses observations finales sur le deuxième rapport périodique de l’Indonésie le 3 mai 2024</w:t>
      </w:r>
      <w:r>
        <w:rPr>
          <w:rStyle w:val="FootnoteReference"/>
        </w:rPr>
        <w:footnoteReference w:id="7"/>
      </w:r>
      <w:r>
        <w:t xml:space="preserve">. Ces observations finales sont le document de référence pour apprécier la situation actuelle</w:t>
      </w:r>
      <w:r>
        <w:rPr>
          <w:rStyle w:val="FootnoteReference"/>
        </w:rPr>
        <w:footnoteReference w:id="8"/>
      </w:r>
      <w:r>
        <w:t xml:space="preserve">. Auparavant, le Comité avait adressé à l’Indonésie des courriers de suivi</w:t>
      </w:r>
      <w:r>
        <w:rPr>
          <w:rStyle w:val="FootnoteReference"/>
        </w:rPr>
        <w:footnoteReference w:id="9"/>
      </w:r>
      <w:r>
        <w:t xml:space="preserve">, et le Comité contre la torture avait adopté ses propres observations finales en 2008</w:t>
      </w:r>
      <w:r>
        <w:rPr>
          <w:rStyle w:val="FootnoteReference"/>
        </w:rPr>
        <w:footnoteReference w:id="10"/>
      </w:r>
      <w:r>
        <w:t xml:space="preserve">.</w:t>
      </w:r>
    </w:p>
    <w:p>
      <w:pPr>
        <w:jc w:val="both"/>
      </w:pPr>
    </w:p>
    <w:p>
      <w:pPr>
        <w:pStyle w:val="Heading1"/>
      </w:pPr>
      <w:r>
        <w:t>3. Le droit</w:t>
      </w:r>
    </w:p>
    <w:p>
      <w:pPr>
        <w:jc w:val="both"/>
      </w:pPr>
      <w:r>
        <w:t xml:space="preserve">Lors de la prise d’une décision d’éloignement, l’Office des étrangers tient compte de l’intérêt supérieur de l’enfant, de la vie familiale et de l’état de santé de la personne concernée</w:t>
      </w:r>
      <w:r>
        <w:rPr>
          <w:rStyle w:val="FootnoteReference"/>
        </w:rPr>
        <w:footnoteReference w:id="11"/>
      </w:r>
      <w:r>
        <w:t xml:space="preserve">. L’article 3 de la Convention européenne des droits de l’homme interdit de manière absolue d’éloigner une personne vers un pays où elle court un risque réel de torture ou de traitements inhumains ou dégradants</w:t>
      </w:r>
      <w:r>
        <w:rPr>
          <w:rStyle w:val="FootnoteReference"/>
        </w:rPr>
        <w:footnoteReference w:id="12"/>
      </w:r>
      <w:r>
        <w:t xml:space="preserve">. Même dans un pays généralement sûr, « il n’existe aucune garantie absolue de sécurité pour chaque individu »</w:t>
      </w:r>
      <w:r>
        <w:rPr>
          <w:rStyle w:val="FootnoteReference"/>
        </w:rPr>
        <w:footnoteReference w:id="13"/>
      </w:r>
      <w:r>
        <w:t xml:space="preserve">.</w:t>
      </w:r>
    </w:p>
    <w:p>
      <w:pPr>
        <w:jc w:val="both"/>
      </w:pPr>
    </w:p>
    <w:p>
      <w:pPr>
        <w:jc w:val="both"/>
      </w:pPr>
      <w:r>
        <w:t xml:space="preserve">Par ailleurs, l’article 74/13 de la loi du 15 décembre 1980 impose, lors de la prise d’une décision d’éloignement, de tenir compte de l’intérêt supérieur de l’enfant, de la vie familiale et de l’état de santé du ressortissant d’un pays tiers concerné</w:t>
      </w:r>
      <w:r>
        <w:rPr>
          <w:rStyle w:val="FootnoteReference"/>
        </w:rPr>
        <w:footnoteReference w:id="14"/>
      </w:r>
      <w:r>
        <w:t xml:space="preserve">. L’intérêt supérieur de l’enfant doit en outre être une considération primordiale dans toutes les décisions qui le concernent, conformément à l’article 3 de la Convention relative aux droits de l’enfant et à l’article 22bis de la Constitution</w:t>
      </w:r>
      <w:r>
        <w:rPr>
          <w:rStyle w:val="FootnoteReference"/>
        </w:rPr>
        <w:footnoteReference w:id="15"/>
      </w:r>
      <w:r>
        <w:t xml:space="preserve">. Or, en l’espèce, un ordre de quitter le territoire exposerait [les enfants], qui ont grandi en Belgique et y sont scolarisés, aux risques de persécution ou de traitements inhumains ou dégradants décrits ci-dessus (supra).</w:t>
      </w:r>
    </w:p>
    <w:p>
      <w:pPr>
        <w:jc w:val="both"/>
      </w:pPr>
    </w:p>
    <w:p>
      <w:pPr>
        <w:jc w:val="both"/>
      </w:pPr>
    </w:p>
    <w:p>
      <w:pPr>
        <w:pStyle w:val="Heading1"/>
      </w:pPr>
      <w:r>
        <w:t>4. La demande</w:t>
      </w:r>
    </w:p>
    <w:p>
      <w:pPr>
        <w:jc w:val="both"/>
      </w:pPr>
      <w:r>
        <w:t xml:space="preserve">Il est demandé à l’Office des étrangers de ne pas délivrer d’ordre de quitter le territoire à Madame A. Exemple et à son fils, compte tenu de leur situation et des risques décrits ci-dessus</w:t>
      </w:r>
      <w:r>
        <w:rPr>
          <w:rStyle w:val="FootnoteReference"/>
        </w:rPr>
        <w:footnoteReference w:id="16"/>
      </w:r>
      <w:r>
        <w:rPr>
          <w:rStyle w:val="FootnoteReference"/>
        </w:rPr>
        <w:footnoteReference w:id="17"/>
      </w:r>
      <w:r>
        <w:t xml:space="preserve">.</w:t>
      </w:r>
    </w:p>
    <w:p>
      <w:pPr>
        <w:jc w:val="both"/>
      </w:pPr>
    </w:p>
    <w:p>
      <w:pPr>
        <w:pStyle w:val="Heading1"/>
      </w:pPr>
      <w:r>
        <w:t>Index des annexes</w:t>
      </w:r>
    </w:p>
    <w:p>
      <w:pPr>
        <w:jc w:val="both"/>
      </w:pPr>
      <w:r>
        <w:t>Annexe 1 : Athénée Exemple, Attestation de scolarité de B. Exemple (document fictif), 12 septembre 2026.</w:t>
      </w:r>
    </w:p>
    <w:p>
      <w:pPr>
        <w:jc w:val="both"/>
      </w:pPr>
      <w:r>
        <w:t>Annexe 2 : C. Témoin, Témoignage (document fictif), 20 septembre 2026.</w:t>
      </w:r>
    </w:p>
    <w:p>
      <w:pPr>
        <w:jc w:val="both"/>
      </w:pPr>
      <w:r>
        <w:t>Annexe 3 : Dr D. Exemple, Certificat médical concernant Madame A. Exemple (document fictif), 22 septembre 2026.</w:t>
      </w:r>
    </w:p>
    <w:p>
      <w:pPr>
        <w:jc w:val="both"/>
      </w:pPr>
      <w:r>
        <w:t>Annexe 4 : Carte identite SPECIMEN.</w:t>
      </w:r>
    </w:p>
    <w:p>
      <w:pPr>
        <w:jc w:val="both"/>
      </w:pPr>
    </w:p>
    <w:sectPr>
      <w:pgSz w:w="11906" w:h="16838"/>
      <w:pgMar w:top="1417" w:right="1417" w:bottom="1417" w:left="1417" w:header="708" w:footer="708" w:gutter="0"/>
    </w:sectPr>
  </w:body>
</w:document>
</file>

<file path=word/footnotes.xml><?xml version="1.0" encoding="utf-8"?>
<w:footnotes xmlns:w="http://schemas.openxmlformats.org/wordprocessingml/2006/main" xmlns:r="http://schemas.openxmlformats.org/officeDocument/2006/relationships">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w:t>
      </w:r>
      <w:r>
        <w:t>Athénée Exemple, Attestation de scolarité de B. Exemple (document fictif), 12 septembre 2026</w:t>
      </w:r>
      <w:r>
        <w:t>, voir l’annexe n° 1 au présent courrier</w:t>
      </w:r>
      <w:r>
        <w:t>.</w:t>
      </w:r>
    </w:p>
  </w:footnote>
  <w:footnote w:id="2">
    <w:p>
      <w:pPr>
        <w:pStyle w:val="FootnoteText"/>
      </w:pPr>
      <w:r>
        <w:rPr>
          <w:rStyle w:val="FootnoteReference"/>
        </w:rPr>
        <w:footnoteRef/>
      </w:r>
      <w:r>
        <w:t xml:space="preserve"> </w:t>
      </w:r>
      <w:r>
        <w:t>C. Témoin, Témoignage (document fictif), 20 septembre 2026</w:t>
      </w:r>
      <w:r>
        <w:t>, voir l’annexe n° 2 au présent courrier</w:t>
      </w:r>
      <w:r>
        <w:t>.</w:t>
      </w:r>
    </w:p>
  </w:footnote>
  <w:footnote w:id="3">
    <w:p>
      <w:pPr>
        <w:pStyle w:val="FootnoteText"/>
      </w:pPr>
      <w:r>
        <w:rPr>
          <w:rStyle w:val="FootnoteReference"/>
        </w:rPr>
        <w:footnoteRef/>
      </w:r>
      <w:r>
        <w:t xml:space="preserve"> </w:t>
      </w:r>
      <w:r>
        <w:t>Dr D. Exemple, Certificat médical concernant Madame A. Exemple (document fictif), 22 septembre 2026</w:t>
      </w:r>
      <w:r>
        <w:t>, voir l’annexe n° 3 au présent courrier</w:t>
      </w:r>
      <w:r>
        <w:t>.</w:t>
      </w:r>
    </w:p>
  </w:footnote>
  <w:footnote w:id="4">
    <w:p>
      <w:pPr>
        <w:pStyle w:val="FootnoteText"/>
      </w:pPr>
      <w:r>
        <w:rPr>
          <w:rStyle w:val="FootnoteReference"/>
        </w:rPr>
        <w:footnoteRef/>
      </w:r>
      <w:r>
        <w:t xml:space="preserve"> </w:t>
      </w:r>
      <w:r>
        <w:t>Carte identite SPECIMEN</w:t>
      </w:r>
      <w:r>
        <w:t>, voir l’annexe n° 4 au présent courrier</w:t>
      </w:r>
      <w:r>
        <w:t>.</w:t>
      </w:r>
    </w:p>
  </w:footnote>
  <w:footnote w:id="5">
    <w:p>
      <w:pPr>
        <w:pStyle w:val="FootnoteText"/>
      </w:pPr>
      <w:r>
        <w:rPr>
          <w:rStyle w:val="FootnoteReference"/>
        </w:rPr>
        <w:footnoteRef/>
      </w:r>
      <w:r>
        <w:t xml:space="preserve"> </w:t>
      </w:r>
      <w:r>
        <w:t>ONU, Collection des Traités, état des traités, Pacte international relatif aux droits civils et politiques</w:t>
      </w:r>
      <w:r>
        <w:t xml:space="preserve">, </w:t>
      </w:r>
      <w:hyperlink r:id="rId1">
        <w:r>
          <w:rPr>
            <w:rStyle w:val="Hyperlink"/>
          </w:rPr>
          <w:t>https://treaties.un.org/Pages/ViewDetails.aspx?src=TREATY&amp;mtdsg_no=IV-4&amp;chapter=4&amp;clang=_fr</w:t>
        </w:r>
      </w:hyperlink>
      <w:r>
        <w:t xml:space="preserve"> (consulté le 27 septembre 2026)</w:t>
      </w:r>
      <w:r>
        <w:t>.</w:t>
      </w:r>
    </w:p>
  </w:footnote>
  <w:footnote w:id="6">
    <w:p>
      <w:pPr>
        <w:pStyle w:val="FootnoteText"/>
      </w:pPr>
      <w:r>
        <w:rPr>
          <w:rStyle w:val="FootnoteReference"/>
        </w:rPr>
        <w:footnoteRef/>
      </w:r>
      <w:r>
        <w:t xml:space="preserve"> </w:t>
      </w:r>
      <w:r>
        <w:t>ONU, Collection des Traités, état des traités, Protocole facultatif se rapportant au Pacte international relatif aux droits civils et politiques</w:t>
      </w:r>
      <w:r>
        <w:t xml:space="preserve">, </w:t>
      </w:r>
      <w:hyperlink r:id="rId2">
        <w:r>
          <w:rPr>
            <w:rStyle w:val="Hyperlink"/>
          </w:rPr>
          <w:t>https://treaties.un.org/Pages/ViewDetails.aspx?src=TREATY&amp;mtdsg_no=IV-5&amp;chapter=4&amp;clang=_fr</w:t>
        </w:r>
      </w:hyperlink>
      <w:r>
        <w:t xml:space="preserve"> (consulté le 27 septembre 2026)</w:t>
      </w:r>
      <w:r>
        <w:t>.</w:t>
      </w:r>
    </w:p>
  </w:footnote>
  <w:footnote w:id="7">
    <w:p>
      <w:pPr>
        <w:pStyle w:val="FootnoteText"/>
      </w:pPr>
      <w:r>
        <w:rPr>
          <w:rStyle w:val="FootnoteReference"/>
        </w:rPr>
        <w:footnoteRef/>
      </w:r>
      <w:r>
        <w:t xml:space="preserve"> </w:t>
      </w:r>
      <w:r>
        <w:t>ONU, Comité des droits de l’homme, observations finales concernant le deuxième rapport périodique de l’Indonésie, CCPR/C/IDN/CO/2, 3 mai 2024</w:t>
      </w:r>
      <w:r>
        <w:t xml:space="preserve">, </w:t>
      </w:r>
      <w:hyperlink r:id="rId3">
        <w:r>
          <w:rPr>
            <w:rStyle w:val="Hyperlink"/>
          </w:rPr>
          <w:t>https://docs.un.org/fr/CCPR/C/IDN/CO/2</w:t>
        </w:r>
      </w:hyperlink>
      <w:r>
        <w:t xml:space="preserve"> (consulté le 27 septembre 2026)</w:t>
      </w:r>
      <w:r>
        <w:t>.</w:t>
      </w:r>
    </w:p>
  </w:footnote>
  <w:footnote w:id="8">
    <w:p>
      <w:pPr>
        <w:pStyle w:val="FootnoteText"/>
      </w:pPr>
      <w:r>
        <w:rPr>
          <w:rStyle w:val="FootnoteReference"/>
        </w:rPr>
        <w:footnoteRef/>
      </w:r>
      <w:r>
        <w:t xml:space="preserve"> </w:t>
      </w:r>
      <w:r>
        <w:rPr>
          <w:i/>
        </w:rPr>
        <w:t>Ibid.</w:t>
      </w:r>
    </w:p>
  </w:footnote>
  <w:footnote w:id="9">
    <w:p>
      <w:pPr>
        <w:pStyle w:val="FootnoteText"/>
      </w:pPr>
      <w:r>
        <w:rPr>
          <w:rStyle w:val="FootnoteReference"/>
        </w:rPr>
        <w:footnoteRef/>
      </w:r>
      <w:r>
        <w:t xml:space="preserve"> </w:t>
      </w:r>
      <w:r>
        <w:t>ONU, Comité des droits de l’homme, courrier de suivi du Comité, INT/CCPR/FUL/IDN/21848, 12 mai 2016</w:t>
      </w:r>
      <w:r>
        <w:t xml:space="preserve"> ; </w:t>
      </w:r>
      <w:r>
        <w:t>ONU, Comité des droits de l’homme, courrier de suivi du Comité, INT/CCPR/FUL/IDN/27205, 18 avril 2017</w:t>
      </w:r>
      <w:r>
        <w:t>.</w:t>
      </w:r>
    </w:p>
  </w:footnote>
  <w:footnote w:id="10">
    <w:p>
      <w:pPr>
        <w:pStyle w:val="FootnoteText"/>
      </w:pPr>
      <w:r>
        <w:rPr>
          <w:rStyle w:val="FootnoteReference"/>
        </w:rPr>
        <w:footnoteRef/>
      </w:r>
      <w:r>
        <w:t xml:space="preserve"> </w:t>
      </w:r>
      <w:r>
        <w:t>ONU, Comité contre la torture, observations finales concernant le deuxième rapport périodique de l’Indonésie, CAT/C/IDN/CO/2, 2 juillet 2008</w:t>
      </w:r>
      <w:r>
        <w:t xml:space="preserve">, </w:t>
      </w:r>
      <w:hyperlink r:id="rId4">
        <w:r>
          <w:rPr>
            <w:rStyle w:val="Hyperlink"/>
          </w:rPr>
          <w:t>https://docs.un.org/fr/CAT/C/IDN/CO/2</w:t>
        </w:r>
      </w:hyperlink>
      <w:r>
        <w:t xml:space="preserve"> (consulté le 27 septembre 2026)</w:t>
      </w:r>
      <w:r>
        <w:t>.</w:t>
      </w:r>
    </w:p>
  </w:footnote>
  <w:footnote w:id="11">
    <w:p>
      <w:pPr>
        <w:pStyle w:val="FootnoteText"/>
      </w:pPr>
      <w:r>
        <w:rPr>
          <w:rStyle w:val="FootnoteReference"/>
        </w:rPr>
        <w:footnoteRef/>
      </w:r>
      <w:r>
        <w:t xml:space="preserve"> </w:t>
      </w:r>
      <w:r>
        <w:t>Loi du 15 décembre 1980 sur l’accès au territoire, le séjour, l’établissement et l’éloignement des étrangers, M.B., 31 décembre 1980</w:t>
      </w:r>
      <w:r>
        <w:t>, art. 74/13</w:t>
      </w:r>
      <w:r>
        <w:t>.</w:t>
      </w:r>
    </w:p>
  </w:footnote>
  <w:footnote w:id="12">
    <w:p>
      <w:pPr>
        <w:pStyle w:val="FootnoteText"/>
      </w:pPr>
      <w:r>
        <w:rPr>
          <w:rStyle w:val="FootnoteReference"/>
        </w:rPr>
        <w:footnoteRef/>
      </w:r>
      <w:r>
        <w:t xml:space="preserve"> </w:t>
      </w:r>
      <w:r>
        <w:t>Convention de sauvegarde des droits de l’homme et des libertés fondamentales, signée à Rome le 4 novembre 1950</w:t>
      </w:r>
      <w:r>
        <w:t>, art. 3</w:t>
      </w:r>
      <w:r>
        <w:t>.</w:t>
      </w:r>
    </w:p>
  </w:footnote>
  <w:footnote w:id="13">
    <w:p>
      <w:pPr>
        <w:pStyle w:val="FootnoteText"/>
      </w:pPr>
      <w:r>
        <w:rPr>
          <w:rStyle w:val="FootnoteReference"/>
        </w:rPr>
        <w:footnoteRef/>
      </w:r>
      <w:r>
        <w:t xml:space="preserve"> </w:t>
      </w:r>
      <w:r>
        <w:t>C.J.U.E. (gde ch.), arrêt Alace et Canpelli, 1er août 2025, aff. jointes C-758/24 et C-759/24, EU:C:2025:591</w:t>
      </w:r>
      <w:r>
        <w:t>, point 97</w:t>
      </w:r>
      <w:r>
        <w:t xml:space="preserve">, </w:t>
      </w:r>
      <w:hyperlink r:id="rId5">
        <w:r>
          <w:rPr>
            <w:rStyle w:val="Hyperlink"/>
          </w:rPr>
          <w:t>https://eur-lex.europa.eu/legal-content/FR/TXT/?uri=CELEX:62024CJ0758</w:t>
        </w:r>
      </w:hyperlink>
      <w:r>
        <w:t xml:space="preserve"> (consulté le 29 septembre 2026)</w:t>
      </w:r>
      <w:r>
        <w:t>.</w:t>
      </w:r>
    </w:p>
  </w:footnote>
  <w:footnote w:id="14">
    <w:p>
      <w:pPr>
        <w:pStyle w:val="FootnoteText"/>
      </w:pPr>
      <w:r>
        <w:rPr>
          <w:rStyle w:val="FootnoteReference"/>
        </w:rPr>
        <w:footnoteRef/>
      </w:r>
      <w:r>
        <w:t xml:space="preserve"> </w:t>
      </w:r>
      <w:r>
        <w:t xml:space="preserve">Loi du 15 décembre 1980, </w:t>
      </w:r>
      <w:r>
        <w:rPr>
          <w:i/>
        </w:rPr>
        <w:t>op.cit.</w:t>
      </w:r>
      <w:r>
        <w:t>, art. 74/13</w:t>
      </w:r>
      <w:r>
        <w:t>.</w:t>
      </w:r>
    </w:p>
  </w:footnote>
  <w:footnote w:id="15">
    <w:p>
      <w:pPr>
        <w:pStyle w:val="FootnoteText"/>
      </w:pPr>
      <w:r>
        <w:rPr>
          <w:rStyle w:val="FootnoteReference"/>
        </w:rPr>
        <w:footnoteRef/>
      </w:r>
      <w:r>
        <w:t xml:space="preserve"> </w:t>
      </w:r>
      <w:r>
        <w:t>Convention relative aux droits de l’enfant, adoptée à New York le 20 novembre 1989</w:t>
      </w:r>
      <w:r>
        <w:t>, art. 3, §1er</w:t>
      </w:r>
      <w:r>
        <w:t xml:space="preserve"> ; </w:t>
      </w:r>
      <w:r>
        <w:t>Constitution belge</w:t>
      </w:r>
      <w:r>
        <w:t>, art. 22bis</w:t>
      </w:r>
      <w:r>
        <w:t>.</w:t>
      </w:r>
    </w:p>
  </w:footnote>
  <w:footnote w:id="16">
    <w:p>
      <w:pPr>
        <w:pStyle w:val="FootnoteText"/>
      </w:pPr>
      <w:r>
        <w:rPr>
          <w:rStyle w:val="FootnoteReference"/>
        </w:rPr>
        <w:footnoteRef/>
      </w:r>
      <w:r>
        <w:t xml:space="preserve"> </w:t>
      </w:r>
      <w:r>
        <w:t xml:space="preserve">Loi du 15 décembre 1980, </w:t>
      </w:r>
      <w:r>
        <w:rPr>
          <w:i/>
        </w:rPr>
        <w:t>op.cit.</w:t>
      </w:r>
      <w:r>
        <w:t>, art. 74/13</w:t>
      </w:r>
      <w:r>
        <w:t>.</w:t>
      </w:r>
    </w:p>
  </w:footnote>
  <w:footnote w:id="17">
    <w:p>
      <w:pPr>
        <w:pStyle w:val="FootnoteText"/>
      </w:pPr>
      <w:r>
        <w:rPr>
          <w:rStyle w:val="FootnoteReference"/>
        </w:rPr>
        <w:footnoteRef/>
      </w:r>
      <w:r>
        <w:t xml:space="preserve"> </w:t>
      </w:r>
      <w:r>
        <w:t>Exemple de note écrite à la main : ce texte est fictif.</w:t>
      </w:r>
    </w:p>
  </w:footnote>
</w:footnotes>
</file>

<file path=word/settings.xml><?xml version="1.0" encoding="utf-8"?>
<w:settings xmlns:w="http://schemas.openxmlformats.org/wordprocessingml/2006/main">
  <w:defaultTabStop w:val="708"/>
  <w:hyphenationZone w:val="425"/>
  <w:characterSpacingControl w:val="doNotCompress"/>
  <w:updateFields w:val="true"/>
  <w:footnotePr>
    <w:footnote w:id="-1"/>
    <w:footnote w:id="0"/>
  </w:footnotePr>
  <w:compat>
    <w:compatSetting w:name="compatibilityMode" w:uri="http://schemas.microsoft.com/office/word" w:val="15"/>
  </w:compat>
  <w:decimalSymbol w:val=","/>
  <w:listSeparator w:val=";"/>
</w:settings>
</file>

<file path=word/styles.xml><?xml version="1.0" encoding="utf-8"?>
<w:styles xmlns:w="http://schemas.openxmlformats.org/wordprocessingml/2006/main">
  <w:docDefaults>
    <w:rPrDefault>
      <w:rPr>
        <w:rFonts w:ascii="Arial" w:hAnsi="Arial" w:eastAsia="Arial" w:cs="Arial"/>
        <w:sz w:val="22"/>
        <w:szCs w:val="22"/>
        <w:lang w:val="fr-BE" w:eastAsia="en-US" w:bidi="ar-SA"/>
      </w:rPr>
    </w:rPrDefault>
    <w:pPrDefault>
      <w:pPr>
        <w:spacing w:after="0" w:line="276" w:lineRule="auto"/>
      </w:pPr>
    </w:pPrDefault>
  </w:docDefaults>
  <w:style w:type="paragraph" w:default="1" w:styleId="Normal">
    <w:name w:val="Normal"/>
    <w:qFormat/>
    <w:pPr>
      <w:jc w:val="both"/>
    </w:pPr>
  </w:style>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360" w:after="120"/>
      <w:jc w:val="left"/>
      <w:outlineLvl w:val="0"/>
    </w:pPr>
    <w:rPr>
      <w:b/>
      <w:sz w:val="28"/>
      <w:szCs w:val="28"/>
    </w:rPr>
  </w:style>
  <w:style w:type="paragraph" w:styleId="Heading2">
    <w:name w:val="heading 2"/>
    <w:basedOn w:val="Normal"/>
    <w:next w:val="Normal"/>
    <w:uiPriority w:val="9"/>
    <w:qFormat/>
    <w:pPr>
      <w:keepNext/>
      <w:keepLines/>
      <w:spacing w:before="240" w:after="120"/>
      <w:jc w:val="left"/>
      <w:outlineLvl w:val="1"/>
    </w:pPr>
    <w:rPr>
      <w:b/>
      <w:sz w:val="26"/>
      <w:szCs w:val="26"/>
    </w:rPr>
  </w:style>
  <w:style w:type="paragraph" w:styleId="Heading3">
    <w:name w:val="heading 3"/>
    <w:basedOn w:val="Normal"/>
    <w:next w:val="Normal"/>
    <w:uiPriority w:val="9"/>
    <w:qFormat/>
    <w:pPr>
      <w:keepNext/>
      <w:keepLines/>
      <w:spacing w:before="240" w:after="120"/>
      <w:jc w:val="left"/>
      <w:outlineLvl w:val="2"/>
    </w:pPr>
    <w:rPr>
      <w:b/>
      <w:sz w:val="24"/>
      <w:szCs w:val="24"/>
    </w:rPr>
  </w:style>
  <w:style w:type="paragraph" w:styleId="Heading4">
    <w:name w:val="heading 4"/>
    <w:basedOn w:val="Normal"/>
    <w:next w:val="Normal"/>
    <w:uiPriority w:val="9"/>
    <w:qFormat/>
    <w:pPr>
      <w:keepNext/>
      <w:keepLines/>
      <w:spacing w:before="240" w:after="120"/>
      <w:jc w:val="left"/>
      <w:outlineLvl w:val="3"/>
    </w:pPr>
    <w:rPr>
      <w:b/>
      <w:sz w:val="22"/>
      <w:szCs w:val="22"/>
    </w:rPr>
  </w:style>
  <w:style w:type="paragraph" w:styleId="TitrePlan">
    <w:name w:val="Titre du plan"/>
    <w:basedOn w:val="Normal"/>
    <w:qFormat/>
    <w:pPr>
      <w:spacing w:after="240"/>
      <w:jc w:val="center"/>
    </w:pPr>
    <w:rPr>
      <w:b/>
      <w:sz w:val="32"/>
      <w:szCs w:val="32"/>
    </w:rPr>
  </w:style>
  <w:style w:type="paragraph" w:styleId="Aide">
    <w:name w:val="Aide Probasile"/>
    <w:basedOn w:val="Normal"/>
    <w:qFormat/>
    <w:pPr>
      <w:spacing w:after="120"/>
    </w:pPr>
    <w:rPr>
      <w:i/>
      <w:color w:val="7A7A7A"/>
    </w:rPr>
  </w:style>
  <w:style w:type="paragraph" w:styleId="Repere">
    <w:name w:val="Repère Probasile"/>
    <w:basedOn w:val="Normal"/>
    <w:qFormat/>
    <w:pPr>
      <w:ind w:left="576"/>
    </w:pPr>
    <w:rPr>
      <w:color w:val="08738F"/>
      <w:sz w:val="18"/>
      <w:szCs w:val="18"/>
    </w:rPr>
  </w:style>
  <w:style w:type="paragraph" w:styleId="TOCHeading">
    <w:name w:val="TOC Heading"/>
    <w:basedOn w:val="Normal"/>
    <w:next w:val="Normal"/>
    <w:uiPriority w:val="39"/>
    <w:qFormat/>
    <w:pPr>
      <w:spacing w:before="240" w:after="120"/>
    </w:pPr>
    <w:rPr>
      <w:b/>
      <w:sz w:val="28"/>
      <w:szCs w:val="28"/>
    </w:rPr>
  </w:style>
  <w:style w:type="paragraph" w:styleId="TOC1">
    <w:name w:val="toc 1"/>
    <w:basedOn w:val="Normal"/>
    <w:next w:val="Normal"/>
    <w:uiPriority w:val="39"/>
    <w:pPr>
      <w:ind w:left="0"/>
      <w:jc w:val="left"/>
    </w:pPr>
  </w:style>
  <w:style w:type="paragraph" w:styleId="TOC2">
    <w:name w:val="toc 2"/>
    <w:basedOn w:val="Normal"/>
    <w:next w:val="Normal"/>
    <w:uiPriority w:val="39"/>
    <w:pPr>
      <w:ind w:left="220"/>
      <w:jc w:val="left"/>
    </w:pPr>
  </w:style>
  <w:style w:type="paragraph" w:styleId="TOC3">
    <w:name w:val="toc 3"/>
    <w:basedOn w:val="Normal"/>
    <w:next w:val="Normal"/>
    <w:uiPriority w:val="39"/>
    <w:pPr>
      <w:ind w:left="440"/>
      <w:jc w:val="left"/>
    </w:pPr>
  </w:style>
  <w:style w:type="paragraph" w:styleId="TOC4">
    <w:name w:val="toc 4"/>
    <w:basedOn w:val="Normal"/>
    <w:next w:val="Normal"/>
    <w:uiPriority w:val="39"/>
    <w:pPr>
      <w:ind w:left="660"/>
      <w:jc w:val="left"/>
    </w:pPr>
  </w:style>
  <w:style w:type="paragraph" w:styleId="FootnoteText">
    <w:name w:val="footnote text"/>
    <w:basedOn w:val="Normal"/>
    <w:uiPriority w:val="99"/>
    <w:pPr>
      <w:jc w:val="both"/>
    </w:pPr>
    <w:rPr>
      <w:sz w:val="18"/>
      <w:szCs w:val="18"/>
    </w:rPr>
  </w:style>
  <w:style w:type="character" w:styleId="FootnoteReference">
    <w:name w:val="footnote reference"/>
    <w:uiPriority w:val="99"/>
    <w:rPr>
      <w:vertAlign w:val="superscript"/>
    </w:rPr>
  </w:style>
  <w:style w:type="character" w:styleId="Hyperlink">
    <w:name w:val="Hyperlink"/>
    <w:uiPriority w:val="99"/>
    <w:rPr>
      <w:color w:val="0563C1"/>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s://treaties.un.org/Pages/ViewDetails.aspx?src=TREATY&amp;mtdsg_no=IV-4&amp;chapter=4&amp;clang=_fr" TargetMode="External"/><Relationship Id="rId2" Type="http://schemas.openxmlformats.org/officeDocument/2006/relationships/hyperlink" Target="https://treaties.un.org/Pages/ViewDetails.aspx?src=TREATY&amp;mtdsg_no=IV-5&amp;chapter=4&amp;clang=_fr" TargetMode="External"/><Relationship Id="rId3" Type="http://schemas.openxmlformats.org/officeDocument/2006/relationships/hyperlink" Target="https://docs.un.org/fr/CCPR/C/IDN/CO/2" TargetMode="External"/><Relationship Id="rId4" Type="http://schemas.openxmlformats.org/officeDocument/2006/relationships/hyperlink" Target="https://docs.un.org/fr/CAT/C/IDN/CO/2" TargetMode="External"/><Relationship Id="rId5" Type="http://schemas.openxmlformats.org/officeDocument/2006/relationships/hyperlink" Target="https://eur-lex.europa.eu/legal-content/FR/TXT/?uri=CELEX:62024CJ0758" TargetMode="External"/></Relationships>
</file>

<file path=docProps/app.xml><?xml version="1.0" encoding="utf-8"?>
<Properties xmlns="http://schemas.openxmlformats.org/officeDocument/2006/extended-properties">
  <Application>Probasile</Application>
</Properties>
</file>

<file path=docProps/core.xml><?xml version="1.0" encoding="utf-8"?>
<cp:coreProperties xmlns:cp="http://schemas.openxmlformats.org/package/2006/metadata/core-properties" xmlns:dc="http://purl.org/dc/elements/1.1/" xmlns:dcterms="http://purl.org/dc/terms/" xmlns:xsi="http://www.w3.org/2001/XMLSchema-instance">
  <dc:title>Demande de non-délivrance d’un ordre de quitter le territoire (exemple fictif)</dc:title>
  <dc:creator>Probasile</dc:creator>
  <dcterms:created xsi:type="dcterms:W3CDTF">2026-10-01T10:28:09Z</dcterms:created>
  <dcterms:modified xsi:type="dcterms:W3CDTF">2026-10-01T10:28:09Z</dcterms:modified>
</cp:coreProperties>
</file>