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0D7377"/>
          <w:sz w:val="72"/>
          <w:szCs w:val="72"/>
        </w:rPr>
        <w:t xml:space="preserve">QUANTARA</w:t>
      </w:r>
    </w:p>
    <w:p>
      <w:pPr>
        <w:spacing w:after="200"/>
        <w:jc w:val="center"/>
      </w:pPr>
      <w:r>
        <w:rPr>
          <w:rFonts w:ascii="Arial" w:cs="Arial" w:eastAsia="Arial" w:hAnsi="Arial"/>
          <w:b/>
          <w:bCs/>
          <w:color w:val="1B2A4A"/>
          <w:sz w:val="36"/>
          <w:szCs w:val="36"/>
        </w:rPr>
        <w:t xml:space="preserve">COHERENCE CAPITAL SYSTEM</w:t>
      </w:r>
    </w:p>
    <w:p>
      <w:pPr>
        <w:pBdr>
          <w:bottom w:val="single" w:color="0D7377" w:sz="4" w:space="1"/>
        </w:pBdr>
        <w:spacing w:after="200"/>
      </w:pPr>
      <w:r>
        <w:t xml:space="preserve"/>
      </w:r>
    </w:p>
    <w:p>
      <w:pPr>
        <w:spacing w:after="120"/>
        <w:jc w:val="center"/>
      </w:pPr>
      <w:r>
        <w:rPr>
          <w:rFonts w:ascii="Arial" w:cs="Arial" w:eastAsia="Arial" w:hAnsi="Arial"/>
          <w:b/>
          <w:bCs/>
          <w:color w:val="1B2A4A"/>
          <w:sz w:val="32"/>
          <w:szCs w:val="32"/>
        </w:rPr>
        <w:t xml:space="preserve">PUBLIC PILOT AUDIT — PHASE I</w:t>
      </w:r>
    </w:p>
    <w:p>
      <w:pPr>
        <w:spacing w:after="120"/>
        <w:jc w:val="center"/>
      </w:pPr>
      <w:r>
        <w:rPr>
          <w:rFonts w:ascii="Arial" w:cs="Arial" w:eastAsia="Arial" w:hAnsi="Arial"/>
          <w:color w:val="555555"/>
          <w:sz w:val="24"/>
          <w:szCs w:val="24"/>
        </w:rPr>
        <w:t xml:space="preserve">Five-Company Coherence Score Analysis</w:t>
      </w:r>
    </w:p>
    <w:p>
      <w:pPr>
        <w:spacing w:after="400"/>
        <w:jc w:val="center"/>
      </w:pPr>
      <w:r>
        <w:rPr>
          <w:rFonts w:ascii="Arial" w:cs="Arial" w:eastAsia="Arial" w:hAnsi="Arial"/>
          <w:i/>
          <w:iCs/>
          <w:color w:val="888888"/>
          <w:sz w:val="20"/>
          <w:szCs w:val="20"/>
        </w:rPr>
        <w:t xml:space="preserve">Based on 2023 Public Sustainability Reports, CDP Disclosures &amp; Annual Filings</w:t>
      </w:r>
    </w:p>
    <w:p>
      <w:r>
        <w:t xml:space="preserve"/>
      </w:r>
    </w:p>
    <w:p>
      <w:pPr>
        <w:jc w:val="center"/>
      </w:pPr>
      <w:r>
        <w:rPr>
          <w:rFonts w:ascii="Arial" w:cs="Arial" w:eastAsia="Arial" w:hAnsi="Arial"/>
          <w:color w:val="555555"/>
          <w:sz w:val="20"/>
          <w:szCs w:val="20"/>
        </w:rPr>
        <w:t xml:space="preserve">Nadine Squires  |  quantumquantara@gmail.com</w:t>
      </w:r>
    </w:p>
    <w:p>
      <w:pPr>
        <w:spacing w:after="200"/>
        <w:jc w:val="center"/>
      </w:pPr>
      <w:r>
        <w:rPr>
          <w:rFonts w:ascii="Arial" w:cs="Arial" w:eastAsia="Arial" w:hAnsi="Arial"/>
          <w:color w:val="888888"/>
          <w:sz w:val="20"/>
          <w:szCs w:val="20"/>
        </w:rPr>
        <w:t xml:space="preserve">github.com/quantumquantara-arch  |  February 2026</w:t>
      </w:r>
    </w:p>
    <w:p>
      <w:r>
        <w:br w:type="page"/>
      </w:r>
    </w:p>
    <w:p>
      <w:pPr>
        <w:pStyle w:val="Heading1"/>
        <w:spacing w:before="360" w:after="160"/>
      </w:pPr>
      <w:r>
        <w:rPr>
          <w:rFonts w:ascii="Arial" w:cs="Arial" w:eastAsia="Arial" w:hAnsi="Arial"/>
          <w:b/>
          <w:bCs/>
          <w:color w:val="1B2A4A"/>
          <w:sz w:val="36"/>
          <w:szCs w:val="36"/>
        </w:rPr>
        <w:t xml:space="preserve">Executive Summary</w:t>
      </w:r>
    </w:p>
    <w:p>
      <w:pPr>
        <w:pBdr>
          <w:bottom w:val="single" w:color="0D7377" w:sz="4" w:space="1"/>
        </w:pBdr>
        <w:spacing w:after="200"/>
      </w:pPr>
      <w:r>
        <w:t xml:space="preserve"/>
      </w:r>
    </w:p>
    <w:p>
      <w:pPr>
        <w:spacing w:after="120"/>
        <w:jc w:val="left"/>
      </w:pPr>
      <w:r>
        <w:rPr>
          <w:rFonts w:ascii="Arial" w:cs="Arial" w:eastAsia="Arial" w:hAnsi="Arial"/>
          <w:b w:val="false"/>
          <w:bCs w:val="false"/>
          <w:i w:val="false"/>
          <w:iCs w:val="false"/>
          <w:color w:val="333333"/>
          <w:sz w:val="22"/>
          <w:szCs w:val="22"/>
        </w:rPr>
        <w:t xml:space="preserve">This document presents the first public pilot audit of the Quantara Coherence Capital System (CCS) — a planetary-scale financial intelligence framework that quantifies ethical alignment, energy reciprocity, temporal responsibility, and systemic risk into a unified Coherence Score (C-Score) for any economic entity.</w:t>
      </w:r>
    </w:p>
    <w:p>
      <w:r>
        <w:t xml:space="preserve"/>
      </w:r>
    </w:p>
    <w:p>
      <w:pPr>
        <w:spacing w:after="120"/>
        <w:jc w:val="left"/>
      </w:pPr>
      <w:r>
        <w:rPr>
          <w:rFonts w:ascii="Arial" w:cs="Arial" w:eastAsia="Arial" w:hAnsi="Arial"/>
          <w:b w:val="false"/>
          <w:bCs w:val="false"/>
          <w:i w:val="false"/>
          <w:iCs w:val="false"/>
          <w:color w:val="333333"/>
          <w:sz w:val="22"/>
          <w:szCs w:val="22"/>
        </w:rPr>
        <w:t xml:space="preserve">Five publicly traded companies were scored across five dimensions using exclusively public data: 2023 sustainability reports, CDP climate disclosures, annual filings, and verified ESG data. The results demonstrate that the Quantara framework produces internally consistent, economically meaningful differentiation — and that the gap between coherent and incoherent actors translates directly into differential capital costs.</w:t>
      </w:r>
    </w:p>
    <w:p>
      <w:r>
        <w:t xml:space="preserve"/>
      </w:r>
    </w:p>
    <w:p>
      <w:pPr>
        <w:spacing w:after="120"/>
        <w:jc w:val="left"/>
      </w:pPr>
      <w:r>
        <w:rPr>
          <w:rFonts w:ascii="Arial" w:cs="Arial" w:eastAsia="Arial" w:hAnsi="Arial"/>
          <w:b w:val="false"/>
          <w:bCs w:val="false"/>
          <w:i w:val="false"/>
          <w:iCs w:val="false"/>
          <w:color w:val="333333"/>
          <w:sz w:val="22"/>
          <w:szCs w:val="22"/>
        </w:rPr>
        <w:t xml:space="preserve">Key finding: A 56.3-point C-Score gap separates the highest-scoring entity (Vestas Wind Systems, 88.10) from the lowest (ExxonMobil, 31.80). Under Quantara's Coherence-Weighted Pricing model, this gap corresponds to an 8.06-percentage-point spread in Temporal Equity Bond yields — coherent actors access cheaper long-term capital; incoherent actors pay a structural premium. This is the core mechanism by which Quantara realigns market incentives with planetary coherence.</w:t>
      </w:r>
    </w:p>
    <w:p>
      <w:r>
        <w:t xml:space="preserve"/>
      </w:r>
    </w:p>
    <w:p>
      <w:pPr>
        <w:pStyle w:val="Heading2"/>
        <w:spacing w:before="240" w:after="160"/>
      </w:pPr>
      <w:r>
        <w:rPr>
          <w:rFonts w:ascii="Arial" w:cs="Arial" w:eastAsia="Arial" w:hAnsi="Arial"/>
          <w:b/>
          <w:bCs/>
          <w:color w:val="1B2A4A"/>
          <w:sz w:val="28"/>
          <w:szCs w:val="28"/>
        </w:rPr>
        <w:t xml:space="preserve">Pilot Audit Results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900"/>
        <w:gridCol w:w="900"/>
        <w:gridCol w:w="900"/>
        <w:gridCol w:w="800"/>
        <w:gridCol w:w="960"/>
      </w:tblGrid>
      <w:tr>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Company</w:t>
            </w:r>
          </w:p>
        </w:tc>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Sector</w:t>
            </w:r>
          </w:p>
        </w:tc>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C-Score</w:t>
            </w:r>
          </w:p>
        </w:tc>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Φ (Phi)</w:t>
            </w:r>
          </w:p>
        </w:tc>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Ξ (Xi)</w:t>
            </w:r>
          </w:p>
        </w:tc>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TEB %</w:t>
            </w:r>
          </w:p>
        </w:tc>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CCE</w:t>
            </w:r>
          </w:p>
        </w:tc>
        <w:tc>
          <w:tcPr>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Σ-Drift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Vestas Wind Systems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Renewable Energy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88.1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0.8171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1.3178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11.78%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9</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Microsoft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Technology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87.05</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0.8265</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1.0142</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10.84%</w:t>
            </w:r>
          </w:p>
        </w:tc>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Apple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Technology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81.05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0.7326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1.0354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10.04%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18</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Amazon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Technology / Retail</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60.25</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0.4741</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0.7706</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7.31%</w:t>
            </w:r>
          </w:p>
        </w:tc>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w:t>
            </w:r>
          </w:p>
        </w:tc>
        <w:tc>
          <w:tcPr>
            <w:tcW w:type="dxa" w:w="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42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ExxonMobil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Energy (Fossil)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0.2487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0.2892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3.72%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78</w:t>
            </w:r>
          </w:p>
        </w:tc>
      </w:tr>
    </w:tbl>
    <w:p>
      <w:r>
        <w:t xml:space="preserve"/>
      </w:r>
    </w:p>
    <w:p>
      <w:pPr>
        <w:spacing w:after="120"/>
        <w:jc w:val="left"/>
      </w:pPr>
      <w:r>
        <w:rPr>
          <w:rFonts w:ascii="Arial" w:cs="Arial" w:eastAsia="Arial" w:hAnsi="Arial"/>
          <w:b w:val="false"/>
          <w:bCs w:val="false"/>
          <w:i/>
          <w:iCs/>
          <w:color w:val="888888"/>
          <w:sz w:val="18"/>
          <w:szCs w:val="18"/>
        </w:rPr>
        <w:t xml:space="preserve">EA=Ethical Alignment | MS=Memory Symmetry | ER=Energy Reciprocity | FI=Foresight Integrity | HS=Human Stewardship | CCE=Coherence Credit Eligible | Σ=Drift Risk (lower = better)</w:t>
      </w:r>
    </w:p>
    <w:p>
      <w:r>
        <w:br w:type="page"/>
      </w:r>
    </w:p>
    <w:p>
      <w:pPr>
        <w:pStyle w:val="Heading1"/>
        <w:spacing w:before="360" w:after="160"/>
      </w:pPr>
      <w:r>
        <w:rPr>
          <w:rFonts w:ascii="Arial" w:cs="Arial" w:eastAsia="Arial" w:hAnsi="Arial"/>
          <w:b/>
          <w:bCs/>
          <w:color w:val="1B2A4A"/>
          <w:sz w:val="36"/>
          <w:szCs w:val="36"/>
        </w:rPr>
        <w:t xml:space="preserve">Methodology</w:t>
      </w:r>
    </w:p>
    <w:p>
      <w:pPr>
        <w:pBdr>
          <w:bottom w:val="single" w:color="0D7377" w:sz="4" w:space="1"/>
        </w:pBdr>
        <w:spacing w:after="200"/>
      </w:pPr>
      <w:r>
        <w:t xml:space="preserve"/>
      </w:r>
    </w:p>
    <w:p>
      <w:pPr>
        <w:pStyle w:val="Heading2"/>
        <w:spacing w:before="240" w:after="160"/>
      </w:pPr>
      <w:r>
        <w:rPr>
          <w:rFonts w:ascii="Arial" w:cs="Arial" w:eastAsia="Arial" w:hAnsi="Arial"/>
          <w:b/>
          <w:bCs/>
          <w:color w:val="1B2A4A"/>
          <w:sz w:val="28"/>
          <w:szCs w:val="28"/>
        </w:rPr>
        <w:t xml:space="preserve">The Five-Dimension Coherence Score</w:t>
      </w:r>
    </w:p>
    <w:p>
      <w:pPr>
        <w:spacing w:after="120"/>
        <w:jc w:val="left"/>
      </w:pPr>
      <w:r>
        <w:rPr>
          <w:rFonts w:ascii="Arial" w:cs="Arial" w:eastAsia="Arial" w:hAnsi="Arial"/>
          <w:b w:val="false"/>
          <w:bCs w:val="false"/>
          <w:i w:val="false"/>
          <w:iCs w:val="false"/>
          <w:color w:val="333333"/>
          <w:sz w:val="22"/>
          <w:szCs w:val="22"/>
        </w:rPr>
        <w:t xml:space="preserve">The C-Score is computed as a weighted linear combination of five dimensions, each scored 0–100 from public disclosures:</w:t>
      </w:r>
    </w:p>
    <w:p>
      <w:r>
        <w:t xml:space="preserve"/>
      </w:r>
    </w:p>
    <w:p>
      <w:pPr>
        <w:pStyle w:val="ListParagraph"/>
        <w:numPr>
          <w:ilvl w:val="0"/>
          <w:numId w:val="2"/>
        </w:numPr>
        <w:spacing w:after="80"/>
      </w:pPr>
      <w:r>
        <w:rPr>
          <w:rFonts w:ascii="Arial" w:cs="Arial" w:eastAsia="Arial" w:hAnsi="Arial"/>
          <w:sz w:val="22"/>
          <w:szCs w:val="22"/>
        </w:rPr>
        <w:t xml:space="preserve">EA — Ethical Alignment (weight: 25%): Policy compliance, supply chain ethics, controversy index, inclusion metrics</w:t>
      </w:r>
    </w:p>
    <w:p>
      <w:pPr>
        <w:pStyle w:val="ListParagraph"/>
        <w:numPr>
          <w:ilvl w:val="0"/>
          <w:numId w:val="2"/>
        </w:numPr>
        <w:spacing w:after="80"/>
      </w:pPr>
      <w:r>
        <w:rPr>
          <w:rFonts w:ascii="Arial" w:cs="Arial" w:eastAsia="Arial" w:hAnsi="Arial"/>
          <w:sz w:val="22"/>
          <w:szCs w:val="22"/>
        </w:rPr>
        <w:t xml:space="preserve">MS — Memory Symmetry (weight: 20%): Reporting continuity, governance stability, audit consistency, drift resistance</w:t>
      </w:r>
    </w:p>
    <w:p>
      <w:pPr>
        <w:pStyle w:val="ListParagraph"/>
        <w:numPr>
          <w:ilvl w:val="0"/>
          <w:numId w:val="2"/>
        </w:numPr>
        <w:spacing w:after="80"/>
      </w:pPr>
      <w:r>
        <w:rPr>
          <w:rFonts w:ascii="Arial" w:cs="Arial" w:eastAsia="Arial" w:hAnsi="Arial"/>
          <w:sz w:val="22"/>
          <w:szCs w:val="22"/>
        </w:rPr>
        <w:t xml:space="preserve">ER — Energy Reciprocity (weight: 25%): Renewable percentage, carbon intensity trajectory, circular economy adoption</w:t>
      </w:r>
    </w:p>
    <w:p>
      <w:pPr>
        <w:pStyle w:val="ListParagraph"/>
        <w:numPr>
          <w:ilvl w:val="0"/>
          <w:numId w:val="2"/>
        </w:numPr>
        <w:spacing w:after="80"/>
      </w:pPr>
      <w:r>
        <w:rPr>
          <w:rFonts w:ascii="Arial" w:cs="Arial" w:eastAsia="Arial" w:hAnsi="Arial"/>
          <w:sz w:val="22"/>
          <w:szCs w:val="22"/>
        </w:rPr>
        <w:t xml:space="preserve">FI — Foresight Integrity (weight: 20%): Science-Based Targets approval, net-zero scope completeness, scenario planning quality</w:t>
      </w:r>
    </w:p>
    <w:p>
      <w:pPr>
        <w:pStyle w:val="ListParagraph"/>
        <w:numPr>
          <w:ilvl w:val="0"/>
          <w:numId w:val="2"/>
        </w:numPr>
        <w:spacing w:after="80"/>
      </w:pPr>
      <w:r>
        <w:rPr>
          <w:rFonts w:ascii="Arial" w:cs="Arial" w:eastAsia="Arial" w:hAnsi="Arial"/>
          <w:sz w:val="22"/>
          <w:szCs w:val="22"/>
        </w:rPr>
        <w:t xml:space="preserve">HS — Human Stewardship (weight: 10%): Board independence, reversibility mechanisms, stakeholder rights</w:t>
      </w:r>
    </w:p>
    <w:p>
      <w:r>
        <w:t xml:space="preserve"/>
      </w:r>
    </w:p>
    <w:p>
      <w:pPr>
        <w:spacing w:after="120"/>
        <w:jc w:val="left"/>
      </w:pPr>
      <w:r>
        <w:rPr>
          <w:rFonts w:ascii="Arial" w:cs="Arial" w:eastAsia="Arial" w:hAnsi="Arial"/>
          <w:b/>
          <w:bCs/>
          <w:i w:val="false"/>
          <w:iCs w:val="false"/>
          <w:color w:val="0D7377"/>
          <w:sz w:val="22"/>
          <w:szCs w:val="22"/>
        </w:rPr>
        <w:t xml:space="preserve">C = 0.25·EA + 0.20·MS + 0.25·ER + 0.20·FI + 0.10·HS</w:t>
      </w:r>
    </w:p>
    <w:p>
      <w:r>
        <w:t xml:space="preserve"/>
      </w:r>
    </w:p>
    <w:p>
      <w:pPr>
        <w:pStyle w:val="Heading2"/>
        <w:spacing w:before="240" w:after="160"/>
      </w:pPr>
      <w:r>
        <w:rPr>
          <w:rFonts w:ascii="Arial" w:cs="Arial" w:eastAsia="Arial" w:hAnsi="Arial"/>
          <w:b/>
          <w:bCs/>
          <w:color w:val="1B2A4A"/>
          <w:sz w:val="28"/>
          <w:szCs w:val="28"/>
        </w:rPr>
        <w:t xml:space="preserve">Derived Financial Instruments</w:t>
      </w:r>
    </w:p>
    <w:p>
      <w:pPr>
        <w:spacing w:after="120"/>
        <w:jc w:val="left"/>
      </w:pPr>
      <w:r>
        <w:rPr>
          <w:rFonts w:ascii="Arial" w:cs="Arial" w:eastAsia="Arial" w:hAnsi="Arial"/>
          <w:b w:val="false"/>
          <w:bCs w:val="false"/>
          <w:i w:val="false"/>
          <w:iCs w:val="false"/>
          <w:color w:val="333333"/>
          <w:sz w:val="22"/>
          <w:szCs w:val="22"/>
        </w:rPr>
        <w:t xml:space="preserve">From the C-Score, four Quantara financial instruments are computed:</w:t>
      </w:r>
    </w:p>
    <w:p>
      <w:r>
        <w:t xml:space="preserve"/>
      </w:r>
    </w:p>
    <w:p>
      <w:pPr>
        <w:pStyle w:val="ListParagraph"/>
        <w:numPr>
          <w:ilvl w:val="0"/>
          <w:numId w:val="2"/>
        </w:numPr>
        <w:spacing w:after="80"/>
      </w:pPr>
      <w:r>
        <w:rPr>
          <w:rFonts w:ascii="Arial" w:cs="Arial" w:eastAsia="Arial" w:hAnsi="Arial"/>
          <w:sz w:val="22"/>
          <w:szCs w:val="22"/>
        </w:rPr>
        <w:t xml:space="preserve">Coherence Utility (Φ): Weighted coherence signal modulated by drift risk — governs pricing adjustments</w:t>
      </w:r>
    </w:p>
    <w:p>
      <w:pPr>
        <w:pStyle w:val="ListParagraph"/>
        <w:numPr>
          <w:ilvl w:val="0"/>
          <w:numId w:val="2"/>
        </w:numPr>
        <w:spacing w:after="80"/>
      </w:pPr>
      <w:r>
        <w:rPr>
          <w:rFonts w:ascii="Arial" w:cs="Arial" w:eastAsia="Arial" w:hAnsi="Arial"/>
          <w:sz w:val="22"/>
          <w:szCs w:val="22"/>
        </w:rPr>
        <w:t xml:space="preserve">Reciprocity Factor (Ξ): Energy intensity and ecological contribution — governs capital access</w:t>
      </w:r>
    </w:p>
    <w:p>
      <w:pPr>
        <w:pStyle w:val="ListParagraph"/>
        <w:numPr>
          <w:ilvl w:val="0"/>
          <w:numId w:val="2"/>
        </w:numPr>
        <w:spacing w:after="80"/>
      </w:pPr>
      <w:r>
        <w:rPr>
          <w:rFonts w:ascii="Arial" w:cs="Arial" w:eastAsia="Arial" w:hAnsi="Arial"/>
          <w:sz w:val="22"/>
          <w:szCs w:val="22"/>
        </w:rPr>
        <w:t xml:space="preserve">Temporal Equity Bond Yield (TEB): Coherence-indexed bond yield between 2–12% — rewards verified long-term responsibility</w:t>
      </w:r>
    </w:p>
    <w:p>
      <w:pPr>
        <w:pStyle w:val="ListParagraph"/>
        <w:numPr>
          <w:ilvl w:val="0"/>
          <w:numId w:val="2"/>
        </w:numPr>
        <w:spacing w:after="80"/>
      </w:pPr>
      <w:r>
        <w:rPr>
          <w:rFonts w:ascii="Arial" w:cs="Arial" w:eastAsia="Arial" w:hAnsi="Arial"/>
          <w:sz w:val="22"/>
          <w:szCs w:val="22"/>
        </w:rPr>
        <w:t xml:space="preserve">Energy Symbiosis Credits (ESC): Minted when reciprocity improves — tradable ecological contribution units</w:t>
      </w:r>
    </w:p>
    <w:p>
      <w:r>
        <w:br w:type="page"/>
      </w:r>
    </w:p>
    <w:p>
      <w:pPr>
        <w:pStyle w:val="Heading1"/>
        <w:spacing w:before="360" w:after="160"/>
      </w:pPr>
      <w:r>
        <w:rPr>
          <w:rFonts w:ascii="Arial" w:cs="Arial" w:eastAsia="Arial" w:hAnsi="Arial"/>
          <w:b/>
          <w:bCs/>
          <w:color w:val="1B2A4A"/>
          <w:sz w:val="36"/>
          <w:szCs w:val="36"/>
        </w:rPr>
        <w:t xml:space="preserve">Company Profiles</w:t>
      </w:r>
    </w:p>
    <w:p>
      <w:pPr>
        <w:pBdr>
          <w:bottom w:val="single" w:color="0D7377" w:sz="4" w:space="1"/>
        </w:pBdr>
        <w:spacing w:after="200"/>
      </w:pPr>
      <w:r>
        <w:t xml:space="preserve"/>
      </w:r>
    </w:p>
    <w:p>
      <w:pPr>
        <w:pStyle w:val="Heading2"/>
        <w:spacing w:before="240" w:after="160"/>
      </w:pPr>
      <w:r>
        <w:rPr>
          <w:rFonts w:ascii="Arial" w:cs="Arial" w:eastAsia="Arial" w:hAnsi="Arial"/>
          <w:b/>
          <w:bCs/>
          <w:color w:val="1B2A4A"/>
          <w:sz w:val="28"/>
          <w:szCs w:val="28"/>
        </w:rPr>
        <w:t xml:space="preserve">1. Vestas Wind Systems A/S (VWS.CO)</w:t>
      </w:r>
    </w:p>
    <w:p>
      <w:pPr>
        <w:spacing w:after="120"/>
      </w:pPr>
      <w:r>
        <w:rPr>
          <w:rFonts w:ascii="Arial" w:cs="Arial" w:eastAsia="Arial" w:hAnsi="Arial"/>
          <w:color w:val="555555"/>
          <w:sz w:val="20"/>
          <w:szCs w:val="20"/>
        </w:rPr>
        <w:t xml:space="preserve">Sector: Renewable Energy   |   </w:t>
      </w:r>
      <w:r>
        <w:rPr>
          <w:rFonts w:ascii="Arial" w:cs="Arial" w:eastAsia="Arial" w:hAnsi="Arial"/>
          <w:color w:val="555555"/>
          <w:sz w:val="20"/>
          <w:szCs w:val="20"/>
        </w:rPr>
        <w:t xml:space="preserve">C-Score: </w:t>
      </w:r>
      <w:r>
        <w:rPr>
          <w:rFonts w:ascii="Arial" w:cs="Arial" w:eastAsia="Arial" w:hAnsi="Arial"/>
          <w:b/>
          <w:bCs/>
          <w:color w:val="1A7A4A"/>
          <w:sz w:val="22"/>
          <w:szCs w:val="22"/>
        </w:rPr>
        <w:t xml:space="preserve">88.1 / 100</w:t>
      </w:r>
      <w:r>
        <w:rPr>
          <w:rFonts w:ascii="Arial" w:cs="Arial" w:eastAsia="Arial" w:hAnsi="Arial"/>
          <w:color w:val="555555"/>
          <w:sz w:val="20"/>
          <w:szCs w:val="20"/>
        </w:rPr>
        <w:t xml:space="preserve">   |   Σ-Drift Risk: 9/100</w:t>
      </w:r>
    </w:p>
    <w:p>
      <w:pPr>
        <w:spacing w:after="80"/>
      </w:pPr>
      <w:r>
        <w:rPr>
          <w:rFonts w:ascii="Arial" w:cs="Arial" w:eastAsia="Arial" w:hAnsi="Arial"/>
          <w:color w:val="1A7A4A"/>
          <w:sz w:val="18"/>
          <w:szCs w:val="18"/>
        </w:rPr>
        <w:t xml:space="preserve">███████████████████████████████████</w:t>
      </w:r>
      <w:r>
        <w:rPr>
          <w:rFonts w:ascii="Arial" w:cs="Arial" w:eastAsia="Arial" w:hAnsi="Arial"/>
          <w:color w:val="CCCCCC"/>
          <w:sz w:val="18"/>
          <w:szCs w:val="18"/>
        </w:rPr>
        <w:t xml:space="preserve">░░░░░</w:t>
      </w:r>
      <w:r>
        <w:rPr>
          <w:rFonts w:ascii="Arial" w:cs="Arial" w:eastAsia="Arial" w:hAnsi="Arial"/>
          <w:b/>
          <w:bCs/>
          <w:color w:val="1A7A4A"/>
          <w:sz w:val="20"/>
          <w:szCs w:val="20"/>
        </w:rPr>
        <w:t xml:space="preserve">  88.1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160"/>
        <w:gridCol w:w="9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EA — Ethical Alignment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Policy compliance, harm minimization, inclusion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MS — Memory Symmetry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86</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Reporting stability, governance continuity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ER — Energy Reciprocity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94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Renewable %, carbon intensity, circularity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FI — Foresight Integrity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91</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SBTi alignment, long-term scenario planning</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HS — Human Stewardship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Board oversight, reversibility mechanisms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0.8171</w:t>
            </w:r>
          </w:p>
          <w:p>
            <w:pPr>
              <w:jc w:val="center"/>
            </w:pPr>
            <w:r>
              <w:rPr>
                <w:rFonts w:ascii="Arial" w:cs="Arial" w:eastAsia="Arial" w:hAnsi="Arial"/>
                <w:color w:val="666666"/>
                <w:sz w:val="18"/>
                <w:szCs w:val="18"/>
              </w:rPr>
              <w:t xml:space="preserve">Coherence Φ</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1.3178</w:t>
            </w:r>
          </w:p>
          <w:p>
            <w:pPr>
              <w:jc w:val="center"/>
            </w:pPr>
            <w:r>
              <w:rPr>
                <w:rFonts w:ascii="Arial" w:cs="Arial" w:eastAsia="Arial" w:hAnsi="Arial"/>
                <w:color w:val="666666"/>
                <w:sz w:val="18"/>
                <w:szCs w:val="18"/>
              </w:rPr>
              <w:t xml:space="preserve">Reciprocity Ξ</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11.78%</w:t>
            </w:r>
          </w:p>
          <w:p>
            <w:pPr>
              <w:jc w:val="center"/>
            </w:pPr>
            <w:r>
              <w:rPr>
                <w:rFonts w:ascii="Arial" w:cs="Arial" w:eastAsia="Arial" w:hAnsi="Arial"/>
                <w:color w:val="666666"/>
                <w:sz w:val="18"/>
                <w:szCs w:val="18"/>
              </w:rPr>
              <w:t xml:space="preserve">TEB Yield</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8.9881</w:t>
            </w:r>
          </w:p>
          <w:p>
            <w:pPr>
              <w:jc w:val="center"/>
            </w:pPr>
            <w:r>
              <w:rPr>
                <w:rFonts w:ascii="Arial" w:cs="Arial" w:eastAsia="Arial" w:hAnsi="Arial"/>
                <w:color w:val="666666"/>
                <w:sz w:val="18"/>
                <w:szCs w:val="18"/>
              </w:rPr>
              <w:t xml:space="preserve">ESC Minted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jc w:val="center"/>
            </w:pPr>
            <w:r>
              <w:rPr>
                <w:rFonts w:ascii="Arial" w:cs="Arial" w:eastAsia="Arial" w:hAnsi="Arial"/>
                <w:b/>
                <w:bCs/>
                <w:color w:val="1A7A4A"/>
                <w:sz w:val="22"/>
                <w:szCs w:val="22"/>
              </w:rPr>
              <w:t xml:space="preserve">✓ CCE ELIGIBLE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jc w:val="center"/>
            </w:pPr>
            <w:r>
              <w:rPr>
                <w:rFonts w:ascii="Arial" w:cs="Arial" w:eastAsia="Arial" w:hAnsi="Arial"/>
                <w:b/>
                <w:bCs/>
                <w:color w:val="1A7A4A"/>
                <w:sz w:val="22"/>
                <w:szCs w:val="22"/>
              </w:rPr>
              <w:t xml:space="preserve">✓ CRB ELIGIBLE</w:t>
            </w:r>
          </w:p>
        </w:tc>
      </w:tr>
    </w:tbl>
    <w:p>
      <w:r>
        <w:t xml:space="preserve"/>
      </w:r>
    </w:p>
    <w:p>
      <w:r>
        <w:t xml:space="preserve"/>
      </w:r>
    </w:p>
    <w:p>
      <w:pPr>
        <w:pBdr>
          <w:bottom w:val="single" w:color="DDDDDD" w:sz="2" w:space="4"/>
        </w:pBdr>
      </w:pPr>
      <w:r>
        <w:t xml:space="preserve"/>
      </w:r>
    </w:p>
    <w:p>
      <w:r>
        <w:t xml:space="preserve"/>
      </w:r>
    </w:p>
    <w:p>
      <w:pPr>
        <w:pStyle w:val="Heading2"/>
        <w:spacing w:before="240" w:after="160"/>
      </w:pPr>
      <w:r>
        <w:rPr>
          <w:rFonts w:ascii="Arial" w:cs="Arial" w:eastAsia="Arial" w:hAnsi="Arial"/>
          <w:b/>
          <w:bCs/>
          <w:color w:val="1B2A4A"/>
          <w:sz w:val="28"/>
          <w:szCs w:val="28"/>
        </w:rPr>
        <w:t xml:space="preserve">2. Microsoft Corporation (MSFT)</w:t>
      </w:r>
    </w:p>
    <w:p>
      <w:pPr>
        <w:spacing w:after="120"/>
      </w:pPr>
      <w:r>
        <w:rPr>
          <w:rFonts w:ascii="Arial" w:cs="Arial" w:eastAsia="Arial" w:hAnsi="Arial"/>
          <w:color w:val="555555"/>
          <w:sz w:val="20"/>
          <w:szCs w:val="20"/>
        </w:rPr>
        <w:t xml:space="preserve">Sector: Technology   |   </w:t>
      </w:r>
      <w:r>
        <w:rPr>
          <w:rFonts w:ascii="Arial" w:cs="Arial" w:eastAsia="Arial" w:hAnsi="Arial"/>
          <w:color w:val="555555"/>
          <w:sz w:val="20"/>
          <w:szCs w:val="20"/>
        </w:rPr>
        <w:t xml:space="preserve">C-Score: </w:t>
      </w:r>
      <w:r>
        <w:rPr>
          <w:rFonts w:ascii="Arial" w:cs="Arial" w:eastAsia="Arial" w:hAnsi="Arial"/>
          <w:b/>
          <w:bCs/>
          <w:color w:val="1A7A4A"/>
          <w:sz w:val="22"/>
          <w:szCs w:val="22"/>
        </w:rPr>
        <w:t xml:space="preserve">87.05 / 100</w:t>
      </w:r>
      <w:r>
        <w:rPr>
          <w:rFonts w:ascii="Arial" w:cs="Arial" w:eastAsia="Arial" w:hAnsi="Arial"/>
          <w:color w:val="555555"/>
          <w:sz w:val="20"/>
          <w:szCs w:val="20"/>
        </w:rPr>
        <w:t xml:space="preserve">   |   Σ-Drift Risk: 12/100</w:t>
      </w:r>
    </w:p>
    <w:p>
      <w:pPr>
        <w:spacing w:after="80"/>
      </w:pPr>
      <w:r>
        <w:rPr>
          <w:rFonts w:ascii="Arial" w:cs="Arial" w:eastAsia="Arial" w:hAnsi="Arial"/>
          <w:color w:val="1A7A4A"/>
          <w:sz w:val="18"/>
          <w:szCs w:val="18"/>
        </w:rPr>
        <w:t xml:space="preserve">███████████████████████████████████</w:t>
      </w:r>
      <w:r>
        <w:rPr>
          <w:rFonts w:ascii="Arial" w:cs="Arial" w:eastAsia="Arial" w:hAnsi="Arial"/>
          <w:color w:val="CCCCCC"/>
          <w:sz w:val="18"/>
          <w:szCs w:val="18"/>
        </w:rPr>
        <w:t xml:space="preserve">░░░░░</w:t>
      </w:r>
      <w:r>
        <w:rPr>
          <w:rFonts w:ascii="Arial" w:cs="Arial" w:eastAsia="Arial" w:hAnsi="Arial"/>
          <w:b/>
          <w:bCs/>
          <w:color w:val="1A7A4A"/>
          <w:sz w:val="20"/>
          <w:szCs w:val="20"/>
        </w:rPr>
        <w:t xml:space="preserve">  87.05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160"/>
        <w:gridCol w:w="9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EA — Ethical Alignment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Policy compliance, harm minimization, inclusion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MS — Memory Symmetry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91</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Reporting stability, governance continuity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ER — Energy Reciprocity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Renewable %, carbon intensity, circularity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FI — Foresight Integrity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88</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SBTi alignment, long-term scenario planning</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HS — Human Stewardship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Board oversight, reversibility mechanisms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0.8265</w:t>
            </w:r>
          </w:p>
          <w:p>
            <w:pPr>
              <w:jc w:val="center"/>
            </w:pPr>
            <w:r>
              <w:rPr>
                <w:rFonts w:ascii="Arial" w:cs="Arial" w:eastAsia="Arial" w:hAnsi="Arial"/>
                <w:color w:val="666666"/>
                <w:sz w:val="18"/>
                <w:szCs w:val="18"/>
              </w:rPr>
              <w:t xml:space="preserve">Coherence Φ</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1.0142</w:t>
            </w:r>
          </w:p>
          <w:p>
            <w:pPr>
              <w:jc w:val="center"/>
            </w:pPr>
            <w:r>
              <w:rPr>
                <w:rFonts w:ascii="Arial" w:cs="Arial" w:eastAsia="Arial" w:hAnsi="Arial"/>
                <w:color w:val="666666"/>
                <w:sz w:val="18"/>
                <w:szCs w:val="18"/>
              </w:rPr>
              <w:t xml:space="preserve">Reciprocity Ξ</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10.84%</w:t>
            </w:r>
          </w:p>
          <w:p>
            <w:pPr>
              <w:jc w:val="center"/>
            </w:pPr>
            <w:r>
              <w:rPr>
                <w:rFonts w:ascii="Arial" w:cs="Arial" w:eastAsia="Arial" w:hAnsi="Arial"/>
                <w:color w:val="666666"/>
                <w:sz w:val="18"/>
                <w:szCs w:val="18"/>
              </w:rPr>
              <w:t xml:space="preserve">TEB Yield</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7.4385</w:t>
            </w:r>
          </w:p>
          <w:p>
            <w:pPr>
              <w:jc w:val="center"/>
            </w:pPr>
            <w:r>
              <w:rPr>
                <w:rFonts w:ascii="Arial" w:cs="Arial" w:eastAsia="Arial" w:hAnsi="Arial"/>
                <w:color w:val="666666"/>
                <w:sz w:val="18"/>
                <w:szCs w:val="18"/>
              </w:rPr>
              <w:t xml:space="preserve">ESC Minted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jc w:val="center"/>
            </w:pPr>
            <w:r>
              <w:rPr>
                <w:rFonts w:ascii="Arial" w:cs="Arial" w:eastAsia="Arial" w:hAnsi="Arial"/>
                <w:b/>
                <w:bCs/>
                <w:color w:val="1A7A4A"/>
                <w:sz w:val="22"/>
                <w:szCs w:val="22"/>
              </w:rPr>
              <w:t xml:space="preserve">✓ CCE ELIGIBLE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jc w:val="center"/>
            </w:pPr>
            <w:r>
              <w:rPr>
                <w:rFonts w:ascii="Arial" w:cs="Arial" w:eastAsia="Arial" w:hAnsi="Arial"/>
                <w:b/>
                <w:bCs/>
                <w:color w:val="1A7A4A"/>
                <w:sz w:val="22"/>
                <w:szCs w:val="22"/>
              </w:rPr>
              <w:t xml:space="preserve">✓ CRB ELIGIBLE</w:t>
            </w:r>
          </w:p>
        </w:tc>
      </w:tr>
    </w:tbl>
    <w:p>
      <w:r>
        <w:t xml:space="preserve"/>
      </w:r>
    </w:p>
    <w:p>
      <w:r>
        <w:t xml:space="preserve"/>
      </w:r>
    </w:p>
    <w:p>
      <w:pPr>
        <w:pBdr>
          <w:bottom w:val="single" w:color="DDDDDD" w:sz="2" w:space="4"/>
        </w:pBdr>
      </w:pPr>
      <w:r>
        <w:t xml:space="preserve"/>
      </w:r>
    </w:p>
    <w:p>
      <w:r>
        <w:t xml:space="preserve"/>
      </w:r>
    </w:p>
    <w:p>
      <w:pPr>
        <w:pStyle w:val="Heading2"/>
        <w:spacing w:before="240" w:after="160"/>
      </w:pPr>
      <w:r>
        <w:rPr>
          <w:rFonts w:ascii="Arial" w:cs="Arial" w:eastAsia="Arial" w:hAnsi="Arial"/>
          <w:b/>
          <w:bCs/>
          <w:color w:val="1B2A4A"/>
          <w:sz w:val="28"/>
          <w:szCs w:val="28"/>
        </w:rPr>
        <w:t xml:space="preserve">3. Apple Inc. (AAPL)</w:t>
      </w:r>
    </w:p>
    <w:p>
      <w:pPr>
        <w:spacing w:after="120"/>
      </w:pPr>
      <w:r>
        <w:rPr>
          <w:rFonts w:ascii="Arial" w:cs="Arial" w:eastAsia="Arial" w:hAnsi="Arial"/>
          <w:color w:val="555555"/>
          <w:sz w:val="20"/>
          <w:szCs w:val="20"/>
        </w:rPr>
        <w:t xml:space="preserve">Sector: Technology   |   </w:t>
      </w:r>
      <w:r>
        <w:rPr>
          <w:rFonts w:ascii="Arial" w:cs="Arial" w:eastAsia="Arial" w:hAnsi="Arial"/>
          <w:color w:val="555555"/>
          <w:sz w:val="20"/>
          <w:szCs w:val="20"/>
        </w:rPr>
        <w:t xml:space="preserve">C-Score: </w:t>
      </w:r>
      <w:r>
        <w:rPr>
          <w:rFonts w:ascii="Arial" w:cs="Arial" w:eastAsia="Arial" w:hAnsi="Arial"/>
          <w:b/>
          <w:bCs/>
          <w:color w:val="1A7A4A"/>
          <w:sz w:val="22"/>
          <w:szCs w:val="22"/>
        </w:rPr>
        <w:t xml:space="preserve">81.05 / 100</w:t>
      </w:r>
      <w:r>
        <w:rPr>
          <w:rFonts w:ascii="Arial" w:cs="Arial" w:eastAsia="Arial" w:hAnsi="Arial"/>
          <w:color w:val="555555"/>
          <w:sz w:val="20"/>
          <w:szCs w:val="20"/>
        </w:rPr>
        <w:t xml:space="preserve">   |   Σ-Drift Risk: 18/100</w:t>
      </w:r>
    </w:p>
    <w:p>
      <w:pPr>
        <w:spacing w:after="80"/>
      </w:pPr>
      <w:r>
        <w:rPr>
          <w:rFonts w:ascii="Arial" w:cs="Arial" w:eastAsia="Arial" w:hAnsi="Arial"/>
          <w:color w:val="1A7A4A"/>
          <w:sz w:val="18"/>
          <w:szCs w:val="18"/>
        </w:rPr>
        <w:t xml:space="preserve">████████████████████████████████</w:t>
      </w:r>
      <w:r>
        <w:rPr>
          <w:rFonts w:ascii="Arial" w:cs="Arial" w:eastAsia="Arial" w:hAnsi="Arial"/>
          <w:color w:val="CCCCCC"/>
          <w:sz w:val="18"/>
          <w:szCs w:val="18"/>
        </w:rPr>
        <w:t xml:space="preserve">░░░░░░░░</w:t>
      </w:r>
      <w:r>
        <w:rPr>
          <w:rFonts w:ascii="Arial" w:cs="Arial" w:eastAsia="Arial" w:hAnsi="Arial"/>
          <w:b/>
          <w:bCs/>
          <w:color w:val="1A7A4A"/>
          <w:sz w:val="20"/>
          <w:szCs w:val="20"/>
        </w:rPr>
        <w:t xml:space="preserve">  81.05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160"/>
        <w:gridCol w:w="9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EA — Ethical Alignment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76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Policy compliance, harm minimization, inclusion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MS — Memory Symmetry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88</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Reporting stability, governance continuity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ER — Energy Reciprocity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Renewable %, carbon intensity, circularity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FI — Foresight Integrity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80</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SBTi alignment, long-term scenario planning</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HS — Human Stewardship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72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Board oversight, reversibility mechanisms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0.7326</w:t>
            </w:r>
          </w:p>
          <w:p>
            <w:pPr>
              <w:jc w:val="center"/>
            </w:pPr>
            <w:r>
              <w:rPr>
                <w:rFonts w:ascii="Arial" w:cs="Arial" w:eastAsia="Arial" w:hAnsi="Arial"/>
                <w:color w:val="666666"/>
                <w:sz w:val="18"/>
                <w:szCs w:val="18"/>
              </w:rPr>
              <w:t xml:space="preserve">Coherence Φ</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1.0354</w:t>
            </w:r>
          </w:p>
          <w:p>
            <w:pPr>
              <w:jc w:val="center"/>
            </w:pPr>
            <w:r>
              <w:rPr>
                <w:rFonts w:ascii="Arial" w:cs="Arial" w:eastAsia="Arial" w:hAnsi="Arial"/>
                <w:color w:val="666666"/>
                <w:sz w:val="18"/>
                <w:szCs w:val="18"/>
              </w:rPr>
              <w:t xml:space="preserve">Reciprocity Ξ</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10.04%</w:t>
            </w:r>
          </w:p>
          <w:p>
            <w:pPr>
              <w:jc w:val="center"/>
            </w:pPr>
            <w:r>
              <w:rPr>
                <w:rFonts w:ascii="Arial" w:cs="Arial" w:eastAsia="Arial" w:hAnsi="Arial"/>
                <w:color w:val="666666"/>
                <w:sz w:val="18"/>
                <w:szCs w:val="18"/>
              </w:rPr>
              <w:t xml:space="preserve">TEB Yield</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5.1282</w:t>
            </w:r>
          </w:p>
          <w:p>
            <w:pPr>
              <w:jc w:val="center"/>
            </w:pPr>
            <w:r>
              <w:rPr>
                <w:rFonts w:ascii="Arial" w:cs="Arial" w:eastAsia="Arial" w:hAnsi="Arial"/>
                <w:color w:val="666666"/>
                <w:sz w:val="18"/>
                <w:szCs w:val="18"/>
              </w:rPr>
              <w:t xml:space="preserve">ESC Minted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jc w:val="center"/>
            </w:pPr>
            <w:r>
              <w:rPr>
                <w:rFonts w:ascii="Arial" w:cs="Arial" w:eastAsia="Arial" w:hAnsi="Arial"/>
                <w:b/>
                <w:bCs/>
                <w:color w:val="1A7A4A"/>
                <w:sz w:val="22"/>
                <w:szCs w:val="22"/>
              </w:rPr>
              <w:t xml:space="preserve">✓ CCE ELIGIBLE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jc w:val="center"/>
            </w:pPr>
            <w:r>
              <w:rPr>
                <w:rFonts w:ascii="Arial" w:cs="Arial" w:eastAsia="Arial" w:hAnsi="Arial"/>
                <w:b/>
                <w:bCs/>
                <w:color w:val="1A7A4A"/>
                <w:sz w:val="22"/>
                <w:szCs w:val="22"/>
              </w:rPr>
              <w:t xml:space="preserve">✓ CRB ELIGIBLE</w:t>
            </w:r>
          </w:p>
        </w:tc>
      </w:tr>
    </w:tbl>
    <w:p>
      <w:r>
        <w:t xml:space="preserve"/>
      </w:r>
    </w:p>
    <w:p>
      <w:r>
        <w:t xml:space="preserve"/>
      </w:r>
    </w:p>
    <w:p>
      <w:pPr>
        <w:pBdr>
          <w:bottom w:val="single" w:color="DDDDDD" w:sz="2" w:space="4"/>
        </w:pBdr>
      </w:pPr>
      <w:r>
        <w:t xml:space="preserve"/>
      </w:r>
    </w:p>
    <w:p>
      <w:r>
        <w:t xml:space="preserve"/>
      </w:r>
    </w:p>
    <w:p>
      <w:pPr>
        <w:pStyle w:val="Heading2"/>
        <w:spacing w:before="240" w:after="160"/>
      </w:pPr>
      <w:r>
        <w:rPr>
          <w:rFonts w:ascii="Arial" w:cs="Arial" w:eastAsia="Arial" w:hAnsi="Arial"/>
          <w:b/>
          <w:bCs/>
          <w:color w:val="1B2A4A"/>
          <w:sz w:val="28"/>
          <w:szCs w:val="28"/>
        </w:rPr>
        <w:t xml:space="preserve">4. Amazon.com Inc. (AMZN)</w:t>
      </w:r>
    </w:p>
    <w:p>
      <w:pPr>
        <w:spacing w:after="120"/>
      </w:pPr>
      <w:r>
        <w:rPr>
          <w:rFonts w:ascii="Arial" w:cs="Arial" w:eastAsia="Arial" w:hAnsi="Arial"/>
          <w:color w:val="555555"/>
          <w:sz w:val="20"/>
          <w:szCs w:val="20"/>
        </w:rPr>
        <w:t xml:space="preserve">Sector: Technology / Retail   |   </w:t>
      </w:r>
      <w:r>
        <w:rPr>
          <w:rFonts w:ascii="Arial" w:cs="Arial" w:eastAsia="Arial" w:hAnsi="Arial"/>
          <w:color w:val="555555"/>
          <w:sz w:val="20"/>
          <w:szCs w:val="20"/>
        </w:rPr>
        <w:t xml:space="preserve">C-Score: </w:t>
      </w:r>
      <w:r>
        <w:rPr>
          <w:rFonts w:ascii="Arial" w:cs="Arial" w:eastAsia="Arial" w:hAnsi="Arial"/>
          <w:b/>
          <w:bCs/>
          <w:color w:val="E67E22"/>
          <w:sz w:val="22"/>
          <w:szCs w:val="22"/>
        </w:rPr>
        <w:t xml:space="preserve">60.25 / 100</w:t>
      </w:r>
      <w:r>
        <w:rPr>
          <w:rFonts w:ascii="Arial" w:cs="Arial" w:eastAsia="Arial" w:hAnsi="Arial"/>
          <w:color w:val="555555"/>
          <w:sz w:val="20"/>
          <w:szCs w:val="20"/>
        </w:rPr>
        <w:t xml:space="preserve">   |   Σ-Drift Risk: 42/100</w:t>
      </w:r>
    </w:p>
    <w:p>
      <w:pPr>
        <w:spacing w:after="80"/>
      </w:pPr>
      <w:r>
        <w:rPr>
          <w:rFonts w:ascii="Arial" w:cs="Arial" w:eastAsia="Arial" w:hAnsi="Arial"/>
          <w:color w:val="E67E22"/>
          <w:sz w:val="18"/>
          <w:szCs w:val="18"/>
        </w:rPr>
        <w:t xml:space="preserve">████████████████████████</w:t>
      </w:r>
      <w:r>
        <w:rPr>
          <w:rFonts w:ascii="Arial" w:cs="Arial" w:eastAsia="Arial" w:hAnsi="Arial"/>
          <w:color w:val="CCCCCC"/>
          <w:sz w:val="18"/>
          <w:szCs w:val="18"/>
        </w:rPr>
        <w:t xml:space="preserve">░░░░░░░░░░░░░░░░</w:t>
      </w:r>
      <w:r>
        <w:rPr>
          <w:rFonts w:ascii="Arial" w:cs="Arial" w:eastAsia="Arial" w:hAnsi="Arial"/>
          <w:b/>
          <w:bCs/>
          <w:color w:val="E67E22"/>
          <w:sz w:val="20"/>
          <w:szCs w:val="20"/>
        </w:rPr>
        <w:t xml:space="preserve">  60.25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160"/>
        <w:gridCol w:w="9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EA — Ethical Alignment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52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Policy compliance, harm minimization, inclusion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MS — Memory Symmetry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71</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Reporting stability, governance continuity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ER — Energy Reciprocity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61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Renewable %, carbon intensity, circularity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FI — Foresight Integrity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65</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SBTi alignment, long-term scenario planning</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HS — Human Stewardship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Board oversight, reversibility mechanisms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0.4741</w:t>
            </w:r>
          </w:p>
          <w:p>
            <w:pPr>
              <w:jc w:val="center"/>
            </w:pPr>
            <w:r>
              <w:rPr>
                <w:rFonts w:ascii="Arial" w:cs="Arial" w:eastAsia="Arial" w:hAnsi="Arial"/>
                <w:color w:val="666666"/>
                <w:sz w:val="18"/>
                <w:szCs w:val="18"/>
              </w:rPr>
              <w:t xml:space="preserve">Coherence Φ</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0.7706</w:t>
            </w:r>
          </w:p>
          <w:p>
            <w:pPr>
              <w:jc w:val="center"/>
            </w:pPr>
            <w:r>
              <w:rPr>
                <w:rFonts w:ascii="Arial" w:cs="Arial" w:eastAsia="Arial" w:hAnsi="Arial"/>
                <w:color w:val="666666"/>
                <w:sz w:val="18"/>
                <w:szCs w:val="18"/>
              </w:rPr>
              <w:t xml:space="preserve">Reciprocity Ξ</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7.31%</w:t>
            </w:r>
          </w:p>
          <w:p>
            <w:pPr>
              <w:jc w:val="center"/>
            </w:pPr>
            <w:r>
              <w:rPr>
                <w:rFonts w:ascii="Arial" w:cs="Arial" w:eastAsia="Arial" w:hAnsi="Arial"/>
                <w:color w:val="666666"/>
                <w:sz w:val="18"/>
                <w:szCs w:val="18"/>
              </w:rPr>
              <w:t xml:space="preserve">TEB Yield</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2.3705</w:t>
            </w:r>
          </w:p>
          <w:p>
            <w:pPr>
              <w:jc w:val="center"/>
            </w:pPr>
            <w:r>
              <w:rPr>
                <w:rFonts w:ascii="Arial" w:cs="Arial" w:eastAsia="Arial" w:hAnsi="Arial"/>
                <w:color w:val="666666"/>
                <w:sz w:val="18"/>
                <w:szCs w:val="18"/>
              </w:rPr>
              <w:t xml:space="preserve">ESC Minted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jc w:val="center"/>
            </w:pPr>
            <w:r>
              <w:rPr>
                <w:rFonts w:ascii="Arial" w:cs="Arial" w:eastAsia="Arial" w:hAnsi="Arial"/>
                <w:b/>
                <w:bCs/>
                <w:color w:val="C0392B"/>
                <w:sz w:val="22"/>
                <w:szCs w:val="22"/>
              </w:rPr>
              <w:t xml:space="preserve">✗ CCE INELIGIBLE</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jc w:val="center"/>
            </w:pPr>
            <w:r>
              <w:rPr>
                <w:rFonts w:ascii="Arial" w:cs="Arial" w:eastAsia="Arial" w:hAnsi="Arial"/>
                <w:b/>
                <w:bCs/>
                <w:color w:val="C0392B"/>
                <w:sz w:val="22"/>
                <w:szCs w:val="22"/>
              </w:rPr>
              <w:t xml:space="preserve">✗ CRB INELIGIBLE</w:t>
            </w:r>
          </w:p>
        </w:tc>
      </w:tr>
    </w:tbl>
    <w:p>
      <w:r>
        <w:t xml:space="preserve"/>
      </w:r>
    </w:p>
    <w:p>
      <w:r>
        <w:t xml:space="preserve"/>
      </w:r>
    </w:p>
    <w:p>
      <w:pPr>
        <w:pBdr>
          <w:bottom w:val="single" w:color="DDDDDD" w:sz="2" w:space="4"/>
        </w:pBdr>
      </w:pPr>
      <w:r>
        <w:t xml:space="preserve"/>
      </w:r>
    </w:p>
    <w:p>
      <w:r>
        <w:t xml:space="preserve"/>
      </w:r>
    </w:p>
    <w:p>
      <w:pPr>
        <w:pStyle w:val="Heading2"/>
        <w:spacing w:before="240" w:after="160"/>
      </w:pPr>
      <w:r>
        <w:rPr>
          <w:rFonts w:ascii="Arial" w:cs="Arial" w:eastAsia="Arial" w:hAnsi="Arial"/>
          <w:b/>
          <w:bCs/>
          <w:color w:val="1B2A4A"/>
          <w:sz w:val="28"/>
          <w:szCs w:val="28"/>
        </w:rPr>
        <w:t xml:space="preserve">5. ExxonMobil Corporation (XOM)</w:t>
      </w:r>
    </w:p>
    <w:p>
      <w:pPr>
        <w:spacing w:after="120"/>
      </w:pPr>
      <w:r>
        <w:rPr>
          <w:rFonts w:ascii="Arial" w:cs="Arial" w:eastAsia="Arial" w:hAnsi="Arial"/>
          <w:color w:val="555555"/>
          <w:sz w:val="20"/>
          <w:szCs w:val="20"/>
        </w:rPr>
        <w:t xml:space="preserve">Sector: Energy (Fossil)   |   </w:t>
      </w:r>
      <w:r>
        <w:rPr>
          <w:rFonts w:ascii="Arial" w:cs="Arial" w:eastAsia="Arial" w:hAnsi="Arial"/>
          <w:color w:val="555555"/>
          <w:sz w:val="20"/>
          <w:szCs w:val="20"/>
        </w:rPr>
        <w:t xml:space="preserve">C-Score: </w:t>
      </w:r>
      <w:r>
        <w:rPr>
          <w:rFonts w:ascii="Arial" w:cs="Arial" w:eastAsia="Arial" w:hAnsi="Arial"/>
          <w:b/>
          <w:bCs/>
          <w:color w:val="C0392B"/>
          <w:sz w:val="22"/>
          <w:szCs w:val="22"/>
        </w:rPr>
        <w:t xml:space="preserve">31.8 / 100</w:t>
      </w:r>
      <w:r>
        <w:rPr>
          <w:rFonts w:ascii="Arial" w:cs="Arial" w:eastAsia="Arial" w:hAnsi="Arial"/>
          <w:color w:val="555555"/>
          <w:sz w:val="20"/>
          <w:szCs w:val="20"/>
        </w:rPr>
        <w:t xml:space="preserve">   |   Σ-Drift Risk: 78/100</w:t>
      </w:r>
    </w:p>
    <w:p>
      <w:pPr>
        <w:spacing w:after="80"/>
      </w:pPr>
      <w:r>
        <w:rPr>
          <w:rFonts w:ascii="Arial" w:cs="Arial" w:eastAsia="Arial" w:hAnsi="Arial"/>
          <w:color w:val="C0392B"/>
          <w:sz w:val="18"/>
          <w:szCs w:val="18"/>
        </w:rPr>
        <w:t xml:space="preserve">█████████████</w:t>
      </w:r>
      <w:r>
        <w:rPr>
          <w:rFonts w:ascii="Arial" w:cs="Arial" w:eastAsia="Arial" w:hAnsi="Arial"/>
          <w:color w:val="CCCCCC"/>
          <w:sz w:val="18"/>
          <w:szCs w:val="18"/>
        </w:rPr>
        <w:t xml:space="preserve">░░░░░░░░░░░░░░░░░░░░░░░░░░░</w:t>
      </w:r>
      <w:r>
        <w:rPr>
          <w:rFonts w:ascii="Arial" w:cs="Arial" w:eastAsia="Arial" w:hAnsi="Arial"/>
          <w:b/>
          <w:bCs/>
          <w:color w:val="C0392B"/>
          <w:sz w:val="20"/>
          <w:szCs w:val="20"/>
        </w:rPr>
        <w:t xml:space="preserve">  31.8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160"/>
        <w:gridCol w:w="9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EA — Ethical Alignment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Policy compliance, harm minimization, inclusion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MS — Memory Symmetry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62</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Reporting stability, governance continuity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ER — Energy Reciprocity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Renewable %, carbon intensity, circularity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1B2A4A"/>
                <w:sz w:val="18"/>
                <w:szCs w:val="18"/>
              </w:rPr>
              <w:t xml:space="preserve">FI — Foresight Integrity</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22</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i/>
                <w:iCs/>
                <w:color w:val="555555"/>
                <w:sz w:val="18"/>
                <w:szCs w:val="18"/>
              </w:rPr>
              <w:t xml:space="preserve">SBTi alignment, long-term scenario planning</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HS — Human Stewardship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Board oversight, reversibility mechanisms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0.2487</w:t>
            </w:r>
          </w:p>
          <w:p>
            <w:pPr>
              <w:jc w:val="center"/>
            </w:pPr>
            <w:r>
              <w:rPr>
                <w:rFonts w:ascii="Arial" w:cs="Arial" w:eastAsia="Arial" w:hAnsi="Arial"/>
                <w:color w:val="666666"/>
                <w:sz w:val="18"/>
                <w:szCs w:val="18"/>
              </w:rPr>
              <w:t xml:space="preserve">Coherence Φ</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0.2892</w:t>
            </w:r>
          </w:p>
          <w:p>
            <w:pPr>
              <w:jc w:val="center"/>
            </w:pPr>
            <w:r>
              <w:rPr>
                <w:rFonts w:ascii="Arial" w:cs="Arial" w:eastAsia="Arial" w:hAnsi="Arial"/>
                <w:color w:val="666666"/>
                <w:sz w:val="18"/>
                <w:szCs w:val="18"/>
              </w:rPr>
              <w:t xml:space="preserve">Reciprocity Ξ</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3.72%</w:t>
            </w:r>
          </w:p>
          <w:p>
            <w:pPr>
              <w:jc w:val="center"/>
            </w:pPr>
            <w:r>
              <w:rPr>
                <w:rFonts w:ascii="Arial" w:cs="Arial" w:eastAsia="Arial" w:hAnsi="Arial"/>
                <w:color w:val="666666"/>
                <w:sz w:val="18"/>
                <w:szCs w:val="18"/>
              </w:rPr>
              <w:t xml:space="preserve">TEB Yield</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jc w:val="center"/>
            </w:pPr>
            <w:r>
              <w:rPr>
                <w:rFonts w:ascii="Arial" w:cs="Arial" w:eastAsia="Arial" w:hAnsi="Arial"/>
                <w:b/>
                <w:bCs/>
                <w:color w:val="0D7377"/>
                <w:sz w:val="28"/>
                <w:szCs w:val="28"/>
              </w:rPr>
              <w:t xml:space="preserve">0</w:t>
            </w:r>
          </w:p>
          <w:p>
            <w:pPr>
              <w:jc w:val="center"/>
            </w:pPr>
            <w:r>
              <w:rPr>
                <w:rFonts w:ascii="Arial" w:cs="Arial" w:eastAsia="Arial" w:hAnsi="Arial"/>
                <w:color w:val="666666"/>
                <w:sz w:val="18"/>
                <w:szCs w:val="18"/>
              </w:rPr>
              <w:t xml:space="preserve">ESC Minted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jc w:val="center"/>
            </w:pPr>
            <w:r>
              <w:rPr>
                <w:rFonts w:ascii="Arial" w:cs="Arial" w:eastAsia="Arial" w:hAnsi="Arial"/>
                <w:b/>
                <w:bCs/>
                <w:color w:val="C0392B"/>
                <w:sz w:val="22"/>
                <w:szCs w:val="22"/>
              </w:rPr>
              <w:t xml:space="preserve">✗ CCE INELIGIBLE</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pPr>
              <w:jc w:val="center"/>
            </w:pPr>
            <w:r>
              <w:rPr>
                <w:rFonts w:ascii="Arial" w:cs="Arial" w:eastAsia="Arial" w:hAnsi="Arial"/>
                <w:b/>
                <w:bCs/>
                <w:color w:val="C0392B"/>
                <w:sz w:val="22"/>
                <w:szCs w:val="22"/>
              </w:rPr>
              <w:t xml:space="preserve">✗ CRB INELIGIBLE</w:t>
            </w:r>
          </w:p>
        </w:tc>
      </w:tr>
    </w:tbl>
    <w:p>
      <w:r>
        <w:t xml:space="preserve"/>
      </w:r>
    </w:p>
    <w:p>
      <w:r>
        <w:t xml:space="preserve"/>
      </w:r>
    </w:p>
    <w:p>
      <w:r>
        <w:t xml:space="preserve"/>
      </w:r>
    </w:p>
    <w:p>
      <w:r>
        <w:t xml:space="preserve"/>
      </w:r>
    </w:p>
    <w:p>
      <w:r>
        <w:br w:type="page"/>
      </w:r>
    </w:p>
    <w:p>
      <w:pPr>
        <w:pStyle w:val="Heading1"/>
        <w:spacing w:before="360" w:after="160"/>
      </w:pPr>
      <w:r>
        <w:rPr>
          <w:rFonts w:ascii="Arial" w:cs="Arial" w:eastAsia="Arial" w:hAnsi="Arial"/>
          <w:b/>
          <w:bCs/>
          <w:color w:val="1B2A4A"/>
          <w:sz w:val="36"/>
          <w:szCs w:val="36"/>
        </w:rPr>
        <w:t xml:space="preserve">Key Findings &amp; Implications</w:t>
      </w:r>
    </w:p>
    <w:p>
      <w:pPr>
        <w:pBdr>
          <w:bottom w:val="single" w:color="0D7377" w:sz="4" w:space="1"/>
        </w:pBdr>
        <w:spacing w:after="200"/>
      </w:pPr>
      <w:r>
        <w:t xml:space="preserve"/>
      </w:r>
    </w:p>
    <w:p>
      <w:pPr>
        <w:pStyle w:val="Heading2"/>
        <w:spacing w:before="240" w:after="160"/>
      </w:pPr>
      <w:r>
        <w:rPr>
          <w:rFonts w:ascii="Arial" w:cs="Arial" w:eastAsia="Arial" w:hAnsi="Arial"/>
          <w:b/>
          <w:bCs/>
          <w:color w:val="1B2A4A"/>
          <w:sz w:val="28"/>
          <w:szCs w:val="28"/>
        </w:rPr>
        <w:t xml:space="preserve">Finding 1: Coherence Differentiates Capital Cost</w:t>
      </w:r>
    </w:p>
    <w:p>
      <w:pPr>
        <w:spacing w:after="120"/>
        <w:jc w:val="left"/>
      </w:pPr>
      <w:r>
        <w:rPr>
          <w:rFonts w:ascii="Arial" w:cs="Arial" w:eastAsia="Arial" w:hAnsi="Arial"/>
          <w:b w:val="false"/>
          <w:bCs w:val="false"/>
          <w:i w:val="false"/>
          <w:iCs w:val="false"/>
          <w:color w:val="333333"/>
          <w:sz w:val="22"/>
          <w:szCs w:val="22"/>
        </w:rPr>
        <w:t xml:space="preserve">The 8.06-percentage-point spread in TEB yields (3.72% for ExxonMobil vs. 11.78% for Vestas) directly prices coherence into long-term debt instruments. This is not a moral judgment — it is a risk-adjusted return calculation. Low-coherence entities carry higher drift risk (Σ), which mechanically reduces their Coherence Utility (Φ) and raises the cost of capital under the Quantara framework.</w:t>
      </w:r>
    </w:p>
    <w:p>
      <w:pPr>
        <w:pStyle w:val="Heading2"/>
        <w:spacing w:before="240" w:after="160"/>
      </w:pPr>
      <w:r>
        <w:rPr>
          <w:rFonts w:ascii="Arial" w:cs="Arial" w:eastAsia="Arial" w:hAnsi="Arial"/>
          <w:b/>
          <w:bCs/>
          <w:color w:val="1B2A4A"/>
          <w:sz w:val="28"/>
          <w:szCs w:val="28"/>
        </w:rPr>
        <w:t xml:space="preserve">Finding 2: The Fossil Fuel Penalty Is Structural, Not Political</w:t>
      </w:r>
    </w:p>
    <w:p>
      <w:pPr>
        <w:spacing w:after="120"/>
        <w:jc w:val="left"/>
      </w:pPr>
      <w:r>
        <w:rPr>
          <w:rFonts w:ascii="Arial" w:cs="Arial" w:eastAsia="Arial" w:hAnsi="Arial"/>
          <w:b w:val="false"/>
          <w:bCs w:val="false"/>
          <w:i w:val="false"/>
          <w:iCs w:val="false"/>
          <w:color w:val="333333"/>
          <w:sz w:val="22"/>
          <w:szCs w:val="22"/>
        </w:rPr>
        <w:t xml:space="preserve">ExxonMobil's C-Score of 31.80 is not a result of ideological bias. Its ER score of 14 reflects publicly disclosed data: 2% renewable electricity, carbon intensity increasing year-over-year, and no SBTi approval. Its Foresight Integrity score of 22 reflects a 2050 net-zero target that excludes Scope 3 emissions — which represent over 90% of the company's actual carbon footprint. Under Quantara, the market prices this incoherence. The Foresight-Safe Debt Limit drops to $114K per $1M baseline — an 88.5% reduction versus Microsoft's $794K.</w:t>
      </w:r>
    </w:p>
    <w:p>
      <w:pPr>
        <w:pStyle w:val="Heading2"/>
        <w:spacing w:before="240" w:after="160"/>
      </w:pPr>
      <w:r>
        <w:rPr>
          <w:rFonts w:ascii="Arial" w:cs="Arial" w:eastAsia="Arial" w:hAnsi="Arial"/>
          <w:b/>
          <w:bCs/>
          <w:color w:val="1B2A4A"/>
          <w:sz w:val="28"/>
          <w:szCs w:val="28"/>
        </w:rPr>
        <w:t xml:space="preserve">Finding 3: Technology Sector Shows Internal Divergence</w:t>
      </w:r>
    </w:p>
    <w:p>
      <w:pPr>
        <w:spacing w:after="120"/>
        <w:jc w:val="left"/>
      </w:pPr>
      <w:r>
        <w:rPr>
          <w:rFonts w:ascii="Arial" w:cs="Arial" w:eastAsia="Arial" w:hAnsi="Arial"/>
          <w:b w:val="false"/>
          <w:bCs w:val="false"/>
          <w:i w:val="false"/>
          <w:iCs w:val="false"/>
          <w:color w:val="333333"/>
          <w:sz w:val="22"/>
          <w:szCs w:val="22"/>
        </w:rPr>
        <w:t xml:space="preserve">Microsoft (87.05) and Amazon (60.25) operate in the same sector but score 26.8 points apart. The primary driver is Human Stewardship (Microsoft: 85 vs. Amazon: 48) and Ethical Alignment (89 vs. 52). Amazon's labor practice record, incomplete Scope 3 disclosure, and limited AI governance commitments produce material coherence drag even as its renewable energy investment improves. This demonstrates the framework's ability to surface hidden risk that traditional ESG ratings often miss.</w:t>
      </w:r>
    </w:p>
    <w:p>
      <w:pPr>
        <w:pStyle w:val="Heading2"/>
        <w:spacing w:before="240" w:after="160"/>
      </w:pPr>
      <w:r>
        <w:rPr>
          <w:rFonts w:ascii="Arial" w:cs="Arial" w:eastAsia="Arial" w:hAnsi="Arial"/>
          <w:b/>
          <w:bCs/>
          <w:color w:val="1B2A4A"/>
          <w:sz w:val="28"/>
          <w:szCs w:val="28"/>
        </w:rPr>
        <w:t xml:space="preserve">Finding 4: ESC Minting Creates Positive Feedback Loops</w:t>
      </w:r>
    </w:p>
    <w:p>
      <w:pPr>
        <w:spacing w:after="120"/>
        <w:jc w:val="left"/>
      </w:pPr>
      <w:r>
        <w:rPr>
          <w:rFonts w:ascii="Arial" w:cs="Arial" w:eastAsia="Arial" w:hAnsi="Arial"/>
          <w:b w:val="false"/>
          <w:bCs w:val="false"/>
          <w:i w:val="false"/>
          <w:iCs w:val="false"/>
          <w:color w:val="333333"/>
          <w:sz w:val="22"/>
          <w:szCs w:val="22"/>
        </w:rPr>
        <w:t xml:space="preserve">Vestas minted 8.99 ESC credits versus ExxonMobil's 0.00. ESC issuance is triggered by improving reciprocity deltas — it rewards trajectory, not just position. This means a company that begins transitioning toward coherence generates credits immediately, creating financial incentives that accelerate the transition rather than waiting for full compliance. This mechanism is absent from all existing ESG frameworks.</w:t>
      </w:r>
    </w:p>
    <w:p>
      <w:r>
        <w:t xml:space="preserve"/>
      </w:r>
    </w:p>
    <w:p>
      <w:pPr>
        <w:pStyle w:val="Heading1"/>
        <w:spacing w:before="360" w:after="160"/>
      </w:pPr>
      <w:r>
        <w:rPr>
          <w:rFonts w:ascii="Arial" w:cs="Arial" w:eastAsia="Arial" w:hAnsi="Arial"/>
          <w:b/>
          <w:bCs/>
          <w:color w:val="1B2A4A"/>
          <w:sz w:val="36"/>
          <w:szCs w:val="36"/>
        </w:rPr>
        <w:t xml:space="preserve">Limitations &amp; Next Steps</w:t>
      </w:r>
    </w:p>
    <w:p>
      <w:pPr>
        <w:pBdr>
          <w:bottom w:val="single" w:color="0D7377" w:sz="4" w:space="1"/>
        </w:pBdr>
        <w:spacing w:after="200"/>
      </w:pPr>
      <w:r>
        <w:t xml:space="preserve"/>
      </w:r>
    </w:p>
    <w:p>
      <w:pPr>
        <w:spacing w:after="120"/>
        <w:jc w:val="left"/>
      </w:pPr>
      <w:r>
        <w:rPr>
          <w:rFonts w:ascii="Arial" w:cs="Arial" w:eastAsia="Arial" w:hAnsi="Arial"/>
          <w:b w:val="false"/>
          <w:bCs w:val="false"/>
          <w:i w:val="false"/>
          <w:iCs w:val="false"/>
          <w:color w:val="333333"/>
          <w:sz w:val="22"/>
          <w:szCs w:val="22"/>
        </w:rPr>
        <w:t xml:space="preserve">This pilot audit uses human-assigned component scores based on public disclosures. The production Quantara system will automate score derivation from signed telemetry streams via the UIOS verification layer and DGK Admissibility Certifier, eliminating human judgment from the measurement process.</w:t>
      </w:r>
    </w:p>
    <w:p>
      <w:r>
        <w:t xml:space="preserve"/>
      </w:r>
    </w:p>
    <w:p>
      <w:pPr>
        <w:spacing w:after="120"/>
        <w:jc w:val="left"/>
      </w:pPr>
      <w:r>
        <w:rPr>
          <w:rFonts w:ascii="Arial" w:cs="Arial" w:eastAsia="Arial" w:hAnsi="Arial"/>
          <w:b w:val="false"/>
          <w:bCs w:val="false"/>
          <w:i w:val="false"/>
          <w:iCs w:val="false"/>
          <w:color w:val="333333"/>
          <w:sz w:val="22"/>
          <w:szCs w:val="22"/>
        </w:rPr>
        <w:t xml:space="preserve">The next phase will expand to 20 companies across 8 sectors, integrate live CDP API data feeds, and apply the coherence-weighted pricing model to an actual bond issuance scenario with a willing pilot partner.</w:t>
      </w:r>
    </w:p>
    <w:p>
      <w:r>
        <w:t xml:space="preserve"/>
      </w:r>
    </w:p>
    <w:p>
      <w:pPr>
        <w:spacing w:after="120"/>
        <w:jc w:val="left"/>
      </w:pPr>
      <w:r>
        <w:rPr>
          <w:rFonts w:ascii="Arial" w:cs="Arial" w:eastAsia="Arial" w:hAnsi="Arial"/>
          <w:b w:val="false"/>
          <w:bCs w:val="false"/>
          <w:i w:val="false"/>
          <w:iCs w:val="false"/>
          <w:color w:val="333333"/>
          <w:sz w:val="22"/>
          <w:szCs w:val="22"/>
        </w:rPr>
        <w:t xml:space="preserve">Organizations interested in receiving a free coherence audit or in piloting the TEB instrument structure are invited to contact: quantumquantara@gmail.com</w:t>
      </w:r>
    </w:p>
    <w:p>
      <w:r>
        <w:t xml:space="preserve"/>
      </w:r>
    </w:p>
    <w:p>
      <w:pPr>
        <w:pBdr>
          <w:bottom w:val="single" w:color="0D7377" w:sz="4" w:space="1"/>
        </w:pBdr>
        <w:spacing w:after="200"/>
      </w:pPr>
      <w:r>
        <w:t xml:space="preserve"/>
      </w:r>
    </w:p>
    <w:p>
      <w:pPr>
        <w:spacing w:after="80"/>
        <w:jc w:val="center"/>
      </w:pPr>
      <w:r>
        <w:rPr>
          <w:rFonts w:ascii="Arial" w:cs="Arial" w:eastAsia="Arial" w:hAnsi="Arial"/>
          <w:color w:val="888888"/>
          <w:sz w:val="18"/>
          <w:szCs w:val="18"/>
        </w:rPr>
        <w:t xml:space="preserve">© Nadine Squires — Quantara 2026</w:t>
      </w:r>
    </w:p>
    <w:p>
      <w:pPr>
        <w:jc w:val="center"/>
      </w:pPr>
      <w:r>
        <w:rPr>
          <w:rFonts w:ascii="Arial" w:cs="Arial" w:eastAsia="Arial" w:hAnsi="Arial"/>
          <w:color w:val="0D7377"/>
          <w:sz w:val="18"/>
          <w:szCs w:val="18"/>
        </w:rPr>
        <w:t xml:space="preserve">github.com/quantumquantara-arch  |  quantara-financial-architecture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2" w:space="1"/>
      </w:pBdr>
      <w:spacing w:before="120"/>
      <w:jc w:val="center"/>
    </w:pPr>
    <w:r>
      <w:rPr>
        <w:rFonts w:ascii="Arial" w:cs="Arial" w:eastAsia="Arial" w:hAnsi="Arial"/>
        <w:color w:val="888888"/>
        <w:sz w:val="18"/>
        <w:szCs w:val="18"/>
      </w:rPr>
      <w:t xml:space="preserve">Quantara Coherence Capital System — Public Pilot Audit  |  quantumquantara@gmail.com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2026-02-22T23:09:25.578Z</dcterms:created>
  <dcterms:modified xsi:type="dcterms:W3CDTF">2026-02-22T23:09:25.579Z</dcterms:modified>
</cp:coreProperties>
</file>

<file path=docProps/custom.xml><?xml version="1.0" encoding="utf-8"?>
<Properties xmlns="http://schemas.openxmlformats.org/officeDocument/2006/custom-properties" xmlns:vt="http://schemas.openxmlformats.org/officeDocument/2006/docPropsVTypes"/>
</file>