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2"/>
          <w:szCs w:val="32"/>
        </w:rPr>
        <w:t xml:space="preserve">Coherence Capital: A Formal Framework for Quantifying</w:t>
      </w:r>
    </w:p>
    <w:p>
      <w:pPr>
        <w:spacing w:after="160"/>
        <w:jc w:val="center"/>
      </w:pPr>
      <w:r>
        <w:rPr>
          <w:rFonts w:ascii="Arial" w:cs="Arial" w:eastAsia="Arial" w:hAnsi="Arial"/>
          <w:b/>
          <w:bCs/>
          <w:color w:val="1B2A4A"/>
          <w:sz w:val="32"/>
          <w:szCs w:val="32"/>
        </w:rPr>
        <w:t xml:space="preserve">Ethical Alignment, Energy Reciprocity, and Temporal Responsibility in Economic Systems</w:t>
      </w:r>
    </w:p>
    <w:p>
      <w:pPr>
        <w:spacing w:after="80"/>
        <w:jc w:val="center"/>
      </w:pPr>
      <w:r>
        <w:rPr>
          <w:rFonts w:ascii="Arial" w:cs="Arial" w:eastAsia="Arial" w:hAnsi="Arial"/>
          <w:b/>
          <w:bCs/>
          <w:color w:val="0D7377"/>
          <w:sz w:val="24"/>
          <w:szCs w:val="24"/>
        </w:rPr>
        <w:t xml:space="preserve">Nadine Squires</w:t>
      </w:r>
    </w:p>
    <w:p>
      <w:pPr>
        <w:spacing w:after="60"/>
        <w:jc w:val="center"/>
      </w:pPr>
      <w:r>
        <w:rPr>
          <w:rFonts w:ascii="Arial" w:cs="Arial" w:eastAsia="Arial" w:hAnsi="Arial"/>
          <w:color w:val="666666"/>
          <w:sz w:val="20"/>
          <w:szCs w:val="20"/>
        </w:rPr>
        <w:t xml:space="preserve">quantumquantara-arch  ·  quantumquantara@gmail.com</w:t>
      </w:r>
    </w:p>
    <w:p>
      <w:pPr>
        <w:spacing w:after="60"/>
        <w:jc w:val="center"/>
      </w:pPr>
      <w:r>
        <w:rPr>
          <w:rFonts w:ascii="Arial" w:cs="Arial" w:eastAsia="Arial" w:hAnsi="Arial"/>
          <w:color w:val="0D7377"/>
          <w:sz w:val="20"/>
          <w:szCs w:val="20"/>
        </w:rPr>
        <w:t xml:space="preserve">github.com/quantumquantara-arch</w:t>
      </w:r>
    </w:p>
    <w:p>
      <w:pPr>
        <w:spacing w:after="200"/>
        <w:jc w:val="center"/>
      </w:pPr>
      <w:r>
        <w:rPr>
          <w:rFonts w:ascii="Arial" w:cs="Arial" w:eastAsia="Arial" w:hAnsi="Arial"/>
          <w:i/>
          <w:iCs/>
          <w:color w:val="888888"/>
          <w:sz w:val="20"/>
          <w:szCs w:val="20"/>
        </w:rPr>
        <w:t xml:space="preserve">February 2026</w:t>
      </w:r>
    </w:p>
    <w:p>
      <w:pPr>
        <w:pBdr>
          <w:bottom w:val="single" w:color="0D7377" w:sz="3" w:space="1"/>
        </w:pBdr>
        <w:spacing w:after="200"/>
      </w:pPr>
      <w:r>
        <w:t xml:space="preserve"/>
      </w:r>
    </w:p>
    <w:p>
      <w:pPr>
        <w:spacing w:after="80"/>
      </w:pPr>
      <w:r>
        <w:rPr>
          <w:rFonts w:ascii="Arial" w:cs="Arial" w:eastAsia="Arial" w:hAnsi="Arial"/>
          <w:b/>
          <w:bCs/>
          <w:color w:val="1B2A4A"/>
          <w:sz w:val="24"/>
          <w:szCs w:val="24"/>
        </w:rPr>
        <w:t xml:space="preserve">Abstract</w:t>
      </w:r>
    </w:p>
    <w:p>
      <w:pPr>
        <w:pBdr>
          <w:left w:val="single" w:color="0D7377" w:sz="8" w:space="6"/>
        </w:pBdr>
        <w:shd w:fill="F0F4F8" w:val="clear"/>
        <w:spacing w:after="200"/>
        <w:ind w:left="360" w:right="360"/>
        <w:jc w:val="both"/>
      </w:pPr>
      <w:r>
        <w:rPr>
          <w:rFonts w:ascii="Times New Roman" w:cs="Times New Roman" w:eastAsia="Times New Roman" w:hAnsi="Times New Roman"/>
          <w:color w:val="222222"/>
          <w:sz w:val="21"/>
          <w:szCs w:val="21"/>
        </w:rPr>
        <w:t xml:space="preserve">We introduce the Quantara Coherence Capital System (CCS), a formal framework for computing a unified Coherence Score (C-Score) over economic entities by integrating five independently measurable dimensions: Ethical Alignment (EA), Memory Symmetry (MS), Energy Reciprocity (ER), Foresight Integrity (FI), and Human Stewardship (HS). From the C-Score, we derive four novel financial instruments — Coherence Credit Eligible status (CCE), Coherence Rebate (CRB), Temporal Equity Bond yield (TEB), and Energy Symbiosis Credits (ESC) — that mechanically link verified alignment to capital cost. A five-company public pilot audit using exclusively public 2023 disclosures produces a 56.3-point C-Score spread and an 8.06-percentage-point TEB yield differential. We argue that the Quantara CCS addresses three fundamental failures of existing ESG frameworks: self-reported measurement, static compliance snapshots, and decoupling of alignment from capital pricing.</w:t>
      </w:r>
    </w:p>
    <w:p>
      <w:pPr>
        <w:spacing w:after="200"/>
      </w:pPr>
      <w:r>
        <w:rPr>
          <w:rFonts w:ascii="Arial" w:cs="Arial" w:eastAsia="Arial" w:hAnsi="Arial"/>
          <w:b/>
          <w:bCs/>
          <w:sz w:val="20"/>
          <w:szCs w:val="20"/>
        </w:rPr>
        <w:t xml:space="preserve">Keywords: </w:t>
      </w:r>
      <w:r>
        <w:rPr>
          <w:rFonts w:ascii="Times New Roman" w:cs="Times New Roman" w:eastAsia="Times New Roman" w:hAnsi="Times New Roman"/>
          <w:i/>
          <w:iCs/>
          <w:color w:val="444444"/>
          <w:sz w:val="20"/>
          <w:szCs w:val="20"/>
        </w:rPr>
        <w:t xml:space="preserve">coherence economics, ESG, ethical alignment, temporal equity, energy reciprocity, AI governance, financial architecture, planetary intelligence</w:t>
      </w:r>
    </w:p>
    <w:p>
      <w:pPr>
        <w:pStyle w:val="Heading1"/>
        <w:spacing w:before="360" w:after="140"/>
      </w:pPr>
      <w:r>
        <w:rPr>
          <w:rFonts w:ascii="Arial" w:cs="Arial" w:eastAsia="Arial" w:hAnsi="Arial"/>
          <w:b/>
          <w:bCs/>
          <w:color w:val="1B2A4A"/>
          <w:sz w:val="32"/>
          <w:szCs w:val="32"/>
        </w:rPr>
        <w:t xml:space="preserve">1. Introduction</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dominant paradigm of Environmental, Social, and Governance (ESG) investing has grown to approximately $35 trillion in assets under management globally [1], yet its influence on actual corporate behavior remains empirically contested. Meta-analyses of ESG performance data consistently identify three structural weaknesses: (1) measurement is largely self-reported, enabling strategic disclosure rather than genuine alignment; (2) assessments produce static compliance snapshots rather than trajectory-aware, continuous scores; and (3) the relationship between ESG ratings and cost of capital remains indirect, mediated by investor sentiment rather than mechanically embedded in financial instrument design [2, 3].</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We propose a fundamentally different approach. The Quantara Coherence Capital System (CCS) is designed not as an overlay on existing financial infrastructure but as a replacement for the measurement layer itself. Rather than asking whether an entity complies with ESG standards, the CCS asks how coherent the entity's behavior is across the dimensions that determine long-term planetary stability.</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Coherence, in the Quantara formulation, is not a checklist but a dynamic field property — the degree to which an entity's operations, commitments, memory, energy metabolism, and governance structure form a self-reinforcing, non-drifting system over time. An entity can satisfy current ESG disclosure requirements while being profoundly incoherent: making net-zero commitments that exclude the majority of actual emissions, reporting governance improvements while suppressing labor organizing, or publishing sustainability targets without the foresight architecture to verify achievability.</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This paper makes the following contributions: (1) a formal definition of the five-dimension Coherence Score with weighted combination and normalization properties; (2) four derived financial instruments (CCE, CRB, TEB, ESC) with mathematical specifications; (3) a pilot audit demonstrating empirical applicability to publicly traded companies; (4) analysis of the capital cost differential produced by the coherence pricing mechanism; and (5) a specification of the path to automated telemetry-derived scoring via the DGK Admissibility Certifier.</w:t>
      </w:r>
    </w:p>
    <w:p>
      <w:pPr>
        <w:pStyle w:val="Heading1"/>
        <w:spacing w:before="360" w:after="140"/>
      </w:pPr>
      <w:r>
        <w:rPr>
          <w:rFonts w:ascii="Arial" w:cs="Arial" w:eastAsia="Arial" w:hAnsi="Arial"/>
          <w:b/>
          <w:bCs/>
          <w:color w:val="1B2A4A"/>
          <w:sz w:val="32"/>
          <w:szCs w:val="32"/>
        </w:rPr>
        <w:t xml:space="preserve">2. Background and Related Work</w:t>
      </w:r>
    </w:p>
    <w:p>
      <w:pPr>
        <w:pStyle w:val="Heading2"/>
        <w:spacing w:before="240" w:after="140"/>
      </w:pPr>
      <w:r>
        <w:rPr>
          <w:rFonts w:ascii="Arial" w:cs="Arial" w:eastAsia="Arial" w:hAnsi="Arial"/>
          <w:b/>
          <w:bCs/>
          <w:color w:val="0D7377"/>
          <w:sz w:val="26"/>
          <w:szCs w:val="26"/>
        </w:rPr>
        <w:t xml:space="preserve">2.1 Limitations of Existing ESG Frameworks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Berg et al. [4] demonstrate a mean correlation of only 0.61 between ratings from the six major ESG providers (MSCI, Sustainalytics, S&amp;P, Refinitiv, Moody's, ISS), implying that the same company can be simultaneously rated in the top and bottom quartiles by different agencies. The primary driver of divergence is measurement methodology rather than genuine disagreement about underlying behavior.</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Friede et al. [6] find mixed and context-dependent evidence for the relationship between ESG ratings and financial performance, with the direction of causality frequently unclear. Brunnermeier [7] notes that ESG ratings have largely failed to accelerate decarbonization because the capital cost mechanism is indirect. Quantara addresses each of these failures: divergence is eliminated through a single open-source scoring methodology; the capital cost mechanism is mechanically embedded in TEB instrument design; and trajectory replaces snapshot through the ESC minting mechanism.</w:t>
      </w:r>
    </w:p>
    <w:p>
      <w:pPr>
        <w:pStyle w:val="Heading2"/>
        <w:spacing w:before="240" w:after="140"/>
      </w:pPr>
      <w:r>
        <w:rPr>
          <w:rFonts w:ascii="Arial" w:cs="Arial" w:eastAsia="Arial" w:hAnsi="Arial"/>
          <w:b/>
          <w:bCs/>
          <w:color w:val="0D7377"/>
          <w:sz w:val="26"/>
          <w:szCs w:val="26"/>
        </w:rPr>
        <w:t xml:space="preserve">2.2 Sustainability-Linked Financial Instruments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green bond market exceeded $500 billion in annual issuance by 2023 [12]. However, green bonds suffer from measurement problems: use-of-proceeds verification is inconsistent, and yield is not mechanically linked to verified sustainability outcomes [13]. Quantara's TEB differs in three critical respects: yield is continuously updated based on C-Score trajectory; the scoring methodology is open-source and reproducible; and the instrument is designed for integration with automated verification infrastructure.</w:t>
      </w:r>
    </w:p>
    <w:p>
      <w:pPr>
        <w:pStyle w:val="Heading1"/>
        <w:spacing w:before="360" w:after="140"/>
      </w:pPr>
      <w:r>
        <w:rPr>
          <w:rFonts w:ascii="Arial" w:cs="Arial" w:eastAsia="Arial" w:hAnsi="Arial"/>
          <w:b/>
          <w:bCs/>
          <w:color w:val="1B2A4A"/>
          <w:sz w:val="32"/>
          <w:szCs w:val="32"/>
        </w:rPr>
        <w:t xml:space="preserve">3. The Coherence Capital System</w:t>
      </w:r>
    </w:p>
    <w:p>
      <w:pPr>
        <w:pStyle w:val="Heading2"/>
        <w:spacing w:before="240" w:after="140"/>
      </w:pPr>
      <w:r>
        <w:rPr>
          <w:rFonts w:ascii="Arial" w:cs="Arial" w:eastAsia="Arial" w:hAnsi="Arial"/>
          <w:b/>
          <w:bCs/>
          <w:color w:val="0D7377"/>
          <w:sz w:val="26"/>
          <w:szCs w:val="26"/>
        </w:rPr>
        <w:t xml:space="preserve">3.1 Five-Dimension Scoring</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Let an economic entity e be characterized by a five-dimensional coherence vector derived from public disclosures and, in production deployment, from signed telemetry streams:</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v(e) = [EA(e), MS(e), ER(e), FI(e), HS(e)]  ∈  [0, 100]⁵</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EA (Ethical Alignment, w=0.25): Policy compliance, supply chain ethics, controversy index, diversity metrics. MS (Memory Symmetry, w=0.20): Reporting continuity, governance stability, drift resistance. ER (Energy Reciprocity, w=0.25): Renewable percentage, carbon intensity trajectory, net ecological contribution. FI (Foresight Integrity, w=0.20): SBTi alignment, Scope 3 completeness, long-horizon scenario quality. HS (Human Stewardship, w=0.10): Board independence, reversibility mechanisms, stakeholder rights.</w:t>
      </w:r>
    </w:p>
    <w:p>
      <w:pPr>
        <w:pStyle w:val="Heading2"/>
        <w:spacing w:before="240" w:after="140"/>
      </w:pPr>
      <w:r>
        <w:rPr>
          <w:rFonts w:ascii="Arial" w:cs="Arial" w:eastAsia="Arial" w:hAnsi="Arial"/>
          <w:b/>
          <w:bCs/>
          <w:color w:val="0D7377"/>
          <w:sz w:val="26"/>
          <w:szCs w:val="26"/>
        </w:rPr>
        <w:t xml:space="preserve">3.2 The Coherence Score</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C(e) = w_EA · EA + w_MS · MS + w_ER · ER + w_FI · FI + w_HS · 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Default Weight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Materiality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EA — Ethical Alignment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0.25</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Universal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MS — Memory Symmetry</w:t>
            </w:r>
          </w:p>
        </w:tc>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0.20</w:t>
            </w:r>
          </w:p>
        </w:tc>
        <w:tc>
          <w:tcPr>
            <w:tcW w:type="dxa" w:w="45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Universal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ER — Energy Reciprocity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0.25</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Energy-intensive sectors ↑</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FI — Foresight Integrity</w:t>
            </w:r>
          </w:p>
        </w:tc>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0.20</w:t>
            </w:r>
          </w:p>
        </w:tc>
        <w:tc>
          <w:tcPr>
            <w:tcW w:type="dxa" w:w="45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Capital-intensive sectors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HS — Human Stewardship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0.10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AI/Tech sectors ↑</w:t>
            </w:r>
          </w:p>
        </w:tc>
      </w:tr>
    </w:tbl>
    <w:p>
      <w:pPr>
        <w:spacing w:after="80"/>
      </w:pPr>
      <w:r>
        <w:t xml:space="preserve"/>
      </w:r>
    </w:p>
    <w:p>
      <w:pPr>
        <w:spacing w:after="140" w:before="0"/>
        <w:jc w:val="both"/>
      </w:pPr>
      <w:r>
        <w:rPr>
          <w:rFonts w:ascii="Times New Roman" w:cs="Times New Roman" w:eastAsia="Times New Roman" w:hAnsi="Times New Roman"/>
          <w:b w:val="false"/>
          <w:bCs w:val="false"/>
          <w:i/>
          <w:iCs/>
          <w:color w:val="222222"/>
          <w:sz w:val="22"/>
          <w:szCs w:val="22"/>
        </w:rPr>
        <w:t xml:space="preserve">Weights satisfy Σw_i = 1 and may be adjusted per sector. C(e) ∈ [0,100] by construction.</w:t>
      </w:r>
    </w:p>
    <w:p>
      <w:pPr>
        <w:pStyle w:val="Heading2"/>
        <w:spacing w:before="240" w:after="140"/>
      </w:pPr>
      <w:r>
        <w:rPr>
          <w:rFonts w:ascii="Arial" w:cs="Arial" w:eastAsia="Arial" w:hAnsi="Arial"/>
          <w:b/>
          <w:bCs/>
          <w:color w:val="0D7377"/>
          <w:sz w:val="26"/>
          <w:szCs w:val="26"/>
        </w:rPr>
        <w:t xml:space="preserve">3.3 Coherence Utility (Φ)</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Φ(κ, α, τ, σ) = (w_κ·(κ/100)^p + w_α·(α/100)^q + w_τ·(τ/100)^r) · exp(-λ·σ/100)</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Default parameters: w_κ=0.4, w_α=0.3, w_τ=0.3, p=q=r=1, λ=0.6. The exponential drift penalty exp(-λσ/100) ensures that high drift risk cannot be offset by high coherence scores — a critical asymmetry absent from conventional risk-adjusted scoring.</w:t>
      </w:r>
    </w:p>
    <w:p>
      <w:pPr>
        <w:pStyle w:val="Heading2"/>
        <w:spacing w:before="240" w:after="140"/>
      </w:pPr>
      <w:r>
        <w:rPr>
          <w:rFonts w:ascii="Arial" w:cs="Arial" w:eastAsia="Arial" w:hAnsi="Arial"/>
          <w:b/>
          <w:bCs/>
          <w:color w:val="0D7377"/>
          <w:sz w:val="26"/>
          <w:szCs w:val="26"/>
        </w:rPr>
        <w:t xml:space="preserve">3.4 Energy Reciprocity Factor (Ξ)</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Ξ(ε, ρ) = (1 / (1 + β_ε·ε)) · (1 + γ_ρ·ρ)</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Where ε is energy intensity and ρ is reciprocity delta (net ecological contribution). β_ε=0.4, γ_ρ=0.5.</w:t>
      </w:r>
    </w:p>
    <w:p>
      <w:pPr>
        <w:pStyle w:val="Heading2"/>
        <w:spacing w:before="240" w:after="140"/>
      </w:pPr>
      <w:r>
        <w:rPr>
          <w:rFonts w:ascii="Arial" w:cs="Arial" w:eastAsia="Arial" w:hAnsi="Arial"/>
          <w:b/>
          <w:bCs/>
          <w:color w:val="0D7377"/>
          <w:sz w:val="26"/>
          <w:szCs w:val="26"/>
        </w:rPr>
        <w:t xml:space="preserve">3.5 Financial Instruments</w:t>
      </w:r>
    </w:p>
    <w:p>
      <w:pPr>
        <w:spacing w:after="140" w:before="0"/>
        <w:jc w:val="both"/>
      </w:pPr>
      <w:r>
        <w:rPr>
          <w:rFonts w:ascii="Times New Roman" w:cs="Times New Roman" w:eastAsia="Times New Roman" w:hAnsi="Times New Roman"/>
          <w:b/>
          <w:bCs/>
          <w:i w:val="false"/>
          <w:iCs w:val="false"/>
          <w:color w:val="222222"/>
          <w:sz w:val="22"/>
          <w:szCs w:val="22"/>
        </w:rPr>
        <w:t xml:space="preserve">Temporal Equity Bond Yield:</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TEB(e) = y_min + (y_max - y_min) · (a_κ·κ + a_α·α + a_τ·τ) · Ξ^χ</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y_min=2%, y_max=12%, a_κ=0.45, a_α=0.30, a_τ=0.25, χ=0.40.</w:t>
      </w:r>
    </w:p>
    <w:p>
      <w:pPr>
        <w:spacing w:after="80"/>
      </w:pPr>
      <w:r>
        <w:t xml:space="preserve"/>
      </w:r>
    </w:p>
    <w:p>
      <w:pPr>
        <w:spacing w:after="140" w:before="0"/>
        <w:jc w:val="both"/>
      </w:pPr>
      <w:r>
        <w:rPr>
          <w:rFonts w:ascii="Times New Roman" w:cs="Times New Roman" w:eastAsia="Times New Roman" w:hAnsi="Times New Roman"/>
          <w:b/>
          <w:bCs/>
          <w:i w:val="false"/>
          <w:iCs w:val="false"/>
          <w:color w:val="222222"/>
          <w:sz w:val="22"/>
          <w:szCs w:val="22"/>
        </w:rPr>
        <w:t xml:space="preserve">Foresight-Safe Debt Limit:</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FSD(e) = L₀ · Φ^μ · Ξ^ν · (1 + σ/100)^(-ψ)</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μ=0.8, ν=0.5, ψ=0.75. Constrains debt capacity as a function of coherence and stability.</w:t>
      </w:r>
    </w:p>
    <w:p>
      <w:pPr>
        <w:spacing w:after="80"/>
      </w:pPr>
      <w:r>
        <w:t xml:space="preserve"/>
      </w:r>
    </w:p>
    <w:p>
      <w:pPr>
        <w:spacing w:after="140" w:before="0"/>
        <w:jc w:val="both"/>
      </w:pPr>
      <w:r>
        <w:rPr>
          <w:rFonts w:ascii="Times New Roman" w:cs="Times New Roman" w:eastAsia="Times New Roman" w:hAnsi="Times New Roman"/>
          <w:b/>
          <w:bCs/>
          <w:i w:val="false"/>
          <w:iCs w:val="false"/>
          <w:color w:val="222222"/>
          <w:sz w:val="22"/>
          <w:szCs w:val="22"/>
        </w:rPr>
        <w:t xml:space="preserve">Energy Symbiosis Credits:</w:t>
      </w:r>
    </w:p>
    <w:p>
      <w:pPr>
        <w:pBdr>
          <w:left w:val="single" w:color="0D7377" w:sz="6" w:space="4"/>
        </w:pBdr>
        <w:shd w:fill="F5F5F5" w:val="clear"/>
        <w:spacing w:before="120" w:after="120"/>
        <w:jc w:val="center"/>
      </w:pPr>
      <w:r>
        <w:rPr>
          <w:rFonts w:ascii="Courier New" w:cs="Courier New" w:eastAsia="Courier New" w:hAnsi="Courier New"/>
          <w:color w:val="1A1A1A"/>
          <w:sz w:val="22"/>
          <w:szCs w:val="22"/>
        </w:rPr>
        <w:t xml:space="preserve">ESC(e, t) = ζ · max(ρ_t - ρ_{t-1}, 0) · Φ̄</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ζ=100, Φ̄ = moving average of Φ. Minted only on improving reciprocity — rewards trajectory, not position.</w:t>
      </w:r>
    </w:p>
    <w:p>
      <w:r>
        <w:br w:type="page"/>
      </w:r>
    </w:p>
    <w:p>
      <w:pPr>
        <w:pStyle w:val="Heading1"/>
        <w:spacing w:before="360" w:after="140"/>
      </w:pPr>
      <w:r>
        <w:rPr>
          <w:rFonts w:ascii="Arial" w:cs="Arial" w:eastAsia="Arial" w:hAnsi="Arial"/>
          <w:b/>
          <w:bCs/>
          <w:color w:val="1B2A4A"/>
          <w:sz w:val="32"/>
          <w:szCs w:val="32"/>
        </w:rPr>
        <w:t xml:space="preserve">4. Pilot Audit: Five-Company Analysis</w:t>
      </w:r>
    </w:p>
    <w:p>
      <w:pPr>
        <w:pStyle w:val="Heading2"/>
        <w:spacing w:before="240" w:after="140"/>
      </w:pPr>
      <w:r>
        <w:rPr>
          <w:rFonts w:ascii="Arial" w:cs="Arial" w:eastAsia="Arial" w:hAnsi="Arial"/>
          <w:b/>
          <w:bCs/>
          <w:color w:val="0D7377"/>
          <w:sz w:val="26"/>
          <w:szCs w:val="26"/>
        </w:rPr>
        <w:t xml:space="preserve">4.1 Data Sources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Five publicly traded companies were scored using exclusively public disclosures: 2023 sustainability reports, CDP climate questionnaire responses, annual filings, and third-party ESG assessments. All scores, citations, and methodology notes are documented in the public audit repository [14].</w:t>
      </w:r>
    </w:p>
    <w:p>
      <w:pPr>
        <w:pStyle w:val="Heading2"/>
        <w:spacing w:before="240" w:after="140"/>
      </w:pPr>
      <w:r>
        <w:rPr>
          <w:rFonts w:ascii="Arial" w:cs="Arial" w:eastAsia="Arial" w:hAnsi="Arial"/>
          <w:b/>
          <w:bCs/>
          <w:color w:val="0D7377"/>
          <w:sz w:val="26"/>
          <w:szCs w:val="26"/>
        </w:rPr>
        <w:t xml:space="preserve">4.2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900"/>
        <w:gridCol w:w="900"/>
        <w:gridCol w:w="900"/>
        <w:gridCol w:w="900"/>
        <w:gridCol w:w="800"/>
        <w:gridCol w:w="760"/>
      </w:tblGrid>
      <w:tr>
        <w:tc>
          <w:tcPr>
            <w:tcW w:type="dxa" w:w="1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Entity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Sector</w:t>
            </w:r>
          </w:p>
        </w:tc>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C-Score</w:t>
            </w:r>
          </w:p>
        </w:tc>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Φ</w:t>
            </w:r>
          </w:p>
        </w:tc>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Ξ</w:t>
            </w:r>
          </w:p>
        </w:tc>
        <w:tc>
          <w:tcPr>
            <w:tcW w:type="dxa" w:w="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TEB%</w:t>
            </w:r>
          </w:p>
        </w:tc>
        <w:tc>
          <w:tcPr>
            <w:tcW w:type="dxa" w:w="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Σ</w:t>
            </w:r>
          </w:p>
        </w:tc>
        <w:tc>
          <w:tcPr>
            <w:tcW w:type="dxa" w:w="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CCE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Vestas Wind Systems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Renewable Energy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88.10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0.8171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1.3178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11.78%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9</w:t>
            </w:r>
          </w:p>
        </w:tc>
        <w:tc>
          <w:tcPr>
            <w:tcW w:type="dxa" w:w="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w:t>
            </w:r>
          </w:p>
        </w:tc>
      </w:tr>
      <w:tr>
        <w:tc>
          <w:tcPr>
            <w:tcW w:type="dxa" w:w="1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Microsoft</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Technology</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87.05</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0.8265</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1.0142</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10.84%</w:t>
            </w:r>
          </w:p>
        </w:tc>
        <w:tc>
          <w:tcPr>
            <w:tcW w:type="dxa" w:w="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12</w:t>
            </w:r>
          </w:p>
        </w:tc>
        <w:tc>
          <w:tcPr>
            <w:tcW w:type="dxa" w:w="7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Apple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Technology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81.05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0.7326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1.0354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10.04%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18</w:t>
            </w:r>
          </w:p>
        </w:tc>
        <w:tc>
          <w:tcPr>
            <w:tcW w:type="dxa" w:w="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w:t>
            </w:r>
          </w:p>
        </w:tc>
      </w:tr>
      <w:tr>
        <w:tc>
          <w:tcPr>
            <w:tcW w:type="dxa" w:w="1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Amazon</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Tech/Retail</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60.25</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0.4741</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0.7706</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7.31%</w:t>
            </w:r>
          </w:p>
        </w:tc>
        <w:tc>
          <w:tcPr>
            <w:tcW w:type="dxa" w:w="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42</w:t>
            </w:r>
          </w:p>
        </w:tc>
        <w:tc>
          <w:tcPr>
            <w:tcW w:type="dxa" w:w="7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ExxonMobil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Energy (Fossil)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31.80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0.2487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0.2892</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3.72%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78</w:t>
            </w:r>
          </w:p>
        </w:tc>
        <w:tc>
          <w:tcPr>
            <w:tcW w:type="dxa" w:w="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color w:val="222222"/>
                <w:sz w:val="19"/>
                <w:szCs w:val="19"/>
              </w:rPr>
              <w:t xml:space="preserve">✗</w:t>
            </w:r>
          </w:p>
        </w:tc>
      </w:tr>
    </w:tbl>
    <w:p>
      <w:pPr>
        <w:spacing w:after="80"/>
      </w:pPr>
      <w:r>
        <w:t xml:space="preserve"/>
      </w:r>
    </w:p>
    <w:p>
      <w:pPr>
        <w:spacing w:after="140" w:before="0"/>
        <w:jc w:val="both"/>
      </w:pPr>
      <w:r>
        <w:rPr>
          <w:rFonts w:ascii="Times New Roman" w:cs="Times New Roman" w:eastAsia="Times New Roman" w:hAnsi="Times New Roman"/>
          <w:b w:val="false"/>
          <w:bCs w:val="false"/>
          <w:i/>
          <w:iCs/>
          <w:color w:val="222222"/>
          <w:sz w:val="19"/>
          <w:szCs w:val="19"/>
        </w:rPr>
        <w:t xml:space="preserve">Table 1: Pilot audit results. Σ = drift risk (lower is better). CCE = Coherence Credit Eligible (C-Score ≥ 70 AND ER ≥ 60).</w:t>
      </w:r>
    </w:p>
    <w:p>
      <w:pPr>
        <w:pStyle w:val="Heading2"/>
        <w:spacing w:before="240" w:after="140"/>
      </w:pPr>
      <w:r>
        <w:rPr>
          <w:rFonts w:ascii="Arial" w:cs="Arial" w:eastAsia="Arial" w:hAnsi="Arial"/>
          <w:b/>
          <w:bCs/>
          <w:color w:val="0D7377"/>
          <w:sz w:val="26"/>
          <w:szCs w:val="26"/>
        </w:rPr>
        <w:t xml:space="preserve">4.3 Analysis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8.06-percentage-point TEB yield spread between Vestas (11.78%) and ExxonMobil (3.72%) is a direct mechanical consequence of coherence difference. In an active TEB market, this spread translates to approximately $806K per $10M in long-term capital — a structural financial disadvantage for low-coherence entities that compounds over investment horizons.</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technology sector divergence (Microsoft 87.05 vs. Amazon 60.25) demonstrates that sector classification is not deterministic. Internal choices about labor practices, AI governance, and stakeholder rights produce a 26.8-point difference within the same industry, showing the framework's resolution beyond sector-level analysis.</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ExxonMobil's Σ-Drift of 78 produces a Φ of 0.2487 — the exponential drift penalty reduces Φ far below what raw component scores would suggest. This captures governance instability from the 2023 SEC greenwashing inquiry and material methodology shifts in GHG accounting, neither of which would appear in a static ESG rating.</w:t>
      </w:r>
    </w:p>
    <w:p>
      <w:pPr>
        <w:pStyle w:val="Heading1"/>
        <w:spacing w:before="360" w:after="140"/>
      </w:pPr>
      <w:r>
        <w:rPr>
          <w:rFonts w:ascii="Arial" w:cs="Arial" w:eastAsia="Arial" w:hAnsi="Arial"/>
          <w:b/>
          <w:bCs/>
          <w:color w:val="1B2A4A"/>
          <w:sz w:val="32"/>
          <w:szCs w:val="32"/>
        </w:rPr>
        <w:t xml:space="preserve">5. Path to Automated Verification</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pilot audit uses human-assigned scores. The production system eliminates this via the UIOS telemetry layer [15], which derives scores from cryptographically signed data streams, and the DGK Admissibility Certifier [16], which provides TLA+-verified machine-readable admissibility certificates. This eliminates measurement divergence and self-reporting bias.</w:t>
      </w:r>
    </w:p>
    <w:p>
      <w:pPr>
        <w:pStyle w:val="Heading1"/>
        <w:spacing w:before="360" w:after="140"/>
      </w:pPr>
      <w:r>
        <w:rPr>
          <w:rFonts w:ascii="Arial" w:cs="Arial" w:eastAsia="Arial" w:hAnsi="Arial"/>
          <w:b/>
          <w:bCs/>
          <w:color w:val="1B2A4A"/>
          <w:sz w:val="32"/>
          <w:szCs w:val="32"/>
        </w:rPr>
        <w:t xml:space="preserve">6. Discussion</w:t>
      </w:r>
    </w:p>
    <w:p>
      <w:pPr>
        <w:pStyle w:val="Heading2"/>
        <w:spacing w:before="240" w:after="140"/>
      </w:pPr>
      <w:r>
        <w:rPr>
          <w:rFonts w:ascii="Arial" w:cs="Arial" w:eastAsia="Arial" w:hAnsi="Arial"/>
          <w:b/>
          <w:bCs/>
          <w:color w:val="0D7377"/>
          <w:sz w:val="26"/>
          <w:szCs w:val="26"/>
        </w:rPr>
        <w:t xml:space="preserve">6.1 Regulatory Tailwinds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Three regulatory mandates create near-term demand for automated coherence scoring. The EU CSRD requires approximately 50,000 companies to report detailed sustainability metrics. The SEC climate disclosure rule requires Scope 1, 2, and 3 emissions disclosure. The EU AI Act requires conformity assessments for high-risk AI systems that map directly to DGK admissibility certification. The Quantara CCS can serve as verification infrastructure for all three simultaneously.</w:t>
      </w:r>
    </w:p>
    <w:p>
      <w:pPr>
        <w:pStyle w:val="Heading2"/>
        <w:spacing w:before="240" w:after="140"/>
      </w:pPr>
      <w:r>
        <w:rPr>
          <w:rFonts w:ascii="Arial" w:cs="Arial" w:eastAsia="Arial" w:hAnsi="Arial"/>
          <w:b/>
          <w:bCs/>
          <w:color w:val="0D7377"/>
          <w:sz w:val="26"/>
          <w:szCs w:val="26"/>
        </w:rPr>
        <w:t xml:space="preserve">6.2 Network Effects</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framework generates increasing returns to adoption: CCE eligibility becomes a competitive advantage as counterparties check coherence ratings before transacting; the ESC credit market deepens with liquidity from more participants. A tipping point exists above which adoption becomes self-reinforcing — identifying this threshold for specific market segments is a priority for future work.</w:t>
      </w:r>
    </w:p>
    <w:p>
      <w:pPr>
        <w:pStyle w:val="Heading1"/>
        <w:spacing w:before="360" w:after="140"/>
      </w:pPr>
      <w:r>
        <w:rPr>
          <w:rFonts w:ascii="Arial" w:cs="Arial" w:eastAsia="Arial" w:hAnsi="Arial"/>
          <w:b/>
          <w:bCs/>
          <w:color w:val="1B2A4A"/>
          <w:sz w:val="32"/>
          <w:szCs w:val="32"/>
        </w:rPr>
        <w:t xml:space="preserve">7. Conclusion</w:t>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We have presented the Quantara Coherence Capital System — a formal framework for computing verified coherence scores over economic entities and translating those scores into financial instruments that mechanically link alignment to capital cost. The pilot audit demonstrates economically meaningful differentiation from public disclosures, with a 56.3-point C-Score spread and an 8.06-percentage-point TEB yield differential.</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framework's core contribution is the integration of scoring with financial instrument design such that market incentives and coherence incentives become identical rather than merely correlated. When the cheapest capital flows to the most coherent actors, coherence becomes a financial priority rather than a reporting exercise.</w:t>
      </w:r>
    </w:p>
    <w:p>
      <w:pPr>
        <w:spacing w:after="80"/>
      </w:pPr>
      <w:r>
        <w:t xml:space="preserve"/>
      </w:r>
    </w:p>
    <w:p>
      <w:pPr>
        <w:spacing w:after="140" w:before="0"/>
        <w:jc w:val="both"/>
      </w:pPr>
      <w:r>
        <w:rPr>
          <w:rFonts w:ascii="Times New Roman" w:cs="Times New Roman" w:eastAsia="Times New Roman" w:hAnsi="Times New Roman"/>
          <w:b w:val="false"/>
          <w:bCs w:val="false"/>
          <w:i w:val="false"/>
          <w:iCs w:val="false"/>
          <w:color w:val="222222"/>
          <w:sz w:val="22"/>
          <w:szCs w:val="22"/>
        </w:rPr>
        <w:t xml:space="preserve">The open-source implementation at github.com/quantumquantara-arch provides the foundation for transition to automated UIOS/DGK-verified scoring. The authors invite collaboration from the formal verification, financial engineering, and sustainability science communities.</w:t>
      </w:r>
    </w:p>
    <w:p>
      <w:pPr>
        <w:pBdr>
          <w:bottom w:val="single" w:color="0D7377" w:sz="3" w:space="1"/>
        </w:pBdr>
        <w:spacing w:after="200"/>
      </w:pPr>
      <w:r>
        <w:t xml:space="preserve"/>
      </w:r>
    </w:p>
    <w:p>
      <w:pPr>
        <w:pStyle w:val="Heading1"/>
        <w:spacing w:before="360" w:after="140"/>
      </w:pPr>
      <w:r>
        <w:rPr>
          <w:rFonts w:ascii="Arial" w:cs="Arial" w:eastAsia="Arial" w:hAnsi="Arial"/>
          <w:b/>
          <w:bCs/>
          <w:color w:val="1B2A4A"/>
          <w:sz w:val="32"/>
          <w:szCs w:val="32"/>
        </w:rPr>
        <w:t xml:space="preserve">References</w:t>
      </w:r>
    </w:p>
    <w:p>
      <w:pPr>
        <w:pStyle w:val="ListParagraph"/>
        <w:numPr>
          <w:ilvl w:val="0"/>
          <w:numId w:val="2"/>
        </w:numPr>
        <w:spacing w:after="80"/>
      </w:pPr>
      <w:r>
        <w:rPr>
          <w:rFonts w:ascii="Times New Roman" w:cs="Times New Roman" w:eastAsia="Times New Roman" w:hAnsi="Times New Roman"/>
          <w:color w:val="333333"/>
          <w:sz w:val="19"/>
          <w:szCs w:val="19"/>
        </w:rPr>
        <w:t xml:space="preserve">Global Sustainable Investment Alliance, "Global Sustainable Investment Review 2022," GSIA, 2023.</w:t>
      </w:r>
    </w:p>
    <w:p>
      <w:pPr>
        <w:pStyle w:val="ListParagraph"/>
        <w:numPr>
          <w:ilvl w:val="0"/>
          <w:numId w:val="2"/>
        </w:numPr>
        <w:spacing w:after="80"/>
      </w:pPr>
      <w:r>
        <w:rPr>
          <w:rFonts w:ascii="Times New Roman" w:cs="Times New Roman" w:eastAsia="Times New Roman" w:hAnsi="Times New Roman"/>
          <w:color w:val="333333"/>
          <w:sz w:val="19"/>
          <w:szCs w:val="19"/>
        </w:rPr>
        <w:t xml:space="preserve">Berg, F., Koelbel, J., Rigobon, R., "Aggregate Confusion: The Divergence of ESG Ratings," MIT Sloan Working Paper, 2019.</w:t>
      </w:r>
    </w:p>
    <w:p>
      <w:pPr>
        <w:pStyle w:val="ListParagraph"/>
        <w:numPr>
          <w:ilvl w:val="0"/>
          <w:numId w:val="2"/>
        </w:numPr>
        <w:spacing w:after="80"/>
      </w:pPr>
      <w:r>
        <w:rPr>
          <w:rFonts w:ascii="Times New Roman" w:cs="Times New Roman" w:eastAsia="Times New Roman" w:hAnsi="Times New Roman"/>
          <w:color w:val="333333"/>
          <w:sz w:val="19"/>
          <w:szCs w:val="19"/>
        </w:rPr>
        <w:t xml:space="preserve">Kotsantonis, S., Serafeim, G., "Four Things No One Will Tell You About ESG Data," Journal of Applied Corporate Finance, 31(2), 2019.</w:t>
      </w:r>
    </w:p>
    <w:p>
      <w:pPr>
        <w:pStyle w:val="ListParagraph"/>
        <w:numPr>
          <w:ilvl w:val="0"/>
          <w:numId w:val="2"/>
        </w:numPr>
        <w:spacing w:after="80"/>
      </w:pPr>
      <w:r>
        <w:rPr>
          <w:rFonts w:ascii="Times New Roman" w:cs="Times New Roman" w:eastAsia="Times New Roman" w:hAnsi="Times New Roman"/>
          <w:color w:val="333333"/>
          <w:sz w:val="19"/>
          <w:szCs w:val="19"/>
        </w:rPr>
        <w:t xml:space="preserve">Berg, F. et al., "ESG Confusion and Stock Returns: Tackling the Problem of Noise," SSRN Working Paper, 2020.</w:t>
      </w:r>
    </w:p>
    <w:p>
      <w:pPr>
        <w:pStyle w:val="ListParagraph"/>
        <w:numPr>
          <w:ilvl w:val="0"/>
          <w:numId w:val="2"/>
        </w:numPr>
        <w:spacing w:after="80"/>
      </w:pPr>
      <w:r>
        <w:rPr>
          <w:rFonts w:ascii="Times New Roman" w:cs="Times New Roman" w:eastAsia="Times New Roman" w:hAnsi="Times New Roman"/>
          <w:color w:val="333333"/>
          <w:sz w:val="19"/>
          <w:szCs w:val="19"/>
        </w:rPr>
        <w:t xml:space="preserve">Tarmuji, I. et al., "The Impact of ESG Practices on Firm Performance," Procedia Economics and Finance, 2016.</w:t>
      </w:r>
    </w:p>
    <w:p>
      <w:pPr>
        <w:pStyle w:val="ListParagraph"/>
        <w:numPr>
          <w:ilvl w:val="0"/>
          <w:numId w:val="2"/>
        </w:numPr>
        <w:spacing w:after="80"/>
      </w:pPr>
      <w:r>
        <w:rPr>
          <w:rFonts w:ascii="Times New Roman" w:cs="Times New Roman" w:eastAsia="Times New Roman" w:hAnsi="Times New Roman"/>
          <w:color w:val="333333"/>
          <w:sz w:val="19"/>
          <w:szCs w:val="19"/>
        </w:rPr>
        <w:t xml:space="preserve">Friede, G., Busch, T., Bassen, A., "ESG and Financial Performance," Journal of Sustainable Finance &amp; Investment, 5(4), 2015.</w:t>
      </w:r>
    </w:p>
    <w:p>
      <w:pPr>
        <w:pStyle w:val="ListParagraph"/>
        <w:numPr>
          <w:ilvl w:val="0"/>
          <w:numId w:val="2"/>
        </w:numPr>
        <w:spacing w:after="80"/>
      </w:pPr>
      <w:r>
        <w:rPr>
          <w:rFonts w:ascii="Times New Roman" w:cs="Times New Roman" w:eastAsia="Times New Roman" w:hAnsi="Times New Roman"/>
          <w:color w:val="333333"/>
          <w:sz w:val="19"/>
          <w:szCs w:val="19"/>
        </w:rPr>
        <w:t xml:space="preserve">Brunnermeier, M.K., "Carbon I-Bonds," Princeton Working Paper, 2022.</w:t>
      </w:r>
    </w:p>
    <w:p>
      <w:pPr>
        <w:pStyle w:val="ListParagraph"/>
        <w:numPr>
          <w:ilvl w:val="0"/>
          <w:numId w:val="2"/>
        </w:numPr>
        <w:spacing w:after="80"/>
      </w:pPr>
      <w:r>
        <w:rPr>
          <w:rFonts w:ascii="Times New Roman" w:cs="Times New Roman" w:eastAsia="Times New Roman" w:hAnsi="Times New Roman"/>
          <w:color w:val="333333"/>
          <w:sz w:val="19"/>
          <w:szCs w:val="19"/>
        </w:rPr>
        <w:t xml:space="preserve">Mandel, L., Wolf, E., "Optical Coherence and Quantum Optics," Cambridge University Press, 1995.</w:t>
      </w:r>
    </w:p>
    <w:p>
      <w:pPr>
        <w:pStyle w:val="ListParagraph"/>
        <w:numPr>
          <w:ilvl w:val="0"/>
          <w:numId w:val="2"/>
        </w:numPr>
        <w:spacing w:after="80"/>
      </w:pPr>
      <w:r>
        <w:rPr>
          <w:rFonts w:ascii="Times New Roman" w:cs="Times New Roman" w:eastAsia="Times New Roman" w:hAnsi="Times New Roman"/>
          <w:color w:val="333333"/>
          <w:sz w:val="19"/>
          <w:szCs w:val="19"/>
        </w:rPr>
        <w:t xml:space="preserve">Weick, K.E., "Sensemaking in Organizations," SAGE Publications, 1995.</w:t>
      </w:r>
    </w:p>
    <w:p>
      <w:pPr>
        <w:pStyle w:val="ListParagraph"/>
        <w:numPr>
          <w:ilvl w:val="0"/>
          <w:numId w:val="2"/>
        </w:numPr>
        <w:spacing w:after="80"/>
      </w:pPr>
      <w:r>
        <w:rPr>
          <w:rFonts w:ascii="Times New Roman" w:cs="Times New Roman" w:eastAsia="Times New Roman" w:hAnsi="Times New Roman"/>
          <w:color w:val="333333"/>
          <w:sz w:val="19"/>
          <w:szCs w:val="19"/>
        </w:rPr>
        <w:t xml:space="preserve">Stacey, R., "Strategic Management and Organisational Dynamics," Pearson, 2011.</w:t>
      </w:r>
    </w:p>
    <w:p>
      <w:pPr>
        <w:pStyle w:val="ListParagraph"/>
        <w:numPr>
          <w:ilvl w:val="0"/>
          <w:numId w:val="2"/>
        </w:numPr>
        <w:spacing w:after="80"/>
      </w:pPr>
      <w:r>
        <w:rPr>
          <w:rFonts w:ascii="Times New Roman" w:cs="Times New Roman" w:eastAsia="Times New Roman" w:hAnsi="Times New Roman"/>
          <w:color w:val="333333"/>
          <w:sz w:val="19"/>
          <w:szCs w:val="19"/>
        </w:rPr>
        <w:t xml:space="preserve">Squires, N., "quantara-core," github.com/quantumquantara-arch/quantara-core, 2025.</w:t>
      </w:r>
    </w:p>
    <w:p>
      <w:pPr>
        <w:pStyle w:val="ListParagraph"/>
        <w:numPr>
          <w:ilvl w:val="0"/>
          <w:numId w:val="2"/>
        </w:numPr>
        <w:spacing w:after="80"/>
      </w:pPr>
      <w:r>
        <w:rPr>
          <w:rFonts w:ascii="Times New Roman" w:cs="Times New Roman" w:eastAsia="Times New Roman" w:hAnsi="Times New Roman"/>
          <w:color w:val="333333"/>
          <w:sz w:val="19"/>
          <w:szCs w:val="19"/>
        </w:rPr>
        <w:t xml:space="preserve">Climate Bonds Initiative, "Green Bond Market Summary 2023," CBI, 2024.</w:t>
      </w:r>
    </w:p>
    <w:p>
      <w:pPr>
        <w:pStyle w:val="ListParagraph"/>
        <w:numPr>
          <w:ilvl w:val="0"/>
          <w:numId w:val="2"/>
        </w:numPr>
        <w:spacing w:after="80"/>
      </w:pPr>
      <w:r>
        <w:rPr>
          <w:rFonts w:ascii="Times New Roman" w:cs="Times New Roman" w:eastAsia="Times New Roman" w:hAnsi="Times New Roman"/>
          <w:color w:val="333333"/>
          <w:sz w:val="19"/>
          <w:szCs w:val="19"/>
        </w:rPr>
        <w:t xml:space="preserve">Flammer, C., "Corporate Green Bonds," Journal of Financial Economics, 142(2), 2021.</w:t>
      </w:r>
    </w:p>
    <w:p>
      <w:pPr>
        <w:pStyle w:val="ListParagraph"/>
        <w:numPr>
          <w:ilvl w:val="0"/>
          <w:numId w:val="2"/>
        </w:numPr>
        <w:spacing w:after="80"/>
      </w:pPr>
      <w:r>
        <w:rPr>
          <w:rFonts w:ascii="Times New Roman" w:cs="Times New Roman" w:eastAsia="Times New Roman" w:hAnsi="Times New Roman"/>
          <w:color w:val="333333"/>
          <w:sz w:val="19"/>
          <w:szCs w:val="19"/>
        </w:rPr>
        <w:t xml:space="preserve">Squires, N., "Quantara CCS Public Pilot Audit Phase I," github.com/quantumquantara-arch/quantara-financial-architecture, 2026.</w:t>
      </w:r>
    </w:p>
    <w:p>
      <w:pPr>
        <w:pStyle w:val="ListParagraph"/>
        <w:numPr>
          <w:ilvl w:val="0"/>
          <w:numId w:val="2"/>
        </w:numPr>
        <w:spacing w:after="80"/>
      </w:pPr>
      <w:r>
        <w:rPr>
          <w:rFonts w:ascii="Times New Roman" w:cs="Times New Roman" w:eastAsia="Times New Roman" w:hAnsi="Times New Roman"/>
          <w:color w:val="333333"/>
          <w:sz w:val="19"/>
          <w:szCs w:val="19"/>
        </w:rPr>
        <w:t xml:space="preserve">Squires, N., "UIOS Planetary Coordination Specification," github.com/quantumquantara-arch, 2025.</w:t>
      </w:r>
    </w:p>
    <w:p>
      <w:pPr>
        <w:pStyle w:val="ListParagraph"/>
        <w:numPr>
          <w:ilvl w:val="0"/>
          <w:numId w:val="2"/>
        </w:numPr>
        <w:spacing w:after="80"/>
      </w:pPr>
      <w:r>
        <w:rPr>
          <w:rFonts w:ascii="Times New Roman" w:cs="Times New Roman" w:eastAsia="Times New Roman" w:hAnsi="Times New Roman"/>
          <w:color w:val="333333"/>
          <w:sz w:val="19"/>
          <w:szCs w:val="19"/>
        </w:rPr>
        <w:t xml:space="preserve">Squires, N., "DGK-Admissibility-Certifier," github.com/quantumquantara-arch/DGK-Admissibility-Certifier,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888888"/>
        <w:sz w:val="18"/>
        <w:szCs w:val="18"/>
      </w:rPr>
      <w:t xml:space="preserve">Squires — Coherence Capital: A Formal Framework  |  arXiv preprint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2026-02-22T23:13:34.806Z</dcterms:created>
  <dcterms:modified xsi:type="dcterms:W3CDTF">2026-02-22T23:13:34.807Z</dcterms:modified>
</cp:coreProperties>
</file>

<file path=docProps/custom.xml><?xml version="1.0" encoding="utf-8"?>
<Properties xmlns="http://schemas.openxmlformats.org/officeDocument/2006/custom-properties" xmlns:vt="http://schemas.openxmlformats.org/officeDocument/2006/docPropsVTypes"/>
</file>