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137" w:val="clear"/>
            <w:tcMar>
              <w:top w:type="dxa" w:w="600"/>
              <w:left w:type="dxa" w:w="800"/>
              <w:bottom w:type="dxa" w:w="600"/>
              <w:right w:type="dxa" w:w="8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DAVID SSEMAKULA KIZZA</w:t>
            </w:r>
          </w:p>
          <w:p>
            <w:pPr>
              <w:spacing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4"/>
                <w:szCs w:val="24"/>
              </w:rPr>
              <w:t xml:space="preserve">SENIOR RELATIONSHIP MANAGER  |  CORPORATE BANKING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color w:val="CCCCCC"/>
                <w:sz w:val="21"/>
                <w:szCs w:val="21"/>
              </w:rPr>
              <w:t xml:space="preserve">+256 702 456 789   |   david.kizza@email.com   |   Kampala, Uganda</w:t>
            </w:r>
          </w:p>
        </w:tc>
      </w:tr>
    </w:tbl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83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8F7" w:val="clear"/>
            <w:tcMar>
              <w:top w:type="dxa" w:w="600"/>
              <w:left w:type="dxa" w:w="500"/>
              <w:bottom w:type="dxa" w:w="600"/>
              <w:right w:type="dxa" w:w="5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SKILLS</w:t>
            </w:r>
          </w:p>
          <w:p>
            <w:r>
              <w:rPr>
                <w:rFonts w:ascii="Calibri" w:cs="Calibri" w:eastAsia="Calibri" w:hAnsi="Calibri"/>
                <w:color w:val="00B8A9"/>
                <w:sz w:val="18"/>
                <w:szCs w:val="18"/>
              </w:rPr>
              <w:t xml:space="preserve">─────────────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Corporate Credit Analysis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Relationship Management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Trade Finance &amp; Letters of Credit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Financial Modelling (Excel)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Portfolio Risk Management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KYC / AML Compliance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Team Leadership &amp; Coaching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✦ Business Development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EDUCATION</w:t>
            </w:r>
          </w:p>
          <w:p>
            <w:r>
              <w:rPr>
                <w:rFonts w:ascii="Calibri" w:cs="Calibri" w:eastAsia="Calibri" w:hAnsi="Calibri"/>
                <w:color w:val="00B8A9"/>
                <w:sz w:val="18"/>
                <w:szCs w:val="18"/>
              </w:rPr>
              <w:t xml:space="preserve">─────────────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1"/>
                <w:szCs w:val="21"/>
              </w:rPr>
              <w:t xml:space="preserve">MBA – Finance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Uganda Management Institute
2018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1"/>
                <w:szCs w:val="21"/>
              </w:rPr>
              <w:t xml:space="preserve">B.Com – Accounting (Hons)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Makerere University
2014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CERTIFICATIONS</w:t>
            </w:r>
          </w:p>
          <w:p>
            <w:r>
              <w:rPr>
                <w:rFonts w:ascii="Calibri" w:cs="Calibri" w:eastAsia="Calibri" w:hAnsi="Calibri"/>
                <w:color w:val="00B8A9"/>
                <w:sz w:val="18"/>
                <w:szCs w:val="18"/>
              </w:rPr>
              <w:t xml:space="preserve">─────────────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19"/>
                <w:szCs w:val="19"/>
              </w:rPr>
              <w:t xml:space="preserve">Chartered Institute of Bankers (ACIB) — 2020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19"/>
                <w:szCs w:val="19"/>
              </w:rPr>
              <w:t xml:space="preserve">Certified Credit Professional — ICPAU, 2019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19"/>
                <w:szCs w:val="19"/>
              </w:rPr>
              <w:t xml:space="preserve">AML &amp; Compliance Certificate — 2021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0D1B2A"/>
                <w:sz w:val="19"/>
                <w:szCs w:val="19"/>
              </w:rPr>
              <w:t xml:space="preserve">CFA Level I — CFA Institute, 2022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LANGUAGES</w:t>
            </w:r>
          </w:p>
          <w:p>
            <w:r>
              <w:rPr>
                <w:rFonts w:ascii="Calibri" w:cs="Calibri" w:eastAsia="Calibri" w:hAnsi="Calibri"/>
                <w:color w:val="00B8A9"/>
                <w:sz w:val="18"/>
                <w:szCs w:val="18"/>
              </w:rPr>
              <w:t xml:space="preserve">─────────────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English — Fluent
Luganda — Native
Swahili — Conversational</w:t>
            </w:r>
          </w:p>
        </w:tc>
        <w:tc>
          <w:tcPr>
            <w:tcBorders>
              <w:top w:val="none" w:color="FFFFFF" w:sz="0"/>
              <w:left w:val="single" w:color="00B8A9" w:sz="3"/>
              <w:bottom w:val="none" w:color="FFFFFF" w:sz="0"/>
              <w:right w:val="none" w:color="FFFFFF" w:sz="0"/>
            </w:tcBorders>
            <w:tcMar>
              <w:top w:type="dxa" w:w="600"/>
              <w:left w:type="dxa" w:w="600"/>
              <w:bottom w:type="dxa" w:w="600"/>
              <w:right w:type="dxa" w:w="8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PROFESSIONAL SUMMARY</w:t>
            </w:r>
          </w:p>
          <w:p>
            <w:pPr>
              <w:spacing w:after="200" w:before="0"/>
            </w:pPr>
            <w:r>
              <w:rPr>
                <w:rFonts w:ascii="Calibri" w:cs="Calibri" w:eastAsia="Calibri" w:hAnsi="Calibri"/>
                <w:color w:val="0D1B2A"/>
                <w:sz w:val="21"/>
                <w:szCs w:val="21"/>
              </w:rPr>
              <w:t xml:space="preserve">Dynamic and commercially-focused Senior Relationship Manager with 9 years of progressive banking experience at leading Ugandan financial institutions. Consistent top performer with a proven ability to grow corporate loan portfolios, deepen client relationships, and drive revenue growth. In 2023, ranked #1 Relationship Manager across Stanbic Uganda's Commercial Banking division with a portfolio value of UGX 78 billion.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WORK EXPERIENCE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4"/>
                <w:szCs w:val="24"/>
              </w:rPr>
              <w:t xml:space="preserve">Senior Relationship Manager — Corporate Banking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B8A9"/>
                <w:sz w:val="20"/>
                <w:szCs w:val="20"/>
              </w:rPr>
              <w:t xml:space="preserve">Stanbic Bank Uganda  |  2020 – Present  |  Kampala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Manage a corporate client portfolio of 42 accounts with aggregate facilities of UGX 78 billion across manufacturing, agribusiness, and real estate sectors.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Grew portfolio by 28% in FY2023 through targeted business development activities, sector events, and referral network cultivation.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Lead credit structuring for complex transactions including import/export trade finance, invoice discounting, and term loan facilities.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Chair monthly credit review meetings, preparing comprehensive credit appraisal memoranda for submission to the Credit Risk Committee.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Mentored 3 junior Relationship Officers who have all since been promoted to Relationship Manager grade.</w:t>
            </w:r>
          </w:p>
          <w:p>
            <w:pPr>
              <w:spacing w:after="20" w:before="16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4"/>
                <w:szCs w:val="24"/>
              </w:rPr>
              <w:t xml:space="preserve">Relationship Manager — SME Banking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B8A9"/>
                <w:sz w:val="20"/>
                <w:szCs w:val="20"/>
              </w:rPr>
              <w:t xml:space="preserve">Centenary Bank Uganda  |  2016 – 2020  |  Kampala &amp; Mbarara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Managed SME portfolio of 160 accounts with total exposure of UGX 22 billion, consistently maintaining NPL ratio below 2.5%.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Onboarded 68 new-to-bank SME clients in FY2019, exceeding annual acquisition target by 35%.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Developed tailored banking packages for agribusiness clients in Western Uganda, including seasonal credit facilities and input financing schemes.</w:t>
            </w:r>
          </w:p>
          <w:p>
            <w:pPr>
              <w:spacing w:after="20" w:before="16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4"/>
                <w:szCs w:val="24"/>
              </w:rPr>
              <w:t xml:space="preserve">Credit Analyst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B8A9"/>
                <w:sz w:val="20"/>
                <w:szCs w:val="20"/>
              </w:rPr>
              <w:t xml:space="preserve">dfcu Bank Uganda  |  2014 – 2016  |  Kampala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Conducted financial statement analysis for corporate and SME loan applications with aggregate value of UGX 35 billion annually.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Prepared credit appraisal reports with a 94% approval rate from the Credit Committee, reflecting strong analytical rigour.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00B8A9"/>
                <w:sz w:val="22"/>
                <w:szCs w:val="22"/>
              </w:rPr>
              <w:t xml:space="preserve">REFEREES</w:t>
            </w:r>
          </w:p>
          <w:p>
            <w:pPr>
              <w:spacing w:after="20" w:before="4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Mr. Robert Katende — Head of Corporate Banking, Stanbic Uganda | r.katende@stanbic.co.ug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0D1B2A"/>
                <w:sz w:val="20"/>
                <w:szCs w:val="20"/>
              </w:rPr>
              <w:t xml:space="preserve">Ms. Grace Tendo — Chief Credit Officer, Centenary Bank | g.tendo@centenarybank.co.ug</w:t>
            </w:r>
          </w:p>
        </w:tc>
      </w:tr>
    </w:tbl>
    <w:sectPr>
      <w:pgSz w:w="11906" w:h="16838" w:orient="portrait"/>
      <w:pgMar w:top="0" w:right="0" w:bottom="72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2026-06-05T17:48:07.765Z</dcterms:created>
  <dcterms:modified xsi:type="dcterms:W3CDTF">2026-06-05T17:48:07.765Z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