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C2ADE" w14:textId="16EAAFF0" w:rsidR="00A91368" w:rsidRPr="001D3991" w:rsidRDefault="001D3991" w:rsidP="001D3991">
      <w:pPr>
        <w:jc w:val="both"/>
        <w:rPr>
          <w:color w:val="2455D8"/>
          <w:sz w:val="32"/>
        </w:rPr>
      </w:pPr>
      <w:r>
        <w:rPr>
          <w:color w:val="2455D8"/>
          <w:sz w:val="32"/>
        </w:rPr>
        <w:t>Индекс цен сырьевого экспорта России</w:t>
      </w:r>
      <w:r w:rsidR="00F1688E">
        <w:rPr>
          <w:color w:val="2455D8"/>
          <w:sz w:val="32"/>
        </w:rPr>
        <w:t xml:space="preserve"> </w:t>
      </w:r>
    </w:p>
    <w:sdt>
      <w:sdtPr>
        <w:rPr>
          <w:rFonts w:ascii="Cera CY" w:eastAsiaTheme="minorHAnsi" w:hAnsi="Cera CY" w:cstheme="minorBidi"/>
          <w:color w:val="000000" w:themeColor="text1"/>
          <w:sz w:val="24"/>
          <w:szCs w:val="22"/>
          <w:lang w:eastAsia="en-US"/>
        </w:rPr>
        <w:id w:val="51751012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eastAsia="ru-RU"/>
        </w:rPr>
      </w:sdtEndPr>
      <w:sdtContent>
        <w:p w14:paraId="17A1F768" w14:textId="77777777" w:rsidR="00A90D71" w:rsidRDefault="00D01888" w:rsidP="001D3991">
          <w:pPr>
            <w:pStyle w:val="aff1"/>
            <w:jc w:val="both"/>
            <w:rPr>
              <w:noProof/>
            </w:rPr>
          </w:pPr>
          <w:r w:rsidRPr="00691FC8">
            <w:rPr>
              <w:rStyle w:val="20"/>
              <w:color w:val="424242"/>
            </w:rPr>
            <w:t>Содержание</w:t>
          </w:r>
          <w:r w:rsidR="00691FC8" w:rsidRPr="00691FC8">
            <w:rPr>
              <w:color w:val="424242"/>
            </w:rPr>
            <w:fldChar w:fldCharType="begin"/>
          </w:r>
          <w:r w:rsidR="00691FC8" w:rsidRPr="00691FC8">
            <w:rPr>
              <w:color w:val="424242"/>
            </w:rPr>
            <w:instrText xml:space="preserve"> TOC \o "1-3" \h \z \u </w:instrText>
          </w:r>
          <w:r w:rsidR="00691FC8" w:rsidRPr="00691FC8">
            <w:rPr>
              <w:color w:val="424242"/>
            </w:rPr>
            <w:fldChar w:fldCharType="separate"/>
          </w:r>
        </w:p>
        <w:p w14:paraId="3B9D1A36" w14:textId="1FB56492" w:rsidR="00A90D71" w:rsidRDefault="008732A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4857116" w:history="1">
            <w:r w:rsidR="00A90D71" w:rsidRPr="00EF2D04">
              <w:rPr>
                <w:rStyle w:val="aff2"/>
                <w:noProof/>
              </w:rPr>
              <w:t>Определение и область применения</w:t>
            </w:r>
            <w:r w:rsidR="00A90D71">
              <w:rPr>
                <w:noProof/>
                <w:webHidden/>
              </w:rPr>
              <w:tab/>
            </w:r>
            <w:r w:rsidR="00A90D71">
              <w:rPr>
                <w:noProof/>
                <w:webHidden/>
              </w:rPr>
              <w:fldChar w:fldCharType="begin"/>
            </w:r>
            <w:r w:rsidR="00A90D71">
              <w:rPr>
                <w:noProof/>
                <w:webHidden/>
              </w:rPr>
              <w:instrText xml:space="preserve"> PAGEREF _Toc164857116 \h </w:instrText>
            </w:r>
            <w:r w:rsidR="00A90D71">
              <w:rPr>
                <w:noProof/>
                <w:webHidden/>
              </w:rPr>
            </w:r>
            <w:r w:rsidR="00A90D71">
              <w:rPr>
                <w:noProof/>
                <w:webHidden/>
              </w:rPr>
              <w:fldChar w:fldCharType="separate"/>
            </w:r>
            <w:r w:rsidR="00797B0E">
              <w:rPr>
                <w:noProof/>
                <w:webHidden/>
              </w:rPr>
              <w:t>2</w:t>
            </w:r>
            <w:r w:rsidR="00A90D71">
              <w:rPr>
                <w:noProof/>
                <w:webHidden/>
              </w:rPr>
              <w:fldChar w:fldCharType="end"/>
            </w:r>
          </w:hyperlink>
        </w:p>
        <w:p w14:paraId="150363C2" w14:textId="30E9F362" w:rsidR="00A90D71" w:rsidRDefault="008732A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4857117" w:history="1">
            <w:r w:rsidR="00A90D71" w:rsidRPr="00EF2D04">
              <w:rPr>
                <w:rStyle w:val="aff2"/>
                <w:noProof/>
              </w:rPr>
              <w:t>Порядок расчета индекса</w:t>
            </w:r>
            <w:r w:rsidR="00A90D71">
              <w:rPr>
                <w:noProof/>
                <w:webHidden/>
              </w:rPr>
              <w:tab/>
            </w:r>
            <w:r w:rsidR="00A90D71">
              <w:rPr>
                <w:noProof/>
                <w:webHidden/>
              </w:rPr>
              <w:fldChar w:fldCharType="begin"/>
            </w:r>
            <w:r w:rsidR="00A90D71">
              <w:rPr>
                <w:noProof/>
                <w:webHidden/>
              </w:rPr>
              <w:instrText xml:space="preserve"> PAGEREF _Toc164857117 \h </w:instrText>
            </w:r>
            <w:r w:rsidR="00A90D71">
              <w:rPr>
                <w:noProof/>
                <w:webHidden/>
              </w:rPr>
            </w:r>
            <w:r w:rsidR="00A90D71">
              <w:rPr>
                <w:noProof/>
                <w:webHidden/>
              </w:rPr>
              <w:fldChar w:fldCharType="separate"/>
            </w:r>
            <w:r w:rsidR="00797B0E">
              <w:rPr>
                <w:noProof/>
                <w:webHidden/>
              </w:rPr>
              <w:t>2</w:t>
            </w:r>
            <w:r w:rsidR="00A90D71">
              <w:rPr>
                <w:noProof/>
                <w:webHidden/>
              </w:rPr>
              <w:fldChar w:fldCharType="end"/>
            </w:r>
          </w:hyperlink>
        </w:p>
        <w:p w14:paraId="3E16D0A9" w14:textId="4306E3D6" w:rsidR="00A90D71" w:rsidRDefault="008732A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4857118" w:history="1">
            <w:r w:rsidR="00A90D71" w:rsidRPr="00EF2D04">
              <w:rPr>
                <w:rStyle w:val="aff2"/>
                <w:noProof/>
              </w:rPr>
              <w:t>Классификация товаров и индикаторы-представители</w:t>
            </w:r>
            <w:r w:rsidR="00A90D71">
              <w:rPr>
                <w:noProof/>
                <w:webHidden/>
              </w:rPr>
              <w:tab/>
            </w:r>
            <w:r w:rsidR="00A90D71">
              <w:rPr>
                <w:noProof/>
                <w:webHidden/>
              </w:rPr>
              <w:fldChar w:fldCharType="begin"/>
            </w:r>
            <w:r w:rsidR="00A90D71">
              <w:rPr>
                <w:noProof/>
                <w:webHidden/>
              </w:rPr>
              <w:instrText xml:space="preserve"> PAGEREF _Toc164857118 \h </w:instrText>
            </w:r>
            <w:r w:rsidR="00A90D71">
              <w:rPr>
                <w:noProof/>
                <w:webHidden/>
              </w:rPr>
            </w:r>
            <w:r w:rsidR="00A90D71">
              <w:rPr>
                <w:noProof/>
                <w:webHidden/>
              </w:rPr>
              <w:fldChar w:fldCharType="separate"/>
            </w:r>
            <w:r w:rsidR="00797B0E">
              <w:rPr>
                <w:noProof/>
                <w:webHidden/>
              </w:rPr>
              <w:t>2</w:t>
            </w:r>
            <w:r w:rsidR="00A90D71">
              <w:rPr>
                <w:noProof/>
                <w:webHidden/>
              </w:rPr>
              <w:fldChar w:fldCharType="end"/>
            </w:r>
          </w:hyperlink>
        </w:p>
        <w:p w14:paraId="0C4FAC4E" w14:textId="5AB6DFF3" w:rsidR="00A90D71" w:rsidRDefault="008732A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4857119" w:history="1">
            <w:r w:rsidR="00A90D71" w:rsidRPr="00EF2D04">
              <w:rPr>
                <w:rStyle w:val="aff2"/>
                <w:noProof/>
              </w:rPr>
              <w:t>Расчет индивидуальных индексов цен на товары российского сырьевого экспорта</w:t>
            </w:r>
            <w:r w:rsidR="00A90D71">
              <w:rPr>
                <w:noProof/>
                <w:webHidden/>
              </w:rPr>
              <w:tab/>
            </w:r>
            <w:r w:rsidR="00A90D71">
              <w:rPr>
                <w:noProof/>
                <w:webHidden/>
              </w:rPr>
              <w:fldChar w:fldCharType="begin"/>
            </w:r>
            <w:r w:rsidR="00A90D71">
              <w:rPr>
                <w:noProof/>
                <w:webHidden/>
              </w:rPr>
              <w:instrText xml:space="preserve"> PAGEREF _Toc164857119 \h </w:instrText>
            </w:r>
            <w:r w:rsidR="00A90D71">
              <w:rPr>
                <w:noProof/>
                <w:webHidden/>
              </w:rPr>
            </w:r>
            <w:r w:rsidR="00A90D71">
              <w:rPr>
                <w:noProof/>
                <w:webHidden/>
              </w:rPr>
              <w:fldChar w:fldCharType="separate"/>
            </w:r>
            <w:r w:rsidR="00797B0E">
              <w:rPr>
                <w:noProof/>
                <w:webHidden/>
              </w:rPr>
              <w:t>4</w:t>
            </w:r>
            <w:r w:rsidR="00A90D71">
              <w:rPr>
                <w:noProof/>
                <w:webHidden/>
              </w:rPr>
              <w:fldChar w:fldCharType="end"/>
            </w:r>
          </w:hyperlink>
        </w:p>
        <w:p w14:paraId="6791D5B2" w14:textId="033593DC" w:rsidR="00A90D71" w:rsidRDefault="008732A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4857120" w:history="1">
            <w:r w:rsidR="00A90D71" w:rsidRPr="00EF2D04">
              <w:rPr>
                <w:rStyle w:val="aff2"/>
                <w:noProof/>
              </w:rPr>
              <w:t>Формирование системы весов</w:t>
            </w:r>
            <w:r w:rsidR="00A90D71">
              <w:rPr>
                <w:noProof/>
                <w:webHidden/>
              </w:rPr>
              <w:tab/>
            </w:r>
            <w:r w:rsidR="00A90D71">
              <w:rPr>
                <w:noProof/>
                <w:webHidden/>
              </w:rPr>
              <w:fldChar w:fldCharType="begin"/>
            </w:r>
            <w:r w:rsidR="00A90D71">
              <w:rPr>
                <w:noProof/>
                <w:webHidden/>
              </w:rPr>
              <w:instrText xml:space="preserve"> PAGEREF _Toc164857120 \h </w:instrText>
            </w:r>
            <w:r w:rsidR="00A90D71">
              <w:rPr>
                <w:noProof/>
                <w:webHidden/>
              </w:rPr>
            </w:r>
            <w:r w:rsidR="00A90D71">
              <w:rPr>
                <w:noProof/>
                <w:webHidden/>
              </w:rPr>
              <w:fldChar w:fldCharType="separate"/>
            </w:r>
            <w:r w:rsidR="00797B0E">
              <w:rPr>
                <w:noProof/>
                <w:webHidden/>
              </w:rPr>
              <w:t>4</w:t>
            </w:r>
            <w:r w:rsidR="00A90D71">
              <w:rPr>
                <w:noProof/>
                <w:webHidden/>
              </w:rPr>
              <w:fldChar w:fldCharType="end"/>
            </w:r>
          </w:hyperlink>
        </w:p>
        <w:p w14:paraId="60BFF1B1" w14:textId="0DEEB30A" w:rsidR="00A90D71" w:rsidRDefault="008732A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4857121" w:history="1">
            <w:r w:rsidR="00A90D71" w:rsidRPr="00EF2D04">
              <w:rPr>
                <w:rStyle w:val="aff2"/>
                <w:noProof/>
              </w:rPr>
              <w:t>Расчет агрегированного индекса цен на товары российского сырьевого экспорта</w:t>
            </w:r>
            <w:r w:rsidR="00A90D71">
              <w:rPr>
                <w:noProof/>
                <w:webHidden/>
              </w:rPr>
              <w:tab/>
            </w:r>
            <w:r w:rsidR="00A90D71">
              <w:rPr>
                <w:noProof/>
                <w:webHidden/>
              </w:rPr>
              <w:fldChar w:fldCharType="begin"/>
            </w:r>
            <w:r w:rsidR="00A90D71">
              <w:rPr>
                <w:noProof/>
                <w:webHidden/>
              </w:rPr>
              <w:instrText xml:space="preserve"> PAGEREF _Toc164857121 \h </w:instrText>
            </w:r>
            <w:r w:rsidR="00A90D71">
              <w:rPr>
                <w:noProof/>
                <w:webHidden/>
              </w:rPr>
            </w:r>
            <w:r w:rsidR="00A90D71">
              <w:rPr>
                <w:noProof/>
                <w:webHidden/>
              </w:rPr>
              <w:fldChar w:fldCharType="separate"/>
            </w:r>
            <w:r w:rsidR="00797B0E">
              <w:rPr>
                <w:noProof/>
                <w:webHidden/>
              </w:rPr>
              <w:t>6</w:t>
            </w:r>
            <w:r w:rsidR="00A90D71">
              <w:rPr>
                <w:noProof/>
                <w:webHidden/>
              </w:rPr>
              <w:fldChar w:fldCharType="end"/>
            </w:r>
          </w:hyperlink>
        </w:p>
        <w:p w14:paraId="3EA7FFF2" w14:textId="1C19AA5B" w:rsidR="00A90D71" w:rsidRDefault="008732A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4857122" w:history="1">
            <w:r w:rsidR="00A90D71" w:rsidRPr="00EF2D04">
              <w:rPr>
                <w:rStyle w:val="aff2"/>
                <w:noProof/>
              </w:rPr>
              <w:t>Корректировка данных</w:t>
            </w:r>
            <w:r w:rsidR="00A90D71">
              <w:rPr>
                <w:noProof/>
                <w:webHidden/>
              </w:rPr>
              <w:tab/>
            </w:r>
            <w:r w:rsidR="00A90D71">
              <w:rPr>
                <w:noProof/>
                <w:webHidden/>
              </w:rPr>
              <w:fldChar w:fldCharType="begin"/>
            </w:r>
            <w:r w:rsidR="00A90D71">
              <w:rPr>
                <w:noProof/>
                <w:webHidden/>
              </w:rPr>
              <w:instrText xml:space="preserve"> PAGEREF _Toc164857122 \h </w:instrText>
            </w:r>
            <w:r w:rsidR="00A90D71">
              <w:rPr>
                <w:noProof/>
                <w:webHidden/>
              </w:rPr>
            </w:r>
            <w:r w:rsidR="00A90D71">
              <w:rPr>
                <w:noProof/>
                <w:webHidden/>
              </w:rPr>
              <w:fldChar w:fldCharType="separate"/>
            </w:r>
            <w:r w:rsidR="00797B0E">
              <w:rPr>
                <w:noProof/>
                <w:webHidden/>
              </w:rPr>
              <w:t>7</w:t>
            </w:r>
            <w:r w:rsidR="00A90D71">
              <w:rPr>
                <w:noProof/>
                <w:webHidden/>
              </w:rPr>
              <w:fldChar w:fldCharType="end"/>
            </w:r>
          </w:hyperlink>
        </w:p>
        <w:p w14:paraId="4E12CF4A" w14:textId="3CE77FE6" w:rsidR="00A90D71" w:rsidRDefault="008732A2">
          <w:pPr>
            <w:pStyle w:val="2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4857123" w:history="1">
            <w:r w:rsidR="00A90D71" w:rsidRPr="00EF2D04">
              <w:rPr>
                <w:rStyle w:val="aff2"/>
                <w:noProof/>
              </w:rPr>
              <w:t>Принципы формирования методологии и внесения изменений</w:t>
            </w:r>
            <w:r w:rsidR="00A90D71">
              <w:rPr>
                <w:noProof/>
                <w:webHidden/>
              </w:rPr>
              <w:tab/>
            </w:r>
            <w:r w:rsidR="00A90D71">
              <w:rPr>
                <w:noProof/>
                <w:webHidden/>
              </w:rPr>
              <w:fldChar w:fldCharType="begin"/>
            </w:r>
            <w:r w:rsidR="00A90D71">
              <w:rPr>
                <w:noProof/>
                <w:webHidden/>
              </w:rPr>
              <w:instrText xml:space="preserve"> PAGEREF _Toc164857123 \h </w:instrText>
            </w:r>
            <w:r w:rsidR="00A90D71">
              <w:rPr>
                <w:noProof/>
                <w:webHidden/>
              </w:rPr>
            </w:r>
            <w:r w:rsidR="00A90D71">
              <w:rPr>
                <w:noProof/>
                <w:webHidden/>
              </w:rPr>
              <w:fldChar w:fldCharType="separate"/>
            </w:r>
            <w:r w:rsidR="00797B0E">
              <w:rPr>
                <w:noProof/>
                <w:webHidden/>
              </w:rPr>
              <w:t>7</w:t>
            </w:r>
            <w:r w:rsidR="00A90D71">
              <w:rPr>
                <w:noProof/>
                <w:webHidden/>
              </w:rPr>
              <w:fldChar w:fldCharType="end"/>
            </w:r>
          </w:hyperlink>
        </w:p>
        <w:p w14:paraId="2DE38181" w14:textId="5981A4F9" w:rsidR="00C00D81" w:rsidRDefault="00691FC8" w:rsidP="001D3991">
          <w:pPr>
            <w:pStyle w:val="aff1"/>
            <w:jc w:val="both"/>
          </w:pPr>
          <w:r w:rsidRPr="00691FC8">
            <w:rPr>
              <w:color w:val="424242"/>
            </w:rPr>
            <w:fldChar w:fldCharType="end"/>
          </w:r>
        </w:p>
      </w:sdtContent>
    </w:sdt>
    <w:p w14:paraId="62A0B84E" w14:textId="425F33F0" w:rsidR="007A72DA" w:rsidRPr="007A72DA" w:rsidRDefault="007A72DA" w:rsidP="00C50147">
      <w:pPr>
        <w:pStyle w:val="2"/>
      </w:pPr>
    </w:p>
    <w:p w14:paraId="4E592DF7" w14:textId="77777777" w:rsidR="00825D00" w:rsidRPr="00AD440F" w:rsidRDefault="00825D00" w:rsidP="001D3991">
      <w:pPr>
        <w:jc w:val="both"/>
      </w:pPr>
    </w:p>
    <w:p w14:paraId="0F0470E3" w14:textId="77777777" w:rsidR="00A91368" w:rsidRDefault="00A91368" w:rsidP="001D3991">
      <w:pPr>
        <w:pStyle w:val="1"/>
        <w:jc w:val="both"/>
      </w:pPr>
    </w:p>
    <w:p w14:paraId="7D9CC8A1" w14:textId="77777777" w:rsidR="00A91368" w:rsidRDefault="00A91368" w:rsidP="001D3991">
      <w:pPr>
        <w:pStyle w:val="1"/>
        <w:jc w:val="both"/>
      </w:pPr>
    </w:p>
    <w:p w14:paraId="100DB34B" w14:textId="4B8028F8" w:rsidR="007A72DA" w:rsidRDefault="007A72DA" w:rsidP="001D3991">
      <w:pPr>
        <w:jc w:val="both"/>
        <w:rPr>
          <w:rFonts w:eastAsiaTheme="majorEastAsia" w:cstheme="majorBidi"/>
          <w:b/>
          <w:color w:val="2455D8"/>
          <w:sz w:val="28"/>
          <w:szCs w:val="32"/>
        </w:rPr>
      </w:pPr>
    </w:p>
    <w:p w14:paraId="1A4C79C9" w14:textId="592C28A1" w:rsidR="00D247EA" w:rsidRDefault="00D247EA" w:rsidP="001D3991">
      <w:pPr>
        <w:tabs>
          <w:tab w:val="left" w:pos="6645"/>
        </w:tabs>
        <w:jc w:val="both"/>
        <w:rPr>
          <w:lang w:val="en-US"/>
        </w:rPr>
      </w:pPr>
    </w:p>
    <w:p w14:paraId="0E1F98A9" w14:textId="5359CDA2" w:rsidR="00691FC8" w:rsidRDefault="00691FC8" w:rsidP="001D3991">
      <w:pPr>
        <w:tabs>
          <w:tab w:val="left" w:pos="6645"/>
        </w:tabs>
        <w:jc w:val="both"/>
        <w:rPr>
          <w:lang w:val="en-US"/>
        </w:rPr>
      </w:pPr>
    </w:p>
    <w:p w14:paraId="373298B8" w14:textId="3D6C9BAE" w:rsidR="00691FC8" w:rsidRDefault="00691FC8" w:rsidP="001D3991">
      <w:pPr>
        <w:tabs>
          <w:tab w:val="left" w:pos="6645"/>
        </w:tabs>
        <w:jc w:val="both"/>
        <w:rPr>
          <w:lang w:val="en-US"/>
        </w:rPr>
      </w:pPr>
    </w:p>
    <w:p w14:paraId="0A9D3443" w14:textId="77777777" w:rsidR="00691FC8" w:rsidRDefault="00691FC8" w:rsidP="001D3991">
      <w:pPr>
        <w:tabs>
          <w:tab w:val="left" w:pos="6645"/>
        </w:tabs>
        <w:jc w:val="both"/>
        <w:rPr>
          <w:lang w:val="en-US"/>
        </w:rPr>
      </w:pPr>
    </w:p>
    <w:p w14:paraId="3E61E68A" w14:textId="77777777" w:rsidR="00F1688E" w:rsidRDefault="00F1688E" w:rsidP="001D3991">
      <w:pPr>
        <w:tabs>
          <w:tab w:val="left" w:pos="6645"/>
        </w:tabs>
        <w:jc w:val="both"/>
        <w:rPr>
          <w:lang w:val="en-US"/>
        </w:rPr>
      </w:pPr>
    </w:p>
    <w:p w14:paraId="4AD18041" w14:textId="77777777" w:rsidR="00F1688E" w:rsidRDefault="00F1688E" w:rsidP="001D3991">
      <w:pPr>
        <w:tabs>
          <w:tab w:val="left" w:pos="6645"/>
        </w:tabs>
        <w:jc w:val="both"/>
        <w:rPr>
          <w:lang w:val="en-US"/>
        </w:rPr>
      </w:pPr>
    </w:p>
    <w:p w14:paraId="47F2D392" w14:textId="7172591C" w:rsidR="00BC58E6" w:rsidRPr="00DD605F" w:rsidRDefault="004C76DC" w:rsidP="001D3991">
      <w:pPr>
        <w:tabs>
          <w:tab w:val="left" w:pos="6645"/>
        </w:tabs>
        <w:jc w:val="both"/>
        <w:rPr>
          <w:lang w:val="en-US"/>
        </w:rPr>
      </w:pPr>
      <w:r>
        <w:rPr>
          <w:lang w:val="en-US"/>
        </w:rPr>
        <w:tab/>
      </w:r>
    </w:p>
    <w:p w14:paraId="7C8C9444" w14:textId="263B66D5" w:rsidR="006A4D4A" w:rsidRPr="005D3116" w:rsidRDefault="001D3991" w:rsidP="00C50147">
      <w:pPr>
        <w:pStyle w:val="2"/>
      </w:pPr>
      <w:bookmarkStart w:id="0" w:name="_Toc164857116"/>
      <w:r w:rsidRPr="005D3116">
        <w:lastRenderedPageBreak/>
        <w:t>Определение и область применения</w:t>
      </w:r>
      <w:bookmarkEnd w:id="0"/>
    </w:p>
    <w:p w14:paraId="46DC2F35" w14:textId="1A230B19" w:rsidR="001D3991" w:rsidRPr="00A805E8" w:rsidRDefault="00F1688E" w:rsidP="00F1688E">
      <w:pPr>
        <w:jc w:val="both"/>
        <w:rPr>
          <w:color w:val="424242"/>
        </w:rPr>
      </w:pPr>
      <w:r w:rsidRPr="00A805E8">
        <w:rPr>
          <w:color w:val="424242"/>
        </w:rPr>
        <w:t>Данная методология Центра ценовых индексов</w:t>
      </w:r>
      <w:r w:rsidR="000A5714" w:rsidRPr="00A805E8">
        <w:rPr>
          <w:color w:val="424242"/>
        </w:rPr>
        <w:t xml:space="preserve"> (ЦЦИ)</w:t>
      </w:r>
      <w:r w:rsidR="001D3991" w:rsidRPr="00A805E8">
        <w:rPr>
          <w:color w:val="424242"/>
        </w:rPr>
        <w:t xml:space="preserve"> определяет цели и порядок расчета </w:t>
      </w:r>
      <w:r w:rsidR="00836680" w:rsidRPr="00A805E8">
        <w:rPr>
          <w:color w:val="424242"/>
        </w:rPr>
        <w:t>И</w:t>
      </w:r>
      <w:r w:rsidR="001D3991" w:rsidRPr="00A805E8">
        <w:rPr>
          <w:color w:val="424242"/>
        </w:rPr>
        <w:t>ндекса цен сырьевого экспорта для Российской Федерации</w:t>
      </w:r>
      <w:r w:rsidR="00836680" w:rsidRPr="00A805E8">
        <w:rPr>
          <w:color w:val="424242"/>
        </w:rPr>
        <w:t xml:space="preserve"> (ЦЦИ Сырьевой индекс, </w:t>
      </w:r>
      <w:r w:rsidR="00836680" w:rsidRPr="00A805E8">
        <w:rPr>
          <w:color w:val="424242"/>
          <w:lang w:val="en-US"/>
        </w:rPr>
        <w:t>PBC</w:t>
      </w:r>
      <w:r w:rsidR="00836680" w:rsidRPr="00A805E8">
        <w:rPr>
          <w:color w:val="424242"/>
        </w:rPr>
        <w:t xml:space="preserve"> </w:t>
      </w:r>
      <w:r w:rsidR="00836680" w:rsidRPr="00A805E8">
        <w:rPr>
          <w:color w:val="424242"/>
          <w:lang w:val="en-US"/>
        </w:rPr>
        <w:t>Commodity</w:t>
      </w:r>
      <w:r w:rsidR="00836680" w:rsidRPr="00A805E8">
        <w:rPr>
          <w:color w:val="424242"/>
        </w:rPr>
        <w:t xml:space="preserve"> </w:t>
      </w:r>
      <w:r w:rsidR="00836680" w:rsidRPr="00A805E8">
        <w:rPr>
          <w:color w:val="424242"/>
          <w:lang w:val="en-US"/>
        </w:rPr>
        <w:t>Index</w:t>
      </w:r>
      <w:r w:rsidR="00836680" w:rsidRPr="00A805E8">
        <w:rPr>
          <w:color w:val="424242"/>
        </w:rPr>
        <w:t>)</w:t>
      </w:r>
      <w:r w:rsidR="001D3991" w:rsidRPr="00A805E8">
        <w:rPr>
          <w:color w:val="424242"/>
        </w:rPr>
        <w:t>, объясняет подходы, использованные при его построении, а также содержит примеры прак</w:t>
      </w:r>
      <w:r w:rsidRPr="00A805E8">
        <w:rPr>
          <w:color w:val="424242"/>
        </w:rPr>
        <w:t>тического использования индекса.</w:t>
      </w:r>
    </w:p>
    <w:p w14:paraId="5F07C987" w14:textId="77777777" w:rsidR="00F1688E" w:rsidRPr="00A805E8" w:rsidRDefault="00F1688E" w:rsidP="001D3991">
      <w:pPr>
        <w:rPr>
          <w:color w:val="424242"/>
        </w:rPr>
        <w:sectPr w:rsidR="00F1688E" w:rsidRPr="00A805E8" w:rsidSect="001D3991"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720" w:right="720" w:bottom="720" w:left="720" w:header="2268" w:footer="283" w:gutter="0"/>
          <w:cols w:space="708"/>
          <w:titlePg/>
          <w:docGrid w:linePitch="381"/>
        </w:sectPr>
      </w:pPr>
    </w:p>
    <w:p w14:paraId="19978812" w14:textId="35BA2AB4" w:rsidR="00930ED3" w:rsidRPr="00A805E8" w:rsidRDefault="00836680" w:rsidP="001D3991">
      <w:pPr>
        <w:jc w:val="both"/>
        <w:rPr>
          <w:color w:val="424242"/>
          <w:szCs w:val="24"/>
        </w:rPr>
      </w:pPr>
      <w:r w:rsidRPr="00A805E8">
        <w:rPr>
          <w:color w:val="424242"/>
        </w:rPr>
        <w:t>ЦЦИ Сырьевой индекс</w:t>
      </w:r>
      <w:r w:rsidR="001D3991" w:rsidRPr="00A805E8">
        <w:rPr>
          <w:b/>
          <w:color w:val="424242"/>
          <w:szCs w:val="24"/>
        </w:rPr>
        <w:t xml:space="preserve"> </w:t>
      </w:r>
      <w:r w:rsidR="00E969A1" w:rsidRPr="00A805E8">
        <w:rPr>
          <w:color w:val="424242"/>
          <w:szCs w:val="24"/>
        </w:rPr>
        <w:t>отражает изменение во времени цен на товары российского экспорта</w:t>
      </w:r>
      <w:r w:rsidR="00F1688E" w:rsidRPr="00A805E8">
        <w:rPr>
          <w:color w:val="424242"/>
          <w:szCs w:val="24"/>
        </w:rPr>
        <w:t xml:space="preserve"> сырьевых товаров</w:t>
      </w:r>
      <w:r w:rsidR="00E969A1" w:rsidRPr="00A805E8">
        <w:rPr>
          <w:color w:val="424242"/>
          <w:szCs w:val="24"/>
        </w:rPr>
        <w:t xml:space="preserve"> с предпосылкой о сохранении структуры объемов экспорта</w:t>
      </w:r>
      <w:r w:rsidRPr="00A805E8">
        <w:rPr>
          <w:color w:val="424242"/>
          <w:szCs w:val="24"/>
        </w:rPr>
        <w:t xml:space="preserve"> </w:t>
      </w:r>
      <w:r w:rsidR="00930ED3" w:rsidRPr="00A805E8">
        <w:rPr>
          <w:color w:val="424242"/>
          <w:szCs w:val="24"/>
        </w:rPr>
        <w:t>за</w:t>
      </w:r>
      <w:r w:rsidRPr="00A805E8">
        <w:rPr>
          <w:color w:val="424242"/>
          <w:szCs w:val="24"/>
        </w:rPr>
        <w:t xml:space="preserve"> период </w:t>
      </w:r>
      <w:r w:rsidR="00930ED3" w:rsidRPr="00A805E8">
        <w:rPr>
          <w:color w:val="424242"/>
          <w:szCs w:val="24"/>
        </w:rPr>
        <w:t>усреднения весовой базы, обновляемой</w:t>
      </w:r>
      <w:r w:rsidR="00AD440F" w:rsidRPr="00A805E8">
        <w:rPr>
          <w:color w:val="424242"/>
          <w:szCs w:val="24"/>
        </w:rPr>
        <w:t xml:space="preserve"> ежегодно</w:t>
      </w:r>
      <w:r w:rsidR="00E969A1" w:rsidRPr="00A805E8">
        <w:rPr>
          <w:color w:val="424242"/>
          <w:szCs w:val="24"/>
        </w:rPr>
        <w:t xml:space="preserve">. </w:t>
      </w:r>
      <w:r w:rsidRPr="00A805E8">
        <w:rPr>
          <w:color w:val="424242"/>
          <w:szCs w:val="24"/>
        </w:rPr>
        <w:t xml:space="preserve">  </w:t>
      </w:r>
      <w:r w:rsidR="00930ED3" w:rsidRPr="00A805E8">
        <w:rPr>
          <w:color w:val="424242"/>
          <w:szCs w:val="24"/>
        </w:rPr>
        <w:t xml:space="preserve"> </w:t>
      </w:r>
    </w:p>
    <w:p w14:paraId="5F60A307" w14:textId="55118E4E" w:rsidR="00E969A1" w:rsidRPr="00A805E8" w:rsidRDefault="00E969A1" w:rsidP="001D3991">
      <w:pPr>
        <w:jc w:val="both"/>
        <w:rPr>
          <w:color w:val="424242"/>
          <w:szCs w:val="24"/>
        </w:rPr>
      </w:pPr>
      <w:r w:rsidRPr="00A805E8">
        <w:rPr>
          <w:color w:val="424242"/>
          <w:szCs w:val="24"/>
        </w:rPr>
        <w:t xml:space="preserve">Источником информации о ценах на сырьевые товары российского экспорта являются </w:t>
      </w:r>
      <w:r w:rsidR="00836680" w:rsidRPr="00A805E8">
        <w:rPr>
          <w:color w:val="424242"/>
          <w:szCs w:val="24"/>
        </w:rPr>
        <w:t>ценовые индикаторы товарно-сырьевых рынков, публикуемы</w:t>
      </w:r>
      <w:r w:rsidR="008A7A9D" w:rsidRPr="00A805E8">
        <w:rPr>
          <w:color w:val="424242"/>
          <w:szCs w:val="24"/>
        </w:rPr>
        <w:t>е Центром ценовых индексов</w:t>
      </w:r>
      <w:r w:rsidRPr="00A805E8">
        <w:rPr>
          <w:color w:val="424242"/>
          <w:szCs w:val="24"/>
        </w:rPr>
        <w:t>.</w:t>
      </w:r>
      <w:r w:rsidR="00836680" w:rsidRPr="00A805E8">
        <w:rPr>
          <w:color w:val="424242"/>
          <w:szCs w:val="24"/>
        </w:rPr>
        <w:t xml:space="preserve"> Алгоритмы определения ценовых индикаторов товарно-сырьевых рынков описаны в соответствующих отраслевых </w:t>
      </w:r>
      <w:r w:rsidR="008A7A9D" w:rsidRPr="00A805E8">
        <w:rPr>
          <w:color w:val="424242"/>
          <w:szCs w:val="24"/>
        </w:rPr>
        <w:t>методологиях и спецификациях Центра ценовых индексов</w:t>
      </w:r>
      <w:r w:rsidR="00836680" w:rsidRPr="00A805E8">
        <w:rPr>
          <w:color w:val="424242"/>
          <w:szCs w:val="24"/>
        </w:rPr>
        <w:t xml:space="preserve">. </w:t>
      </w:r>
    </w:p>
    <w:p w14:paraId="725EA225" w14:textId="24952BD6" w:rsidR="001D3991" w:rsidRPr="00A805E8" w:rsidRDefault="00836680" w:rsidP="001D3991">
      <w:pPr>
        <w:jc w:val="both"/>
        <w:rPr>
          <w:color w:val="424242"/>
          <w:szCs w:val="24"/>
        </w:rPr>
      </w:pPr>
      <w:r w:rsidRPr="00A805E8">
        <w:rPr>
          <w:color w:val="424242"/>
          <w:szCs w:val="24"/>
        </w:rPr>
        <w:t>ЦЦИ Сырьевой и</w:t>
      </w:r>
      <w:r w:rsidR="00E969A1" w:rsidRPr="00A805E8">
        <w:rPr>
          <w:color w:val="424242"/>
          <w:szCs w:val="24"/>
        </w:rPr>
        <w:t>ндекс цен рассчитывается на еже</w:t>
      </w:r>
      <w:r w:rsidRPr="00A805E8">
        <w:rPr>
          <w:color w:val="424242"/>
          <w:szCs w:val="24"/>
        </w:rPr>
        <w:t>н</w:t>
      </w:r>
      <w:r w:rsidR="00E969A1" w:rsidRPr="00A805E8">
        <w:rPr>
          <w:color w:val="424242"/>
          <w:szCs w:val="24"/>
        </w:rPr>
        <w:t>е</w:t>
      </w:r>
      <w:r w:rsidRPr="00A805E8">
        <w:rPr>
          <w:color w:val="424242"/>
          <w:szCs w:val="24"/>
        </w:rPr>
        <w:t>дельн</w:t>
      </w:r>
      <w:r w:rsidR="00E969A1" w:rsidRPr="00A805E8">
        <w:rPr>
          <w:color w:val="424242"/>
          <w:szCs w:val="24"/>
        </w:rPr>
        <w:t>ой</w:t>
      </w:r>
      <w:r w:rsidR="00A90D71" w:rsidRPr="00A805E8">
        <w:rPr>
          <w:color w:val="424242"/>
          <w:szCs w:val="24"/>
        </w:rPr>
        <w:t xml:space="preserve"> и ежемесячной</w:t>
      </w:r>
      <w:r w:rsidR="00E969A1" w:rsidRPr="00A805E8">
        <w:rPr>
          <w:color w:val="424242"/>
          <w:szCs w:val="24"/>
        </w:rPr>
        <w:t xml:space="preserve"> основе и является</w:t>
      </w:r>
      <w:r w:rsidR="00AF6BD3" w:rsidRPr="00A805E8">
        <w:rPr>
          <w:color w:val="424242"/>
          <w:szCs w:val="24"/>
        </w:rPr>
        <w:t xml:space="preserve"> независимым оперативным</w:t>
      </w:r>
      <w:r w:rsidR="00E969A1" w:rsidRPr="00A805E8">
        <w:rPr>
          <w:color w:val="424242"/>
          <w:szCs w:val="24"/>
        </w:rPr>
        <w:t xml:space="preserve"> показателем для оценки стоимости сырьевого экспорта</w:t>
      </w:r>
      <w:r w:rsidRPr="00A805E8">
        <w:rPr>
          <w:color w:val="424242"/>
          <w:szCs w:val="24"/>
        </w:rPr>
        <w:t xml:space="preserve"> Российской Федерации</w:t>
      </w:r>
      <w:r w:rsidR="00E969A1" w:rsidRPr="00A805E8">
        <w:rPr>
          <w:color w:val="424242"/>
          <w:szCs w:val="24"/>
        </w:rPr>
        <w:t xml:space="preserve"> и объемов продаж валютной выручки крупнейших экспортеров. </w:t>
      </w:r>
    </w:p>
    <w:p w14:paraId="38CAB164" w14:textId="67A4EE11" w:rsidR="00F1688E" w:rsidRPr="00A805E8" w:rsidRDefault="00836680" w:rsidP="001D3991">
      <w:pPr>
        <w:jc w:val="both"/>
        <w:rPr>
          <w:color w:val="424242"/>
          <w:szCs w:val="24"/>
        </w:rPr>
      </w:pPr>
      <w:r w:rsidRPr="00A805E8">
        <w:rPr>
          <w:color w:val="424242"/>
          <w:szCs w:val="24"/>
        </w:rPr>
        <w:t xml:space="preserve">ЦЦИ Сырьевой индекс </w:t>
      </w:r>
      <w:r w:rsidR="005D3116" w:rsidRPr="00A805E8">
        <w:rPr>
          <w:color w:val="424242"/>
          <w:szCs w:val="24"/>
        </w:rPr>
        <w:t>отражает динамику цен для</w:t>
      </w:r>
      <w:r w:rsidR="00F1688E" w:rsidRPr="00A805E8">
        <w:rPr>
          <w:color w:val="424242"/>
          <w:szCs w:val="24"/>
        </w:rPr>
        <w:t xml:space="preserve"> более 50% совокупного экспорт</w:t>
      </w:r>
      <w:r w:rsidR="000A5714" w:rsidRPr="00A805E8">
        <w:rPr>
          <w:color w:val="424242"/>
          <w:szCs w:val="24"/>
        </w:rPr>
        <w:t>а Российской Федерации и более 6</w:t>
      </w:r>
      <w:r w:rsidR="00F1688E" w:rsidRPr="00A805E8">
        <w:rPr>
          <w:color w:val="424242"/>
          <w:szCs w:val="24"/>
        </w:rPr>
        <w:t>0% сырьевого экспорта Российской Федерации.</w:t>
      </w:r>
    </w:p>
    <w:p w14:paraId="053ABBC2" w14:textId="20D8E85F" w:rsidR="005648CF" w:rsidRPr="00970573" w:rsidRDefault="001D3991" w:rsidP="00C50147">
      <w:pPr>
        <w:pStyle w:val="2"/>
      </w:pPr>
      <w:bookmarkStart w:id="1" w:name="_Toc164857117"/>
      <w:r>
        <w:t>Порядок расчета индекса</w:t>
      </w:r>
      <w:bookmarkEnd w:id="1"/>
    </w:p>
    <w:p w14:paraId="729C685B" w14:textId="445D5E4E" w:rsidR="001D3991" w:rsidRPr="00F1688E" w:rsidRDefault="001D3991" w:rsidP="00F1688E">
      <w:bookmarkStart w:id="2" w:name="_Toc125636761"/>
      <w:r w:rsidRPr="00F1688E">
        <w:rPr>
          <w:b/>
        </w:rPr>
        <w:t>1 этап</w:t>
      </w:r>
      <w:r>
        <w:t xml:space="preserve"> </w:t>
      </w:r>
      <w:r w:rsidRPr="00E969A1">
        <w:t>– сбор информации о ценах на товары российского сырьевого экспорта</w:t>
      </w:r>
      <w:r w:rsidR="00F1688E" w:rsidRPr="00F1688E">
        <w:t>;</w:t>
      </w:r>
    </w:p>
    <w:p w14:paraId="68DFDA0E" w14:textId="3849837A" w:rsidR="001D3991" w:rsidRPr="00F1688E" w:rsidRDefault="001D3991" w:rsidP="00F1688E">
      <w:r w:rsidRPr="00F1688E">
        <w:rPr>
          <w:b/>
        </w:rPr>
        <w:t>2 этап</w:t>
      </w:r>
      <w:r>
        <w:t xml:space="preserve"> – расчет индивидуальных индексов цен на товары российского сырьевого экспорта</w:t>
      </w:r>
      <w:r w:rsidR="00F1688E" w:rsidRPr="00F1688E">
        <w:t>;</w:t>
      </w:r>
    </w:p>
    <w:p w14:paraId="0D97ACB3" w14:textId="7BB02B52" w:rsidR="001D3991" w:rsidRPr="00F1688E" w:rsidRDefault="001D3991" w:rsidP="00F1688E">
      <w:r w:rsidRPr="00F1688E">
        <w:rPr>
          <w:b/>
        </w:rPr>
        <w:t>3 этап</w:t>
      </w:r>
      <w:r>
        <w:t xml:space="preserve"> – </w:t>
      </w:r>
      <w:r w:rsidR="00E969A1">
        <w:t>формирование системы весов</w:t>
      </w:r>
      <w:r w:rsidR="00F1688E" w:rsidRPr="00F1688E">
        <w:t>;</w:t>
      </w:r>
    </w:p>
    <w:p w14:paraId="4F24EB22" w14:textId="7D878DD0" w:rsidR="001D3991" w:rsidRPr="00F1688E" w:rsidRDefault="001D3991" w:rsidP="00F1688E">
      <w:r w:rsidRPr="00F1688E">
        <w:rPr>
          <w:b/>
        </w:rPr>
        <w:t>4 этап</w:t>
      </w:r>
      <w:r>
        <w:t xml:space="preserve"> - расчет агрегированного индекса цен на товары российского сырьевого экспорта</w:t>
      </w:r>
      <w:r w:rsidR="00F1688E" w:rsidRPr="00F1688E">
        <w:t>;</w:t>
      </w:r>
    </w:p>
    <w:p w14:paraId="3E790934" w14:textId="3FB98B5E" w:rsidR="001D3991" w:rsidRPr="000A5714" w:rsidRDefault="001D3991" w:rsidP="00F1688E">
      <w:r w:rsidRPr="00F1688E">
        <w:rPr>
          <w:b/>
        </w:rPr>
        <w:t>5 этап</w:t>
      </w:r>
      <w:r>
        <w:t xml:space="preserve"> – </w:t>
      </w:r>
      <w:bookmarkStart w:id="3" w:name="_GoBack"/>
      <w:r>
        <w:t>контроль качества</w:t>
      </w:r>
      <w:r w:rsidR="00F1688E" w:rsidRPr="000A5714">
        <w:t>.</w:t>
      </w:r>
      <w:bookmarkEnd w:id="3"/>
    </w:p>
    <w:p w14:paraId="780C35F0" w14:textId="64F56726" w:rsidR="00E969A1" w:rsidRPr="001D3991" w:rsidRDefault="00E969A1" w:rsidP="00F1688E"/>
    <w:p w14:paraId="01CDF4CF" w14:textId="00DD3456" w:rsidR="00D9597F" w:rsidRDefault="00836680" w:rsidP="00C50147">
      <w:pPr>
        <w:pStyle w:val="2"/>
      </w:pPr>
      <w:bookmarkStart w:id="4" w:name="_Toc164857118"/>
      <w:bookmarkEnd w:id="2"/>
      <w:r>
        <w:t>Классификаци</w:t>
      </w:r>
      <w:r w:rsidR="005266B8">
        <w:t>я товаров и индикаторы</w:t>
      </w:r>
      <w:r>
        <w:t>-представители</w:t>
      </w:r>
      <w:bookmarkEnd w:id="4"/>
      <w:r w:rsidR="001D3991">
        <w:t xml:space="preserve"> </w:t>
      </w:r>
    </w:p>
    <w:p w14:paraId="1A78A7BA" w14:textId="78466B10" w:rsidR="00836680" w:rsidRDefault="00836680" w:rsidP="00F1688E">
      <w:pPr>
        <w:jc w:val="both"/>
        <w:rPr>
          <w:color w:val="424242"/>
          <w:szCs w:val="24"/>
        </w:rPr>
      </w:pPr>
      <w:r>
        <w:rPr>
          <w:color w:val="424242"/>
          <w:szCs w:val="24"/>
        </w:rPr>
        <w:t xml:space="preserve">Классификация товаров как сырьевых основана на принятой в России и мире практике отнесения товаров к группе сырья или </w:t>
      </w:r>
      <w:r>
        <w:rPr>
          <w:color w:val="424242"/>
          <w:szCs w:val="24"/>
          <w:lang w:val="en-US"/>
        </w:rPr>
        <w:t>commodities</w:t>
      </w:r>
      <w:r>
        <w:rPr>
          <w:color w:val="424242"/>
          <w:szCs w:val="24"/>
        </w:rPr>
        <w:t xml:space="preserve">. К таким товарам относится продукция первичного сектора экономики — добычи полезных ископаемых, сельского, лесного хозяйства и рыболовства, а также продукция их первого передела. </w:t>
      </w:r>
      <w:r w:rsidR="009462EB">
        <w:rPr>
          <w:color w:val="424242"/>
          <w:szCs w:val="24"/>
        </w:rPr>
        <w:t>Для таких товаров характерно</w:t>
      </w:r>
      <w:r>
        <w:rPr>
          <w:color w:val="424242"/>
          <w:szCs w:val="24"/>
        </w:rPr>
        <w:t>:</w:t>
      </w:r>
    </w:p>
    <w:p w14:paraId="7F29A553" w14:textId="25D2AA4A" w:rsidR="00836680" w:rsidRDefault="009462EB" w:rsidP="005D3116">
      <w:r>
        <w:t>1) влияние природных факторов на предложение</w:t>
      </w:r>
      <w:r w:rsidR="00836680" w:rsidRPr="00836680">
        <w:t xml:space="preserve"> товаров</w:t>
      </w:r>
      <w:r w:rsidR="00836680">
        <w:t>;</w:t>
      </w:r>
    </w:p>
    <w:p w14:paraId="14830C70" w14:textId="1D7F7BE6" w:rsidR="00836680" w:rsidRDefault="009462EB" w:rsidP="005D3116">
      <w:r>
        <w:t>2) низкая эластичность</w:t>
      </w:r>
      <w:r w:rsidR="00836680">
        <w:t xml:space="preserve"> спроса и предложения</w:t>
      </w:r>
      <w:r>
        <w:t xml:space="preserve"> товаров, что приводит к высокой волатильности цен</w:t>
      </w:r>
      <w:r w:rsidR="00836680">
        <w:t xml:space="preserve">. </w:t>
      </w:r>
    </w:p>
    <w:p w14:paraId="6CCC8C73" w14:textId="7640E5B0" w:rsidR="008A7A9D" w:rsidRDefault="00E969A1" w:rsidP="00F1688E">
      <w:pPr>
        <w:jc w:val="both"/>
      </w:pPr>
      <w:r>
        <w:t xml:space="preserve">Основой для расчета агрегированного индекса цен являются средние цены на товары, </w:t>
      </w:r>
      <w:r w:rsidR="008A7A9D">
        <w:t>публикуемые</w:t>
      </w:r>
      <w:r w:rsidR="000A5714">
        <w:t xml:space="preserve"> Центр</w:t>
      </w:r>
      <w:r w:rsidR="008A7A9D">
        <w:t>ом</w:t>
      </w:r>
      <w:r w:rsidR="000A5714">
        <w:t xml:space="preserve"> ценовых и</w:t>
      </w:r>
      <w:r>
        <w:t>ндексов. В Таблице 1 представлены товары-представители</w:t>
      </w:r>
      <w:r w:rsidR="008A7A9D">
        <w:t xml:space="preserve"> и индикаторы-представители</w:t>
      </w:r>
      <w:r>
        <w:t xml:space="preserve">, средние цены которых </w:t>
      </w:r>
      <w:r w:rsidR="00224A51">
        <w:t xml:space="preserve">используются при </w:t>
      </w:r>
      <w:r w:rsidR="00224A51">
        <w:lastRenderedPageBreak/>
        <w:t>расчете сводного индекса</w:t>
      </w:r>
      <w:r w:rsidR="005768B3">
        <w:t xml:space="preserve">. </w:t>
      </w:r>
      <w:r w:rsidR="008A7A9D" w:rsidRPr="008A7A9D">
        <w:t>Для</w:t>
      </w:r>
      <w:r w:rsidR="008A7A9D">
        <w:t xml:space="preserve"> выбранных категорий товаров и их товаров-представителей Центр ценовых индексов</w:t>
      </w:r>
      <w:r w:rsidR="008A7A9D" w:rsidRPr="008A7A9D">
        <w:t xml:space="preserve"> публикует семейство ценовых индикаторов</w:t>
      </w:r>
      <w:r w:rsidR="008A7A9D">
        <w:t xml:space="preserve">. В семейство ценовых индикаторов входит множество ценовых индикаторов для одного товарного рынка. </w:t>
      </w:r>
      <w:r w:rsidR="005266B8">
        <w:t>Ценовые индикаторы одного семейства отличаются базисами поставки, качественными характеристиками товаров, условиями сделки (размером партии и др.). В качестве индикатора</w:t>
      </w:r>
      <w:r w:rsidR="008A7A9D" w:rsidRPr="008A7A9D">
        <w:t>-представителя дл</w:t>
      </w:r>
      <w:r w:rsidR="005266B8">
        <w:t>я каждой категории выбран индикатор</w:t>
      </w:r>
      <w:r w:rsidR="008A7A9D" w:rsidRPr="008A7A9D">
        <w:t>, описывающий большую часть экспортируемых товаров в категории выбранного товара-представителя. Для крупнейших категорий экспорта - нефти и газа было выбрано по два индекса-представителя, т</w:t>
      </w:r>
      <w:r w:rsidR="005266B8">
        <w:t>.</w:t>
      </w:r>
      <w:r w:rsidR="008A7A9D" w:rsidRPr="008A7A9D">
        <w:t>к</w:t>
      </w:r>
      <w:r w:rsidR="005266B8">
        <w:t>.</w:t>
      </w:r>
      <w:r w:rsidR="008A7A9D" w:rsidRPr="008A7A9D">
        <w:t xml:space="preserve"> разница в динамике цен на разных базисах поставки значима для корректной оценки ценовой динамики российского экспорта.</w:t>
      </w:r>
    </w:p>
    <w:p w14:paraId="6DD3D16B" w14:textId="5DF88EB6" w:rsidR="00E969A1" w:rsidRPr="00691FC8" w:rsidRDefault="00224A51" w:rsidP="00E969A1">
      <w:pPr>
        <w:jc w:val="both"/>
        <w:rPr>
          <w:b/>
          <w:color w:val="424242"/>
        </w:rPr>
      </w:pPr>
      <w:r>
        <w:rPr>
          <w:b/>
          <w:color w:val="424242"/>
        </w:rPr>
        <w:t xml:space="preserve">Таблица 1. Товары-представители, цены на которые используются при расчете </w:t>
      </w:r>
      <w:r w:rsidR="005266B8">
        <w:rPr>
          <w:b/>
          <w:color w:val="424242"/>
        </w:rPr>
        <w:t xml:space="preserve">ЦЦИ Сырьевого </w:t>
      </w:r>
      <w:r>
        <w:rPr>
          <w:b/>
          <w:color w:val="424242"/>
        </w:rPr>
        <w:t>индекса</w:t>
      </w:r>
    </w:p>
    <w:tbl>
      <w:tblPr>
        <w:tblStyle w:val="24"/>
        <w:tblW w:w="10206" w:type="dxa"/>
        <w:tblLook w:val="04A0" w:firstRow="1" w:lastRow="0" w:firstColumn="1" w:lastColumn="0" w:noHBand="0" w:noVBand="1"/>
      </w:tblPr>
      <w:tblGrid>
        <w:gridCol w:w="2993"/>
        <w:gridCol w:w="2217"/>
        <w:gridCol w:w="1537"/>
        <w:gridCol w:w="3459"/>
      </w:tblGrid>
      <w:tr w:rsidR="00224A51" w:rsidRPr="003B16B3" w14:paraId="50DC3DC8" w14:textId="77777777" w:rsidTr="005D3116">
        <w:trPr>
          <w:trHeight w:val="419"/>
        </w:trPr>
        <w:tc>
          <w:tcPr>
            <w:tcW w:w="2993" w:type="dxa"/>
            <w:shd w:val="clear" w:color="auto" w:fill="D1E5FF"/>
          </w:tcPr>
          <w:p w14:paraId="7215DB2C" w14:textId="2387B2BD" w:rsidR="00E969A1" w:rsidRPr="00970573" w:rsidRDefault="009462EB" w:rsidP="00224A51">
            <w:pPr>
              <w:jc w:val="both"/>
              <w:rPr>
                <w:color w:val="424242"/>
              </w:rPr>
            </w:pPr>
            <w:r>
              <w:t>Товарная группа</w:t>
            </w:r>
          </w:p>
        </w:tc>
        <w:tc>
          <w:tcPr>
            <w:tcW w:w="2217" w:type="dxa"/>
            <w:shd w:val="clear" w:color="auto" w:fill="D1E5FF"/>
          </w:tcPr>
          <w:p w14:paraId="4B861700" w14:textId="51860393" w:rsidR="00E969A1" w:rsidRPr="00970573" w:rsidRDefault="00224A51" w:rsidP="00E969A1">
            <w:pPr>
              <w:jc w:val="both"/>
              <w:rPr>
                <w:color w:val="424242"/>
              </w:rPr>
            </w:pPr>
            <w:r>
              <w:t>Товар</w:t>
            </w:r>
            <w:r w:rsidR="005D3116">
              <w:t>ы-представители</w:t>
            </w:r>
          </w:p>
        </w:tc>
        <w:tc>
          <w:tcPr>
            <w:tcW w:w="1537" w:type="dxa"/>
            <w:shd w:val="clear" w:color="auto" w:fill="D1E5FF"/>
          </w:tcPr>
          <w:p w14:paraId="722D4A1E" w14:textId="37073D0D" w:rsidR="00E969A1" w:rsidRPr="00BC3220" w:rsidRDefault="00224A51" w:rsidP="00224A51">
            <w:pPr>
              <w:jc w:val="both"/>
            </w:pPr>
            <w:r>
              <w:t>Ед. измерения</w:t>
            </w:r>
          </w:p>
        </w:tc>
        <w:tc>
          <w:tcPr>
            <w:tcW w:w="3459" w:type="dxa"/>
            <w:shd w:val="clear" w:color="auto" w:fill="D1E5FF"/>
          </w:tcPr>
          <w:p w14:paraId="4E81490C" w14:textId="2B4C2B03" w:rsidR="00E969A1" w:rsidRPr="00224A51" w:rsidRDefault="005D3116" w:rsidP="00E969A1">
            <w:pPr>
              <w:jc w:val="both"/>
            </w:pPr>
            <w:r>
              <w:t>Индикаторы-представители</w:t>
            </w:r>
          </w:p>
        </w:tc>
      </w:tr>
      <w:tr w:rsidR="00224A51" w:rsidRPr="001249FB" w14:paraId="5BA43804" w14:textId="77777777" w:rsidTr="001249FB">
        <w:trPr>
          <w:trHeight w:val="850"/>
        </w:trPr>
        <w:tc>
          <w:tcPr>
            <w:tcW w:w="2669" w:type="dxa"/>
          </w:tcPr>
          <w:p w14:paraId="2C3AF521" w14:textId="27E0AF3D" w:rsidR="00224A51" w:rsidRPr="00970573" w:rsidRDefault="009462EB" w:rsidP="00A805E8">
            <w:pPr>
              <w:spacing w:before="60" w:after="60"/>
              <w:rPr>
                <w:color w:val="424242"/>
                <w:lang w:val="en-US"/>
              </w:rPr>
            </w:pPr>
            <w:r>
              <w:t>Зерновые</w:t>
            </w:r>
          </w:p>
        </w:tc>
        <w:tc>
          <w:tcPr>
            <w:tcW w:w="2091" w:type="dxa"/>
          </w:tcPr>
          <w:p w14:paraId="6CDAB3CD" w14:textId="2F8DC422" w:rsidR="00224A51" w:rsidRPr="001F431A" w:rsidRDefault="00224A51" w:rsidP="00E969A1">
            <w:pPr>
              <w:spacing w:before="0" w:after="60"/>
              <w:jc w:val="both"/>
              <w:rPr>
                <w:i/>
                <w:iCs/>
                <w:color w:val="424242"/>
              </w:rPr>
            </w:pPr>
            <w:r>
              <w:t>Пшеница</w:t>
            </w:r>
          </w:p>
        </w:tc>
        <w:tc>
          <w:tcPr>
            <w:tcW w:w="1554" w:type="dxa"/>
          </w:tcPr>
          <w:p w14:paraId="1D309DE2" w14:textId="7B1F2A55" w:rsidR="00224A51" w:rsidRPr="00BC3220" w:rsidRDefault="00224A51" w:rsidP="00E969A1">
            <w:pPr>
              <w:spacing w:before="0" w:after="60"/>
              <w:jc w:val="both"/>
            </w:pPr>
            <w:r w:rsidRPr="00224A51">
              <w:t>USD/т</w:t>
            </w:r>
          </w:p>
        </w:tc>
        <w:tc>
          <w:tcPr>
            <w:tcW w:w="3892" w:type="dxa"/>
          </w:tcPr>
          <w:p w14:paraId="6D25BBD8" w14:textId="507141ED" w:rsidR="00224A51" w:rsidRPr="00224A51" w:rsidRDefault="00224A51" w:rsidP="005266B8">
            <w:pPr>
              <w:spacing w:before="0" w:after="60"/>
              <w:jc w:val="both"/>
              <w:rPr>
                <w:lang w:val="en-US"/>
              </w:rPr>
            </w:pPr>
            <w:r>
              <w:t>Котировка</w:t>
            </w:r>
            <w:r w:rsidRPr="00224A51">
              <w:rPr>
                <w:lang w:val="en-US"/>
              </w:rPr>
              <w:t xml:space="preserve"> </w:t>
            </w:r>
            <w:r>
              <w:t>ЦЦИ</w:t>
            </w:r>
            <w:r w:rsidRPr="00224A51">
              <w:rPr>
                <w:lang w:val="en-US"/>
              </w:rPr>
              <w:t xml:space="preserve"> Russian Wheat 12,5% </w:t>
            </w:r>
            <w:r>
              <w:rPr>
                <w:lang w:val="en-US"/>
              </w:rPr>
              <w:t>FOB Black Sea</w:t>
            </w:r>
          </w:p>
        </w:tc>
      </w:tr>
      <w:tr w:rsidR="00224A51" w:rsidRPr="001249FB" w14:paraId="25B19CCC" w14:textId="77777777" w:rsidTr="001249FB">
        <w:trPr>
          <w:trHeight w:val="850"/>
        </w:trPr>
        <w:tc>
          <w:tcPr>
            <w:tcW w:w="2669" w:type="dxa"/>
          </w:tcPr>
          <w:p w14:paraId="6C314241" w14:textId="2D35EB1A" w:rsidR="00224A51" w:rsidRPr="005D3116" w:rsidRDefault="009462EB" w:rsidP="00A805E8">
            <w:pPr>
              <w:spacing w:before="60" w:after="60"/>
            </w:pPr>
            <w:r>
              <w:t>Растительные масла</w:t>
            </w:r>
          </w:p>
        </w:tc>
        <w:tc>
          <w:tcPr>
            <w:tcW w:w="2091" w:type="dxa"/>
          </w:tcPr>
          <w:p w14:paraId="38C79D4B" w14:textId="15E00EA8" w:rsidR="00224A51" w:rsidRPr="00B3222D" w:rsidRDefault="00224A51" w:rsidP="00E969A1">
            <w:pPr>
              <w:spacing w:before="0" w:after="60"/>
              <w:jc w:val="both"/>
            </w:pPr>
            <w:r>
              <w:t>Подсолнечное масло</w:t>
            </w:r>
          </w:p>
        </w:tc>
        <w:tc>
          <w:tcPr>
            <w:tcW w:w="1554" w:type="dxa"/>
          </w:tcPr>
          <w:p w14:paraId="5CEA0C74" w14:textId="6307E0BD" w:rsidR="00224A51" w:rsidRPr="00B3222D" w:rsidRDefault="00224A51" w:rsidP="00E969A1">
            <w:pPr>
              <w:spacing w:before="0" w:after="60"/>
              <w:jc w:val="both"/>
            </w:pPr>
            <w:r w:rsidRPr="00224A51">
              <w:t>USD/т</w:t>
            </w:r>
          </w:p>
        </w:tc>
        <w:tc>
          <w:tcPr>
            <w:tcW w:w="3892" w:type="dxa"/>
          </w:tcPr>
          <w:p w14:paraId="19EC9F8D" w14:textId="32A963E8" w:rsidR="00224A51" w:rsidRPr="00224A51" w:rsidRDefault="00224A51" w:rsidP="00E969A1">
            <w:pPr>
              <w:spacing w:before="0" w:after="60"/>
              <w:jc w:val="both"/>
              <w:rPr>
                <w:lang w:val="en-US"/>
              </w:rPr>
            </w:pPr>
            <w:r>
              <w:t>Котировка</w:t>
            </w:r>
            <w:r w:rsidRPr="00224A51">
              <w:rPr>
                <w:lang w:val="en-US"/>
              </w:rPr>
              <w:t xml:space="preserve"> </w:t>
            </w:r>
            <w:r>
              <w:t>ЦЦИ</w:t>
            </w:r>
            <w:r w:rsidRPr="00224A51">
              <w:rPr>
                <w:lang w:val="en-US"/>
              </w:rPr>
              <w:t xml:space="preserve"> Russian Sunflower Oil</w:t>
            </w:r>
            <w:r w:rsidR="005266B8" w:rsidRPr="005D3116">
              <w:rPr>
                <w:lang w:val="en-US"/>
              </w:rPr>
              <w:t xml:space="preserve"> </w:t>
            </w:r>
            <w:r>
              <w:rPr>
                <w:lang w:val="en-US"/>
              </w:rPr>
              <w:t>FOB Black Sea</w:t>
            </w:r>
          </w:p>
        </w:tc>
      </w:tr>
      <w:tr w:rsidR="00E969A1" w:rsidRPr="001249FB" w14:paraId="263A5404" w14:textId="77777777" w:rsidTr="001249FB">
        <w:trPr>
          <w:trHeight w:val="850"/>
        </w:trPr>
        <w:tc>
          <w:tcPr>
            <w:tcW w:w="2669" w:type="dxa"/>
          </w:tcPr>
          <w:p w14:paraId="4605D6AE" w14:textId="3AD14702" w:rsidR="00E969A1" w:rsidRPr="00970573" w:rsidRDefault="009462EB" w:rsidP="00A805E8">
            <w:pPr>
              <w:spacing w:before="60" w:after="60"/>
              <w:rPr>
                <w:color w:val="424242"/>
                <w:lang w:val="en-US"/>
              </w:rPr>
            </w:pPr>
            <w:r>
              <w:t>Уголь</w:t>
            </w:r>
          </w:p>
        </w:tc>
        <w:tc>
          <w:tcPr>
            <w:tcW w:w="2091" w:type="dxa"/>
          </w:tcPr>
          <w:p w14:paraId="6909BA42" w14:textId="0BCD5367" w:rsidR="00E969A1" w:rsidRPr="005266B8" w:rsidRDefault="00224A51" w:rsidP="005266B8">
            <w:pPr>
              <w:spacing w:before="60" w:after="60"/>
              <w:jc w:val="both"/>
              <w:rPr>
                <w:color w:val="424242"/>
              </w:rPr>
            </w:pPr>
            <w:r>
              <w:t>Энергетически</w:t>
            </w:r>
            <w:r w:rsidR="005266B8">
              <w:t>й</w:t>
            </w:r>
            <w:r>
              <w:t xml:space="preserve"> уг</w:t>
            </w:r>
            <w:r w:rsidR="005266B8">
              <w:t>оль</w:t>
            </w:r>
          </w:p>
        </w:tc>
        <w:tc>
          <w:tcPr>
            <w:tcW w:w="1554" w:type="dxa"/>
          </w:tcPr>
          <w:p w14:paraId="353B6924" w14:textId="02CD8301" w:rsidR="00E969A1" w:rsidRPr="00BC3220" w:rsidRDefault="00224A51" w:rsidP="00E969A1">
            <w:pPr>
              <w:spacing w:before="60" w:after="60"/>
              <w:jc w:val="both"/>
            </w:pPr>
            <w:r w:rsidRPr="00224A51">
              <w:t>USD/т</w:t>
            </w:r>
          </w:p>
        </w:tc>
        <w:tc>
          <w:tcPr>
            <w:tcW w:w="3892" w:type="dxa"/>
          </w:tcPr>
          <w:p w14:paraId="433D6AE3" w14:textId="6935A4C2" w:rsidR="00E969A1" w:rsidRPr="00224A51" w:rsidRDefault="00224A51" w:rsidP="005266B8">
            <w:pPr>
              <w:spacing w:before="60" w:after="60"/>
              <w:jc w:val="both"/>
              <w:rPr>
                <w:lang w:val="en-US"/>
              </w:rPr>
            </w:pPr>
            <w:r>
              <w:t>Котировка</w:t>
            </w:r>
            <w:r w:rsidRPr="00224A51">
              <w:rPr>
                <w:lang w:val="en-US"/>
              </w:rPr>
              <w:t xml:space="preserve"> </w:t>
            </w:r>
            <w:r>
              <w:t>ЦЦИ</w:t>
            </w:r>
            <w:r w:rsidRPr="00224A51">
              <w:rPr>
                <w:lang w:val="en-US"/>
              </w:rPr>
              <w:t xml:space="preserve"> Russian Steam coal 6000 </w:t>
            </w:r>
            <w:r w:rsidR="005266B8">
              <w:rPr>
                <w:lang w:val="en-US"/>
              </w:rPr>
              <w:t>NAR</w:t>
            </w:r>
            <w:r w:rsidRPr="00224A51">
              <w:rPr>
                <w:lang w:val="en-US"/>
              </w:rPr>
              <w:t xml:space="preserve"> FOB Far East</w:t>
            </w:r>
          </w:p>
        </w:tc>
      </w:tr>
      <w:tr w:rsidR="00E969A1" w:rsidRPr="001249FB" w14:paraId="01A18890" w14:textId="77777777" w:rsidTr="001249FB">
        <w:trPr>
          <w:trHeight w:val="850"/>
        </w:trPr>
        <w:tc>
          <w:tcPr>
            <w:tcW w:w="2669" w:type="dxa"/>
          </w:tcPr>
          <w:p w14:paraId="26B5F738" w14:textId="49FE900D" w:rsidR="00E969A1" w:rsidRPr="00970573" w:rsidRDefault="009462EB" w:rsidP="00A805E8">
            <w:pPr>
              <w:spacing w:before="60" w:after="60"/>
              <w:rPr>
                <w:color w:val="424242"/>
                <w:lang w:val="en-US"/>
              </w:rPr>
            </w:pPr>
            <w:r>
              <w:t>Удобрения</w:t>
            </w:r>
          </w:p>
        </w:tc>
        <w:tc>
          <w:tcPr>
            <w:tcW w:w="2091" w:type="dxa"/>
          </w:tcPr>
          <w:p w14:paraId="2DD9EA0C" w14:textId="65D9C469" w:rsidR="00E969A1" w:rsidRPr="00970573" w:rsidRDefault="00224A51" w:rsidP="00E969A1">
            <w:pPr>
              <w:spacing w:before="60" w:after="60"/>
              <w:jc w:val="both"/>
              <w:rPr>
                <w:color w:val="424242"/>
              </w:rPr>
            </w:pPr>
            <w:r w:rsidRPr="00224A51">
              <w:t>Карбамид</w:t>
            </w:r>
          </w:p>
        </w:tc>
        <w:tc>
          <w:tcPr>
            <w:tcW w:w="1554" w:type="dxa"/>
          </w:tcPr>
          <w:p w14:paraId="1BF4ABDF" w14:textId="113A8566" w:rsidR="00E969A1" w:rsidRPr="00BC3220" w:rsidRDefault="00224A51" w:rsidP="00E969A1">
            <w:pPr>
              <w:spacing w:before="60" w:after="60"/>
              <w:jc w:val="both"/>
            </w:pPr>
            <w:r w:rsidRPr="00224A51">
              <w:t>USD/т</w:t>
            </w:r>
          </w:p>
        </w:tc>
        <w:tc>
          <w:tcPr>
            <w:tcW w:w="3892" w:type="dxa"/>
          </w:tcPr>
          <w:p w14:paraId="147257DD" w14:textId="1ABE30C8" w:rsidR="00E969A1" w:rsidRPr="005D3116" w:rsidRDefault="00224A51" w:rsidP="005266B8">
            <w:pPr>
              <w:spacing w:before="60" w:after="60"/>
              <w:jc w:val="both"/>
              <w:rPr>
                <w:lang w:val="en-US"/>
              </w:rPr>
            </w:pPr>
            <w:r>
              <w:t>Котировка</w:t>
            </w:r>
            <w:r w:rsidRPr="005D3116">
              <w:rPr>
                <w:lang w:val="en-US"/>
              </w:rPr>
              <w:t xml:space="preserve"> </w:t>
            </w:r>
            <w:r>
              <w:t>ЦЦИ</w:t>
            </w:r>
            <w:r w:rsidRPr="005D3116">
              <w:rPr>
                <w:lang w:val="en-US"/>
              </w:rPr>
              <w:t xml:space="preserve"> </w:t>
            </w:r>
            <w:r w:rsidR="005266B8">
              <w:rPr>
                <w:lang w:val="en-US"/>
              </w:rPr>
              <w:t>Urea Baltic Sea</w:t>
            </w:r>
          </w:p>
        </w:tc>
      </w:tr>
      <w:tr w:rsidR="005266B8" w:rsidRPr="001249FB" w14:paraId="66A24E09" w14:textId="77777777" w:rsidTr="001249FB">
        <w:trPr>
          <w:trHeight w:val="2488"/>
        </w:trPr>
        <w:tc>
          <w:tcPr>
            <w:tcW w:w="2669" w:type="dxa"/>
            <w:vMerge w:val="restart"/>
          </w:tcPr>
          <w:p w14:paraId="2D00B689" w14:textId="0C56228E" w:rsidR="005266B8" w:rsidRPr="00970573" w:rsidRDefault="009462EB" w:rsidP="00A805E8">
            <w:pPr>
              <w:spacing w:before="60" w:after="60"/>
              <w:rPr>
                <w:color w:val="424242"/>
                <w:lang w:val="en-US"/>
              </w:rPr>
            </w:pPr>
            <w:r>
              <w:t>Нефть и нефтепродукты</w:t>
            </w:r>
          </w:p>
        </w:tc>
        <w:tc>
          <w:tcPr>
            <w:tcW w:w="2091" w:type="dxa"/>
          </w:tcPr>
          <w:p w14:paraId="0F675E6B" w14:textId="449B5D7E" w:rsidR="005266B8" w:rsidRPr="00224A51" w:rsidRDefault="005266B8" w:rsidP="00224A51">
            <w:pPr>
              <w:spacing w:before="60" w:after="60"/>
              <w:jc w:val="both"/>
              <w:rPr>
                <w:iCs/>
                <w:color w:val="424242"/>
              </w:rPr>
            </w:pPr>
            <w:r>
              <w:rPr>
                <w:iCs/>
                <w:color w:val="424242"/>
              </w:rPr>
              <w:t>Нефть</w:t>
            </w:r>
          </w:p>
        </w:tc>
        <w:tc>
          <w:tcPr>
            <w:tcW w:w="1554" w:type="dxa"/>
          </w:tcPr>
          <w:p w14:paraId="0B9DFA24" w14:textId="63BF3A26" w:rsidR="005266B8" w:rsidRPr="00BC3220" w:rsidRDefault="005266B8" w:rsidP="00224A51">
            <w:pPr>
              <w:spacing w:before="60" w:after="60"/>
              <w:jc w:val="both"/>
            </w:pPr>
            <w:r w:rsidRPr="00224A51">
              <w:t>USD/барр.</w:t>
            </w:r>
          </w:p>
        </w:tc>
        <w:tc>
          <w:tcPr>
            <w:tcW w:w="3892" w:type="dxa"/>
          </w:tcPr>
          <w:p w14:paraId="32161E19" w14:textId="7F5FA06D" w:rsidR="005266B8" w:rsidRPr="005D3116" w:rsidRDefault="005266B8" w:rsidP="00224A51">
            <w:pPr>
              <w:spacing w:before="60" w:after="60"/>
              <w:jc w:val="both"/>
              <w:rPr>
                <w:lang w:val="en-US"/>
              </w:rPr>
            </w:pPr>
            <w:r>
              <w:t>Дифференциал</w:t>
            </w:r>
            <w:r w:rsidRPr="005D3116">
              <w:rPr>
                <w:lang w:val="en-US"/>
              </w:rPr>
              <w:t xml:space="preserve"> </w:t>
            </w:r>
            <w:r>
              <w:t>ЦЦИ</w:t>
            </w:r>
            <w:r w:rsidRPr="005D3116">
              <w:rPr>
                <w:lang w:val="en-US"/>
              </w:rPr>
              <w:t xml:space="preserve"> Urals FOB Primorsk, Urals FOB Novorossiysk </w:t>
            </w:r>
            <w:r>
              <w:t>к</w:t>
            </w:r>
            <w:r w:rsidRPr="005D3116">
              <w:rPr>
                <w:lang w:val="en-US"/>
              </w:rPr>
              <w:t xml:space="preserve"> Platts Dated Brent</w:t>
            </w:r>
            <w:r w:rsidR="009462EB" w:rsidRPr="005D3116">
              <w:rPr>
                <w:lang w:val="en-US"/>
              </w:rPr>
              <w:t>*</w:t>
            </w:r>
            <w:r w:rsidRPr="005D3116">
              <w:rPr>
                <w:lang w:val="en-US"/>
              </w:rPr>
              <w:t>;</w:t>
            </w:r>
          </w:p>
          <w:p w14:paraId="4691E8F1" w14:textId="75C92923" w:rsidR="005266B8" w:rsidRPr="005D3116" w:rsidRDefault="005266B8" w:rsidP="005266B8">
            <w:pPr>
              <w:spacing w:before="60" w:after="60"/>
              <w:jc w:val="both"/>
              <w:rPr>
                <w:lang w:val="en-US"/>
              </w:rPr>
            </w:pPr>
            <w:r>
              <w:t>дифференциал</w:t>
            </w:r>
            <w:r w:rsidRPr="005D3116">
              <w:rPr>
                <w:lang w:val="en-US"/>
              </w:rPr>
              <w:t xml:space="preserve"> </w:t>
            </w:r>
            <w:r>
              <w:t>ЦЦИ</w:t>
            </w:r>
            <w:r w:rsidRPr="005D3116">
              <w:rPr>
                <w:lang w:val="en-US"/>
              </w:rPr>
              <w:t xml:space="preserve"> ESPO FOB Kozmino </w:t>
            </w:r>
            <w:r>
              <w:t>к</w:t>
            </w:r>
            <w:r w:rsidRPr="005D3116">
              <w:rPr>
                <w:lang w:val="en-US"/>
              </w:rPr>
              <w:t xml:space="preserve"> Platts Dubai</w:t>
            </w:r>
            <w:r w:rsidR="009462EB" w:rsidRPr="005D3116">
              <w:rPr>
                <w:lang w:val="en-US"/>
              </w:rPr>
              <w:t>*</w:t>
            </w:r>
          </w:p>
        </w:tc>
      </w:tr>
      <w:tr w:rsidR="005266B8" w:rsidRPr="001249FB" w14:paraId="222664CD" w14:textId="77777777" w:rsidTr="001249FB">
        <w:trPr>
          <w:trHeight w:val="395"/>
        </w:trPr>
        <w:tc>
          <w:tcPr>
            <w:tcW w:w="3278" w:type="dxa"/>
            <w:vMerge/>
          </w:tcPr>
          <w:p w14:paraId="76D46BE1" w14:textId="77777777" w:rsidR="005266B8" w:rsidRPr="005D3116" w:rsidRDefault="005266B8">
            <w:pPr>
              <w:spacing w:before="60" w:after="60"/>
              <w:rPr>
                <w:lang w:val="en-US"/>
              </w:rPr>
            </w:pPr>
          </w:p>
        </w:tc>
        <w:tc>
          <w:tcPr>
            <w:tcW w:w="2217" w:type="dxa"/>
          </w:tcPr>
          <w:p w14:paraId="4E3B8F13" w14:textId="371E879E" w:rsidR="005266B8" w:rsidRDefault="005266B8" w:rsidP="00224A51">
            <w:pPr>
              <w:spacing w:before="60" w:after="60"/>
              <w:jc w:val="both"/>
              <w:rPr>
                <w:iCs/>
                <w:color w:val="424242"/>
              </w:rPr>
            </w:pPr>
            <w:r>
              <w:rPr>
                <w:iCs/>
                <w:color w:val="424242"/>
              </w:rPr>
              <w:t>Дизель</w:t>
            </w:r>
          </w:p>
        </w:tc>
        <w:tc>
          <w:tcPr>
            <w:tcW w:w="1521" w:type="dxa"/>
          </w:tcPr>
          <w:p w14:paraId="5DEC9AF3" w14:textId="324B85FA" w:rsidR="005266B8" w:rsidRPr="00224A51" w:rsidRDefault="005266B8" w:rsidP="00224A51">
            <w:pPr>
              <w:spacing w:before="60" w:after="60"/>
              <w:jc w:val="both"/>
            </w:pPr>
            <w:r w:rsidRPr="00224A51">
              <w:t>USD/т</w:t>
            </w:r>
          </w:p>
        </w:tc>
        <w:tc>
          <w:tcPr>
            <w:tcW w:w="3190" w:type="dxa"/>
          </w:tcPr>
          <w:p w14:paraId="59014E51" w14:textId="7DEBFB4C" w:rsidR="005266B8" w:rsidRPr="005D3116" w:rsidRDefault="005266B8" w:rsidP="000C7235">
            <w:pPr>
              <w:spacing w:before="60" w:after="60"/>
              <w:jc w:val="both"/>
              <w:rPr>
                <w:lang w:val="en-US"/>
              </w:rPr>
            </w:pPr>
            <w:r>
              <w:t>Дифференциал</w:t>
            </w:r>
            <w:r w:rsidRPr="006C41BB">
              <w:rPr>
                <w:lang w:val="en-US"/>
              </w:rPr>
              <w:t xml:space="preserve"> </w:t>
            </w:r>
            <w:r>
              <w:t>ЦЦИ</w:t>
            </w:r>
            <w:r w:rsidRPr="006C41BB">
              <w:rPr>
                <w:lang w:val="en-US"/>
              </w:rPr>
              <w:t xml:space="preserve"> </w:t>
            </w:r>
            <w:r w:rsidR="000C7235">
              <w:rPr>
                <w:lang w:val="en-US"/>
              </w:rPr>
              <w:t xml:space="preserve">Diesel </w:t>
            </w:r>
            <w:r w:rsidRPr="006C41BB">
              <w:rPr>
                <w:lang w:val="en-US"/>
              </w:rPr>
              <w:t xml:space="preserve">FOB Novorossiysk </w:t>
            </w:r>
            <w:r>
              <w:t>к</w:t>
            </w:r>
            <w:r w:rsidRPr="006C41BB">
              <w:rPr>
                <w:lang w:val="en-US"/>
              </w:rPr>
              <w:t xml:space="preserve"> </w:t>
            </w:r>
            <w:r w:rsidR="000C7235">
              <w:rPr>
                <w:lang w:val="en-US"/>
              </w:rPr>
              <w:t>CIF Med Platts</w:t>
            </w:r>
            <w:r w:rsidR="009462EB" w:rsidRPr="005D3116">
              <w:rPr>
                <w:lang w:val="en-US"/>
              </w:rPr>
              <w:t>*</w:t>
            </w:r>
          </w:p>
        </w:tc>
      </w:tr>
      <w:tr w:rsidR="005D3116" w:rsidRPr="001249FB" w14:paraId="1AEC19D1" w14:textId="77777777" w:rsidTr="001249FB">
        <w:trPr>
          <w:trHeight w:val="850"/>
        </w:trPr>
        <w:tc>
          <w:tcPr>
            <w:tcW w:w="3278" w:type="dxa"/>
            <w:vMerge w:val="restart"/>
          </w:tcPr>
          <w:p w14:paraId="4DAF4513" w14:textId="76CCB8E3" w:rsidR="005D3116" w:rsidRDefault="005D3116" w:rsidP="00A805E8">
            <w:pPr>
              <w:spacing w:before="60" w:after="60"/>
            </w:pPr>
            <w:r>
              <w:t>Природный газ</w:t>
            </w:r>
          </w:p>
        </w:tc>
        <w:tc>
          <w:tcPr>
            <w:tcW w:w="2217" w:type="dxa"/>
          </w:tcPr>
          <w:p w14:paraId="2773BB41" w14:textId="77777777" w:rsidR="005D3116" w:rsidRDefault="005D3116" w:rsidP="00224A51">
            <w:pPr>
              <w:spacing w:before="60" w:after="60"/>
              <w:jc w:val="both"/>
              <w:rPr>
                <w:iCs/>
                <w:color w:val="424242"/>
              </w:rPr>
            </w:pPr>
            <w:r>
              <w:rPr>
                <w:iCs/>
                <w:color w:val="424242"/>
              </w:rPr>
              <w:t>Трубопроводный газ</w:t>
            </w:r>
          </w:p>
          <w:p w14:paraId="57F9B641" w14:textId="7402D6B2" w:rsidR="005D3116" w:rsidRPr="000C7235" w:rsidRDefault="005D3116" w:rsidP="00224A51">
            <w:pPr>
              <w:spacing w:before="60" w:after="60"/>
              <w:jc w:val="both"/>
              <w:rPr>
                <w:iCs/>
                <w:color w:val="424242"/>
              </w:rPr>
            </w:pPr>
          </w:p>
        </w:tc>
        <w:tc>
          <w:tcPr>
            <w:tcW w:w="1521" w:type="dxa"/>
          </w:tcPr>
          <w:p w14:paraId="21D1B8FA" w14:textId="20E3A499" w:rsidR="005D3116" w:rsidRPr="00B3222D" w:rsidRDefault="005D3116" w:rsidP="00224A51">
            <w:pPr>
              <w:spacing w:before="60" w:after="60"/>
              <w:jc w:val="both"/>
            </w:pPr>
            <w:r w:rsidRPr="00224A51">
              <w:t>USD/тыс. куб. м</w:t>
            </w:r>
          </w:p>
        </w:tc>
        <w:tc>
          <w:tcPr>
            <w:tcW w:w="3190" w:type="dxa"/>
          </w:tcPr>
          <w:p w14:paraId="024621E4" w14:textId="00369502" w:rsidR="005D3116" w:rsidRDefault="005D3116" w:rsidP="00224A51">
            <w:pPr>
              <w:spacing w:before="60" w:after="60"/>
              <w:jc w:val="both"/>
              <w:rPr>
                <w:lang w:val="en-US"/>
              </w:rPr>
            </w:pPr>
            <w:r>
              <w:t>ЦЦИ</w:t>
            </w:r>
            <w:r w:rsidRPr="005D3116">
              <w:rPr>
                <w:lang w:val="en-US"/>
              </w:rPr>
              <w:t xml:space="preserve"> </w:t>
            </w:r>
            <w:r>
              <w:rPr>
                <w:lang w:val="en-US"/>
              </w:rPr>
              <w:t>Russian gas DAP Europe;</w:t>
            </w:r>
          </w:p>
          <w:p w14:paraId="67F11A56" w14:textId="0A854B84" w:rsidR="005D3116" w:rsidRPr="005D3116" w:rsidRDefault="005D3116" w:rsidP="00224A51">
            <w:pPr>
              <w:spacing w:before="60" w:after="60"/>
              <w:jc w:val="both"/>
              <w:rPr>
                <w:lang w:val="en-US"/>
              </w:rPr>
            </w:pPr>
            <w:r>
              <w:t>ЦЦИ</w:t>
            </w:r>
            <w:r w:rsidRPr="006C41BB">
              <w:rPr>
                <w:lang w:val="en-US"/>
              </w:rPr>
              <w:t xml:space="preserve"> </w:t>
            </w:r>
            <w:r>
              <w:rPr>
                <w:lang w:val="en-US"/>
              </w:rPr>
              <w:t>Russian gas DAP China;</w:t>
            </w:r>
          </w:p>
          <w:p w14:paraId="05B20EBD" w14:textId="03342398" w:rsidR="005D3116" w:rsidRPr="005D3116" w:rsidRDefault="005D3116" w:rsidP="00224A51">
            <w:pPr>
              <w:spacing w:before="60" w:after="60"/>
              <w:jc w:val="both"/>
              <w:rPr>
                <w:lang w:val="en-US"/>
              </w:rPr>
            </w:pPr>
          </w:p>
        </w:tc>
      </w:tr>
      <w:tr w:rsidR="005D3116" w:rsidRPr="005D3116" w14:paraId="1945163B" w14:textId="77777777" w:rsidTr="005D3116">
        <w:trPr>
          <w:trHeight w:val="850"/>
        </w:trPr>
        <w:tc>
          <w:tcPr>
            <w:tcW w:w="2993" w:type="dxa"/>
            <w:vMerge/>
          </w:tcPr>
          <w:p w14:paraId="39F99D6A" w14:textId="77777777" w:rsidR="005D3116" w:rsidRPr="00CC2665" w:rsidRDefault="005D3116" w:rsidP="00224A51">
            <w:pPr>
              <w:spacing w:before="60" w:after="60"/>
              <w:jc w:val="both"/>
              <w:rPr>
                <w:lang w:val="en-US"/>
              </w:rPr>
            </w:pPr>
          </w:p>
        </w:tc>
        <w:tc>
          <w:tcPr>
            <w:tcW w:w="2217" w:type="dxa"/>
          </w:tcPr>
          <w:p w14:paraId="3818C25A" w14:textId="5731A35D" w:rsidR="005D3116" w:rsidRDefault="005D3116" w:rsidP="00224A51">
            <w:pPr>
              <w:spacing w:before="60" w:after="60"/>
              <w:jc w:val="both"/>
              <w:rPr>
                <w:iCs/>
                <w:color w:val="424242"/>
              </w:rPr>
            </w:pPr>
            <w:r w:rsidRPr="005D3116">
              <w:rPr>
                <w:iCs/>
                <w:color w:val="424242"/>
              </w:rPr>
              <w:t>СПГ</w:t>
            </w:r>
          </w:p>
        </w:tc>
        <w:tc>
          <w:tcPr>
            <w:tcW w:w="1537" w:type="dxa"/>
          </w:tcPr>
          <w:p w14:paraId="28E4BE2E" w14:textId="6CE48024" w:rsidR="005D3116" w:rsidRPr="00224A51" w:rsidRDefault="001249FB" w:rsidP="00224A51">
            <w:pPr>
              <w:spacing w:before="60" w:after="60"/>
              <w:jc w:val="both"/>
            </w:pPr>
            <w:r w:rsidRPr="00224A51">
              <w:t>USD/т</w:t>
            </w:r>
          </w:p>
        </w:tc>
        <w:tc>
          <w:tcPr>
            <w:tcW w:w="3459" w:type="dxa"/>
          </w:tcPr>
          <w:p w14:paraId="6A60A920" w14:textId="262A0C3C" w:rsidR="005D3116" w:rsidRDefault="001249FB" w:rsidP="00224A51">
            <w:pPr>
              <w:spacing w:before="60" w:after="60"/>
              <w:jc w:val="both"/>
            </w:pPr>
            <w:r>
              <w:t>Долгосрочный СПГ индекс в Азию и Европу на базисе DES</w:t>
            </w:r>
          </w:p>
        </w:tc>
      </w:tr>
    </w:tbl>
    <w:p w14:paraId="7C9A5714" w14:textId="19A6422D" w:rsidR="00E969A1" w:rsidRPr="001249FB" w:rsidRDefault="00E969A1" w:rsidP="00C50147">
      <w:pPr>
        <w:pStyle w:val="2"/>
      </w:pPr>
    </w:p>
    <w:p w14:paraId="1A458706" w14:textId="366A479F" w:rsidR="00F1688E" w:rsidRPr="009462EB" w:rsidRDefault="009462EB" w:rsidP="005D3116">
      <w:pPr>
        <w:jc w:val="both"/>
      </w:pPr>
      <w:r w:rsidRPr="009462EB">
        <w:t xml:space="preserve">* </w:t>
      </w:r>
      <w:r>
        <w:t>Исходя из принятой в мире практики торговли нефтью и нефтепродуктам использованием дифференциалов к эталонным сортам нефти ЦЦИ публикует дифференциалы на российские сорта нефти и нефтепродукты. Для расчета сводного индекса используется эталонный ценовой индикатор</w:t>
      </w:r>
      <w:r w:rsidR="00CC2665">
        <w:t>,</w:t>
      </w:r>
      <w:r w:rsidR="00F1688E" w:rsidRPr="009462EB">
        <w:t xml:space="preserve"> </w:t>
      </w:r>
      <w:r>
        <w:t>скорректированный на дифференциал ЦЦИ</w:t>
      </w:r>
      <w:r w:rsidR="00F1688E" w:rsidRPr="009462EB">
        <w:t>.</w:t>
      </w:r>
    </w:p>
    <w:p w14:paraId="7DF7980E" w14:textId="11C52925" w:rsidR="00224A51" w:rsidRDefault="00224A51" w:rsidP="00C50147">
      <w:pPr>
        <w:pStyle w:val="2"/>
      </w:pPr>
      <w:bookmarkStart w:id="5" w:name="_Toc164857119"/>
      <w:r>
        <w:t>Р</w:t>
      </w:r>
      <w:r w:rsidRPr="00224A51">
        <w:t>асчет индивидуальных индексов цен на товары российского сырьевого экспорта</w:t>
      </w:r>
      <w:bookmarkEnd w:id="5"/>
      <w:r w:rsidRPr="00224A51">
        <w:t xml:space="preserve"> </w:t>
      </w:r>
    </w:p>
    <w:p w14:paraId="1E2805AD" w14:textId="3C7B74C6" w:rsidR="00224A51" w:rsidRDefault="00224A51" w:rsidP="001D3991">
      <w:pPr>
        <w:jc w:val="both"/>
        <w:rPr>
          <w:rFonts w:eastAsiaTheme="majorEastAsia" w:cstheme="majorBidi"/>
          <w:color w:val="424242"/>
          <w:szCs w:val="26"/>
        </w:rPr>
      </w:pPr>
      <w:r>
        <w:rPr>
          <w:rFonts w:eastAsiaTheme="majorEastAsia" w:cstheme="majorBidi"/>
          <w:color w:val="424242"/>
          <w:szCs w:val="26"/>
        </w:rPr>
        <w:t>На основании средних цен на товары российского экспорта рассчитываются индивидуальные индексы цен по каждому тов</w:t>
      </w:r>
      <w:r w:rsidR="00F1688E">
        <w:rPr>
          <w:rFonts w:eastAsiaTheme="majorEastAsia" w:cstheme="majorBidi"/>
          <w:color w:val="424242"/>
          <w:szCs w:val="26"/>
        </w:rPr>
        <w:t xml:space="preserve">ару к </w:t>
      </w:r>
      <w:r w:rsidR="00FA3CFA">
        <w:rPr>
          <w:rFonts w:eastAsiaTheme="majorEastAsia" w:cstheme="majorBidi"/>
          <w:color w:val="424242"/>
          <w:szCs w:val="26"/>
        </w:rPr>
        <w:t>средней цене 2021 г.</w:t>
      </w:r>
      <w:r w:rsidR="00F1688E">
        <w:rPr>
          <w:rFonts w:eastAsiaTheme="majorEastAsia" w:cstheme="majorBidi"/>
          <w:color w:val="424242"/>
          <w:szCs w:val="26"/>
        </w:rPr>
        <w:t xml:space="preserve"> по формуле</w:t>
      </w:r>
      <w:r>
        <w:rPr>
          <w:rFonts w:eastAsiaTheme="majorEastAsia" w:cstheme="majorBidi"/>
          <w:color w:val="424242"/>
          <w:szCs w:val="26"/>
        </w:rPr>
        <w:t>:</w:t>
      </w:r>
    </w:p>
    <w:p w14:paraId="3E65CDEF" w14:textId="77777777" w:rsidR="00224A51" w:rsidRDefault="00224A51" w:rsidP="001D3991">
      <w:pPr>
        <w:jc w:val="both"/>
        <w:rPr>
          <w:rFonts w:eastAsiaTheme="majorEastAsia" w:cstheme="majorBidi"/>
          <w:color w:val="424242"/>
          <w:szCs w:val="26"/>
        </w:rPr>
      </w:pPr>
    </w:p>
    <w:p w14:paraId="21F1773B" w14:textId="6411BC01" w:rsidR="00224A51" w:rsidRPr="001249FB" w:rsidRDefault="008732A2" w:rsidP="00224A51">
      <w:pPr>
        <w:jc w:val="center"/>
        <w:rPr>
          <w:rFonts w:eastAsiaTheme="majorEastAsia" w:cstheme="majorBidi"/>
          <w:color w:val="424242"/>
          <w:sz w:val="32"/>
          <w:szCs w:val="26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424242"/>
                <w:sz w:val="32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color w:val="424242"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color w:val="424242"/>
                    <w:sz w:val="32"/>
                    <w:szCs w:val="26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  <w:color w:val="424242"/>
                    <w:sz w:val="32"/>
                    <w:szCs w:val="26"/>
                  </w:rPr>
                  <m:t>i</m:t>
                </m:r>
              </m:sub>
            </m:sSub>
          </m:e>
          <m:sub>
            <m:r>
              <w:rPr>
                <w:rFonts w:ascii="Cambria Math" w:eastAsiaTheme="majorEastAsia" w:hAnsi="Cambria Math" w:cstheme="majorBidi"/>
                <w:color w:val="424242"/>
                <w:sz w:val="32"/>
                <w:szCs w:val="26"/>
              </w:rPr>
              <m:t>t</m:t>
            </m:r>
          </m:sub>
        </m:sSub>
        <m:r>
          <w:rPr>
            <w:rFonts w:ascii="Cambria Math" w:eastAsiaTheme="majorEastAsia" w:hAnsi="Cambria Math" w:cstheme="majorBidi"/>
            <w:color w:val="424242"/>
            <w:sz w:val="32"/>
            <w:szCs w:val="26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color w:val="424242"/>
                <w:sz w:val="32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color w:val="424242"/>
                    <w:sz w:val="32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color w:val="424242"/>
                        <w:sz w:val="32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color w:val="424242"/>
                        <w:sz w:val="32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color w:val="424242"/>
                        <w:sz w:val="32"/>
                        <w:szCs w:val="26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eastAsiaTheme="majorEastAsia" w:hAnsi="Cambria Math" w:cstheme="majorBidi"/>
                    <w:color w:val="424242"/>
                    <w:sz w:val="32"/>
                    <w:szCs w:val="26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color w:val="424242"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color w:val="424242"/>
                    <w:sz w:val="32"/>
                    <w:szCs w:val="26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theme="majorBidi"/>
                    <w:color w:val="424242"/>
                    <w:sz w:val="32"/>
                    <w:szCs w:val="26"/>
                  </w:rPr>
                  <m:t>i,2021</m:t>
                </m:r>
              </m:sub>
            </m:sSub>
          </m:den>
        </m:f>
      </m:oMath>
      <w:r w:rsidR="00A805E8" w:rsidRPr="001249FB">
        <w:rPr>
          <w:rFonts w:eastAsiaTheme="majorEastAsia" w:cstheme="majorBidi"/>
          <w:color w:val="424242"/>
          <w:sz w:val="32"/>
          <w:szCs w:val="26"/>
        </w:rPr>
        <w:t xml:space="preserve"> * 100</w:t>
      </w:r>
    </w:p>
    <w:p w14:paraId="7A1A514A" w14:textId="25825C1C" w:rsidR="00224A51" w:rsidRPr="00224A51" w:rsidRDefault="00224A51" w:rsidP="00224A51">
      <w:pPr>
        <w:rPr>
          <w:rFonts w:eastAsiaTheme="majorEastAsia" w:cstheme="majorBidi"/>
          <w:color w:val="424242"/>
          <w:sz w:val="28"/>
          <w:szCs w:val="26"/>
        </w:rPr>
      </w:pPr>
    </w:p>
    <w:p w14:paraId="113D5AE8" w14:textId="3EFEE192" w:rsidR="00224A51" w:rsidRPr="00224A51" w:rsidRDefault="00224A51" w:rsidP="00224A51">
      <w:pPr>
        <w:rPr>
          <w:color w:val="424242"/>
        </w:rPr>
      </w:pPr>
      <w:r>
        <w:rPr>
          <w:color w:val="424242"/>
        </w:rPr>
        <w:t>г</w:t>
      </w:r>
      <w:r w:rsidRPr="00224A51">
        <w:rPr>
          <w:color w:val="424242"/>
        </w:rPr>
        <w:t>де</w:t>
      </w:r>
    </w:p>
    <w:p w14:paraId="50472529" w14:textId="379B78EE" w:rsidR="00224A51" w:rsidRDefault="008732A2" w:rsidP="00224A51">
      <w:pPr>
        <w:rPr>
          <w:color w:val="424242"/>
        </w:rPr>
      </w:pPr>
      <m:oMath>
        <m:sSub>
          <m:sSubPr>
            <m:ctrlPr>
              <w:rPr>
                <w:rFonts w:ascii="Cambria Math" w:hAnsi="Cambria Math"/>
                <w:color w:val="42424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424242"/>
                  </w:rPr>
                </m:ctrlPr>
              </m:sSubPr>
              <m:e>
                <m:r>
                  <w:rPr>
                    <w:rFonts w:ascii="Cambria Math" w:hAnsi="Cambria Math"/>
                    <w:color w:val="424242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424242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color w:val="424242"/>
                <w:lang w:val="en-US"/>
              </w:rPr>
              <m:t>t</m:t>
            </m:r>
          </m:sub>
        </m:sSub>
      </m:oMath>
      <w:r w:rsidR="00224A51" w:rsidRPr="00224A51">
        <w:rPr>
          <w:color w:val="424242"/>
        </w:rPr>
        <w:t xml:space="preserve"> – индивидуальный индекс цены для i-го товара к декабрю предыдущего года</w:t>
      </w:r>
      <w:r w:rsidR="00224A51">
        <w:rPr>
          <w:color w:val="424242"/>
        </w:rPr>
        <w:t>;</w:t>
      </w:r>
    </w:p>
    <w:p w14:paraId="275A19A3" w14:textId="7EA6A77F" w:rsidR="00224A51" w:rsidRPr="00224A51" w:rsidRDefault="008732A2" w:rsidP="00224A51">
      <w:pPr>
        <w:rPr>
          <w:color w:val="424242"/>
        </w:rPr>
      </w:pPr>
      <m:oMath>
        <m:sSub>
          <m:sSubPr>
            <m:ctrlPr>
              <w:rPr>
                <w:rFonts w:ascii="Cambria Math" w:hAnsi="Cambria Math"/>
                <w:color w:val="42424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424242"/>
                  </w:rPr>
                </m:ctrlPr>
              </m:sSubPr>
              <m:e>
                <m:r>
                  <w:rPr>
                    <w:rFonts w:ascii="Cambria Math" w:hAnsi="Cambria Math"/>
                    <w:color w:val="424242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424242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color w:val="424242"/>
              </w:rPr>
              <m:t>t</m:t>
            </m:r>
          </m:sub>
        </m:sSub>
      </m:oMath>
      <w:r w:rsidR="00224A51" w:rsidRPr="00224A51">
        <w:rPr>
          <w:color w:val="424242"/>
        </w:rPr>
        <w:t xml:space="preserve"> – средняя цена на товар i в месяц</w:t>
      </w:r>
      <w:r w:rsidR="00A90D71" w:rsidRPr="00A90D71">
        <w:rPr>
          <w:color w:val="424242"/>
        </w:rPr>
        <w:t>/</w:t>
      </w:r>
      <w:r w:rsidR="00A90D71">
        <w:rPr>
          <w:color w:val="424242"/>
        </w:rPr>
        <w:t>неделю</w:t>
      </w:r>
      <w:r w:rsidR="00224A51" w:rsidRPr="00224A51">
        <w:rPr>
          <w:color w:val="424242"/>
        </w:rPr>
        <w:t xml:space="preserve"> t</w:t>
      </w:r>
      <w:r w:rsidR="005D3116">
        <w:rPr>
          <w:color w:val="424242"/>
        </w:rPr>
        <w:t xml:space="preserve"> в текущем году</w:t>
      </w:r>
      <w:r w:rsidR="00224A51" w:rsidRPr="00224A51">
        <w:rPr>
          <w:color w:val="424242"/>
        </w:rPr>
        <w:t>;</w:t>
      </w:r>
    </w:p>
    <w:p w14:paraId="6CF4A84D" w14:textId="76F604C5" w:rsidR="00224A51" w:rsidRPr="00224A51" w:rsidRDefault="008732A2" w:rsidP="00224A51">
      <w:pPr>
        <w:rPr>
          <w:color w:val="424242"/>
        </w:rPr>
      </w:pPr>
      <m:oMath>
        <m:sSub>
          <m:sSubPr>
            <m:ctrlPr>
              <w:rPr>
                <w:rFonts w:ascii="Cambria Math" w:hAnsi="Cambria Math"/>
                <w:color w:val="424242"/>
              </w:rPr>
            </m:ctrlPr>
          </m:sSubPr>
          <m:e>
            <m:r>
              <w:rPr>
                <w:rFonts w:ascii="Cambria Math" w:hAnsi="Cambria Math"/>
                <w:color w:val="424242"/>
              </w:rPr>
              <m:t>p</m:t>
            </m:r>
          </m:e>
          <m:sub>
            <m:r>
              <w:rPr>
                <w:rFonts w:ascii="Cambria Math" w:hAnsi="Cambria Math"/>
                <w:color w:val="424242"/>
              </w:rPr>
              <m:t>i,2021</m:t>
            </m:r>
          </m:sub>
        </m:sSub>
      </m:oMath>
      <w:r w:rsidR="00224A51" w:rsidRPr="00224A51">
        <w:rPr>
          <w:color w:val="424242"/>
        </w:rPr>
        <w:t xml:space="preserve"> – средняя цена на товар i в </w:t>
      </w:r>
      <w:r w:rsidR="00FA3CFA">
        <w:rPr>
          <w:color w:val="424242"/>
        </w:rPr>
        <w:t>2021 г</w:t>
      </w:r>
      <w:r w:rsidR="002172CC">
        <w:rPr>
          <w:color w:val="424242"/>
        </w:rPr>
        <w:t>.</w:t>
      </w:r>
      <w:r w:rsidR="00224A51" w:rsidRPr="00224A51">
        <w:rPr>
          <w:color w:val="424242"/>
        </w:rPr>
        <w:t>;</w:t>
      </w:r>
    </w:p>
    <w:p w14:paraId="2FF51DAC" w14:textId="209D3F9D" w:rsidR="00224A51" w:rsidRDefault="00224A51" w:rsidP="00C50147">
      <w:pPr>
        <w:pStyle w:val="2"/>
      </w:pPr>
      <w:bookmarkStart w:id="6" w:name="_Toc164857120"/>
      <w:r>
        <w:t>Ф</w:t>
      </w:r>
      <w:r w:rsidRPr="00224A51">
        <w:t>ормирование системы весов</w:t>
      </w:r>
      <w:bookmarkEnd w:id="6"/>
      <w:r w:rsidRPr="00224A51">
        <w:t xml:space="preserve"> </w:t>
      </w:r>
    </w:p>
    <w:p w14:paraId="4B9E34AA" w14:textId="3F973C92" w:rsidR="00FD19AC" w:rsidRPr="00FD19AC" w:rsidRDefault="00FD19AC" w:rsidP="008732A2">
      <w:pPr>
        <w:jc w:val="both"/>
      </w:pPr>
      <w:r>
        <w:t xml:space="preserve">Веса, используемые в расчете Индекса цен сырьевого экспорта для Российской Федерации, определяют масштабы влияния изменений в ценах на отдельные сырьевые товары для совокупного индекса цен. Они представляют собой долю экспорта каждого товара-представителя в </w:t>
      </w:r>
      <w:r w:rsidR="00E6370B">
        <w:t>экспорте всех товаров в корзине товаров-представителей.</w:t>
      </w:r>
    </w:p>
    <w:p w14:paraId="410F256F" w14:textId="408D5E6B" w:rsidR="00F1688E" w:rsidRDefault="00224A51" w:rsidP="008732A2">
      <w:pPr>
        <w:jc w:val="both"/>
      </w:pPr>
      <w:r>
        <w:t xml:space="preserve">Источником о стоимости российского экспорта для расчета весов являются доступные данные Федеральной </w:t>
      </w:r>
      <w:r w:rsidR="009462EB">
        <w:t>т</w:t>
      </w:r>
      <w:r>
        <w:t xml:space="preserve">аможенной </w:t>
      </w:r>
      <w:r w:rsidR="009462EB">
        <w:t>с</w:t>
      </w:r>
      <w:r>
        <w:t>лужбы</w:t>
      </w:r>
      <w:r w:rsidR="009462EB">
        <w:t xml:space="preserve"> Российской Федерации</w:t>
      </w:r>
      <w:r w:rsidR="000A5714">
        <w:t xml:space="preserve"> (ФТС России)</w:t>
      </w:r>
      <w:r>
        <w:t xml:space="preserve">. </w:t>
      </w:r>
    </w:p>
    <w:p w14:paraId="1AEB029D" w14:textId="6DD07D33" w:rsidR="00224A51" w:rsidRPr="00224A51" w:rsidRDefault="00224A51" w:rsidP="008732A2">
      <w:pPr>
        <w:jc w:val="both"/>
      </w:pPr>
      <w:r>
        <w:t>В случае, если за необходимый для расчета индекса период данные недоступны, произв</w:t>
      </w:r>
      <w:r w:rsidR="00F1688E">
        <w:t>одится расчетная корректировка</w:t>
      </w:r>
      <w:r>
        <w:t xml:space="preserve"> </w:t>
      </w:r>
      <w:r w:rsidRPr="00AF6BD3">
        <w:t>стоимости</w:t>
      </w:r>
      <w:r>
        <w:t xml:space="preserve"> экспорта по отдельным товарным группам</w:t>
      </w:r>
      <w:r w:rsidR="000A5714">
        <w:t xml:space="preserve"> за года, когда данные были доступны</w:t>
      </w:r>
      <w:r>
        <w:t xml:space="preserve"> на основании открытой статистики (зеркальной статистики стран-торговых партнеров, динамики экспортных цен</w:t>
      </w:r>
      <w:r w:rsidR="009462EB">
        <w:t>, данных о торговых потоках сухопутным и морским транспортом</w:t>
      </w:r>
      <w:r>
        <w:t xml:space="preserve"> и </w:t>
      </w:r>
      <w:r w:rsidR="009462EB">
        <w:t>иной</w:t>
      </w:r>
      <w:r>
        <w:t xml:space="preserve"> </w:t>
      </w:r>
      <w:r w:rsidR="000A5714">
        <w:t xml:space="preserve">экспертной </w:t>
      </w:r>
      <w:r>
        <w:t xml:space="preserve">информации). </w:t>
      </w:r>
    </w:p>
    <w:p w14:paraId="3F6DB727" w14:textId="5F418878" w:rsidR="002E249C" w:rsidRDefault="002E249C" w:rsidP="00F1688E">
      <w:pPr>
        <w:jc w:val="both"/>
      </w:pPr>
      <w:r>
        <w:t>Веса для расчета Индекса цен сырьевого экспорта для Российской Федерации</w:t>
      </w:r>
      <w:r w:rsidR="00224A51" w:rsidRPr="00F1688E">
        <w:t xml:space="preserve"> </w:t>
      </w:r>
      <w:r w:rsidR="00224A51" w:rsidRPr="00D5332B">
        <w:rPr>
          <w:u w:val="single"/>
        </w:rPr>
        <w:t xml:space="preserve">обновляются </w:t>
      </w:r>
      <w:r w:rsidR="00AD440F" w:rsidRPr="00D5332B">
        <w:rPr>
          <w:u w:val="single"/>
        </w:rPr>
        <w:t>ежегодно</w:t>
      </w:r>
      <w:r w:rsidR="00224A51" w:rsidRPr="00F1688E">
        <w:t>.</w:t>
      </w:r>
      <w:r w:rsidR="00AD440F">
        <w:t xml:space="preserve"> </w:t>
      </w:r>
      <w:r>
        <w:t>В практике расчета индекса сырьевых цен ежегодное обновление весовой базы</w:t>
      </w:r>
      <w:r w:rsidR="000C6D5E">
        <w:t xml:space="preserve"> не является типичным </w:t>
      </w:r>
      <w:r w:rsidR="000C6D5E">
        <w:rPr>
          <w:rFonts w:ascii="Arial Narrow" w:hAnsi="Arial Narrow"/>
        </w:rPr>
        <w:t>―</w:t>
      </w:r>
      <w:r w:rsidR="000C6D5E">
        <w:t xml:space="preserve"> как правило, веса обновляются раз в 5-10 лет</w:t>
      </w:r>
      <w:r>
        <w:t>. К примеру, Сырьевой индекс Конференции ООН по торговле и развитию</w:t>
      </w:r>
      <w:hyperlink r:id="rId11" w:history="1">
        <w:r w:rsidRPr="002E249C">
          <w:rPr>
            <w:rStyle w:val="aff2"/>
          </w:rPr>
          <w:t xml:space="preserve"> (</w:t>
        </w:r>
        <w:r w:rsidRPr="002E249C">
          <w:rPr>
            <w:rStyle w:val="aff2"/>
            <w:lang w:val="en-US"/>
          </w:rPr>
          <w:t>UNCTAD</w:t>
        </w:r>
        <w:r w:rsidRPr="002E249C">
          <w:rPr>
            <w:rStyle w:val="aff2"/>
          </w:rPr>
          <w:t>, 2018)</w:t>
        </w:r>
      </w:hyperlink>
      <w:r>
        <w:t xml:space="preserve"> фиксирует веса исходя из стоимости экспорта за 2014-2016 гг., переведенной в цены 2015 г. Индекс сырьевых цен МВФ </w:t>
      </w:r>
      <w:hyperlink r:id="rId12" w:history="1">
        <w:r w:rsidRPr="002E249C">
          <w:rPr>
            <w:rStyle w:val="aff2"/>
          </w:rPr>
          <w:t>(</w:t>
        </w:r>
        <w:r w:rsidRPr="002E249C">
          <w:rPr>
            <w:rStyle w:val="aff2"/>
            <w:lang w:val="en-US"/>
          </w:rPr>
          <w:t>IMF</w:t>
        </w:r>
        <w:r w:rsidRPr="002E249C">
          <w:rPr>
            <w:rStyle w:val="aff2"/>
          </w:rPr>
          <w:t>,2019)</w:t>
        </w:r>
      </w:hyperlink>
      <w:r w:rsidRPr="002E249C">
        <w:t xml:space="preserve"> </w:t>
      </w:r>
      <w:r>
        <w:t xml:space="preserve">в качестве весов использует средние доли импорта товаров в 2014-2016 гг. в ценах 2016 г. </w:t>
      </w:r>
      <w:r w:rsidR="00D5332B">
        <w:t xml:space="preserve">При расчете индекса сырьевых цен </w:t>
      </w:r>
      <w:r w:rsidR="00D5332B">
        <w:rPr>
          <w:lang w:val="en-US"/>
        </w:rPr>
        <w:t>Bloomberg</w:t>
      </w:r>
      <w:r w:rsidR="00D5332B">
        <w:t xml:space="preserve"> </w:t>
      </w:r>
      <w:hyperlink r:id="rId13" w:history="1">
        <w:r w:rsidR="00D5332B" w:rsidRPr="00D5332B">
          <w:rPr>
            <w:rStyle w:val="aff2"/>
          </w:rPr>
          <w:t>(</w:t>
        </w:r>
        <w:r w:rsidR="00D5332B" w:rsidRPr="00D5332B">
          <w:rPr>
            <w:rStyle w:val="aff2"/>
            <w:lang w:val="en-US"/>
          </w:rPr>
          <w:t>Bloomberg</w:t>
        </w:r>
        <w:r w:rsidR="00D5332B" w:rsidRPr="00D5332B">
          <w:rPr>
            <w:rStyle w:val="aff2"/>
          </w:rPr>
          <w:t>, 2022)</w:t>
        </w:r>
      </w:hyperlink>
      <w:r w:rsidR="00D5332B" w:rsidRPr="00D5332B">
        <w:t xml:space="preserve"> </w:t>
      </w:r>
      <w:r w:rsidR="00D5332B">
        <w:t xml:space="preserve">в качестве весов используются скользящие средние данные о производстве сырьевых товаров и объеме торгов контрактами </w:t>
      </w:r>
      <w:r w:rsidR="00F2575B">
        <w:t>на</w:t>
      </w:r>
      <w:r w:rsidR="00D5332B">
        <w:t xml:space="preserve"> отдельн</w:t>
      </w:r>
      <w:r w:rsidR="00F2575B">
        <w:t>ые</w:t>
      </w:r>
      <w:r w:rsidR="00D5332B">
        <w:t xml:space="preserve"> това</w:t>
      </w:r>
      <w:r w:rsidR="00F2575B">
        <w:t>ры</w:t>
      </w:r>
      <w:r w:rsidR="00D5332B">
        <w:t xml:space="preserve"> за 5 лет с лагом в 2 года от периода расчета индекса (в 2022 г. использовались данные за 2016-2020 гг.).</w:t>
      </w:r>
    </w:p>
    <w:p w14:paraId="7369EF8D" w14:textId="368AA4A2" w:rsidR="000C6D5E" w:rsidRDefault="00A805E8" w:rsidP="00F1688E">
      <w:pPr>
        <w:jc w:val="both"/>
      </w:pPr>
      <w:r>
        <w:lastRenderedPageBreak/>
        <w:t>Е</w:t>
      </w:r>
      <w:r w:rsidR="000C6D5E">
        <w:t xml:space="preserve">жегодное обновление весовой базы </w:t>
      </w:r>
      <w:r>
        <w:t>характерно для</w:t>
      </w:r>
      <w:r w:rsidR="00D5332B">
        <w:t xml:space="preserve"> российской практик</w:t>
      </w:r>
      <w:r>
        <w:t>и</w:t>
      </w:r>
      <w:r w:rsidR="00D5332B">
        <w:t xml:space="preserve"> построения </w:t>
      </w:r>
      <w:r w:rsidR="000C6D5E">
        <w:t xml:space="preserve">индексов </w:t>
      </w:r>
      <w:r w:rsidR="00D5332B">
        <w:t xml:space="preserve">цен и используется при расчете индекса потребительских цен и индекса цен производителей Росстатом </w:t>
      </w:r>
      <w:hyperlink r:id="rId14" w:history="1">
        <w:r w:rsidR="00D5332B" w:rsidRPr="00D5332B">
          <w:rPr>
            <w:rStyle w:val="aff2"/>
          </w:rPr>
          <w:t>(Росстат, 2016)</w:t>
        </w:r>
      </w:hyperlink>
      <w:r w:rsidR="00D5332B">
        <w:t xml:space="preserve">. </w:t>
      </w:r>
    </w:p>
    <w:p w14:paraId="6387C032" w14:textId="7E50DC19" w:rsidR="00611D01" w:rsidRPr="00F1688E" w:rsidRDefault="00224A51" w:rsidP="00F1688E">
      <w:pPr>
        <w:jc w:val="both"/>
      </w:pPr>
      <w:r w:rsidRPr="00F1688E">
        <w:t>Ба</w:t>
      </w:r>
      <w:r w:rsidR="005D3116">
        <w:t>зой для расчета весовых коэффициентов</w:t>
      </w:r>
      <w:r w:rsidR="000C6D5E">
        <w:t xml:space="preserve"> Индекса цен сырьевого экспорта для Российской Федерации</w:t>
      </w:r>
      <w:r w:rsidRPr="00F1688E">
        <w:t xml:space="preserve"> является стоимос</w:t>
      </w:r>
      <w:r w:rsidR="005D3116">
        <w:t xml:space="preserve">ть экспорта за январь-декабрь предыдущего года в </w:t>
      </w:r>
      <w:r w:rsidR="00A805E8">
        <w:t xml:space="preserve">средних </w:t>
      </w:r>
      <w:r w:rsidR="00AD440F">
        <w:t xml:space="preserve">ценах </w:t>
      </w:r>
      <w:r w:rsidR="00A805E8">
        <w:t>2021 г</w:t>
      </w:r>
      <w:r w:rsidR="00AD440F">
        <w:t xml:space="preserve">. Обновление весовой базы осуществляется в январе. </w:t>
      </w:r>
      <w:r w:rsidR="000C6D5E">
        <w:t>Центр Ценовых Индексов оставляет за собой право перейти к более редкому обновлению весовой базы по мере стабилизации структуры российского экспорта.</w:t>
      </w:r>
    </w:p>
    <w:p w14:paraId="023C1449" w14:textId="5019A61F" w:rsidR="00224A51" w:rsidRDefault="00224A51" w:rsidP="00F1688E">
      <w:pPr>
        <w:jc w:val="both"/>
      </w:pPr>
      <w:r>
        <w:t>Коды ТН</w:t>
      </w:r>
      <w:r w:rsidR="00B50C00">
        <w:t xml:space="preserve"> </w:t>
      </w:r>
      <w:r>
        <w:t xml:space="preserve">ВЭД, на базе которых строятся веса для каждого товара представлены в Таблице 2. </w:t>
      </w:r>
    </w:p>
    <w:p w14:paraId="71857315" w14:textId="2B96AFC5" w:rsidR="00AF6BD3" w:rsidRPr="00224A51" w:rsidRDefault="00AF6BD3" w:rsidP="00F1688E">
      <w:pPr>
        <w:jc w:val="both"/>
      </w:pPr>
    </w:p>
    <w:p w14:paraId="52A5B1B1" w14:textId="6F154A1F" w:rsidR="005D3116" w:rsidRPr="00CC2665" w:rsidRDefault="00224A51" w:rsidP="00224A51">
      <w:pPr>
        <w:jc w:val="both"/>
        <w:rPr>
          <w:b/>
          <w:color w:val="424242"/>
        </w:rPr>
      </w:pPr>
      <w:r>
        <w:rPr>
          <w:b/>
          <w:color w:val="424242"/>
        </w:rPr>
        <w:t>Таблица 2. Коды ТН</w:t>
      </w:r>
      <w:r w:rsidR="00B50C00">
        <w:rPr>
          <w:b/>
          <w:color w:val="424242"/>
        </w:rPr>
        <w:t xml:space="preserve"> </w:t>
      </w:r>
      <w:r>
        <w:rPr>
          <w:b/>
          <w:color w:val="424242"/>
        </w:rPr>
        <w:t>ВЭД, используемые при формировании системы весов для расчета индекс</w:t>
      </w:r>
      <w:r w:rsidR="00AD440F">
        <w:rPr>
          <w:b/>
          <w:color w:val="424242"/>
        </w:rPr>
        <w:t>а цен сырьевого экспорта России</w:t>
      </w:r>
    </w:p>
    <w:tbl>
      <w:tblPr>
        <w:tblStyle w:val="24"/>
        <w:tblW w:w="10672" w:type="dxa"/>
        <w:tblLook w:val="04A0" w:firstRow="1" w:lastRow="0" w:firstColumn="1" w:lastColumn="0" w:noHBand="0" w:noVBand="1"/>
      </w:tblPr>
      <w:tblGrid>
        <w:gridCol w:w="2217"/>
        <w:gridCol w:w="1537"/>
        <w:gridCol w:w="3459"/>
        <w:gridCol w:w="3459"/>
      </w:tblGrid>
      <w:tr w:rsidR="005D3116" w:rsidRPr="003B16B3" w14:paraId="7AA7A982" w14:textId="63941A33" w:rsidTr="005D3116">
        <w:trPr>
          <w:trHeight w:val="419"/>
        </w:trPr>
        <w:tc>
          <w:tcPr>
            <w:tcW w:w="2217" w:type="dxa"/>
            <w:shd w:val="clear" w:color="auto" w:fill="D1E5FF"/>
          </w:tcPr>
          <w:p w14:paraId="170179EC" w14:textId="77777777" w:rsidR="005D3116" w:rsidRPr="00970573" w:rsidRDefault="005D3116" w:rsidP="005D3116">
            <w:pPr>
              <w:jc w:val="both"/>
              <w:rPr>
                <w:color w:val="424242"/>
              </w:rPr>
            </w:pPr>
            <w:r>
              <w:t>Товары-представители</w:t>
            </w:r>
          </w:p>
        </w:tc>
        <w:tc>
          <w:tcPr>
            <w:tcW w:w="1537" w:type="dxa"/>
            <w:shd w:val="clear" w:color="auto" w:fill="D1E5FF"/>
          </w:tcPr>
          <w:p w14:paraId="2EAF0B88" w14:textId="77777777" w:rsidR="005D3116" w:rsidRPr="00BC3220" w:rsidRDefault="005D3116" w:rsidP="005D3116">
            <w:pPr>
              <w:jc w:val="both"/>
            </w:pPr>
            <w:r>
              <w:t>Ед. измерения</w:t>
            </w:r>
          </w:p>
        </w:tc>
        <w:tc>
          <w:tcPr>
            <w:tcW w:w="3459" w:type="dxa"/>
            <w:shd w:val="clear" w:color="auto" w:fill="D1E5FF"/>
          </w:tcPr>
          <w:p w14:paraId="0C5A2E1C" w14:textId="77777777" w:rsidR="005D3116" w:rsidRPr="00224A51" w:rsidRDefault="005D3116" w:rsidP="005D3116">
            <w:pPr>
              <w:jc w:val="both"/>
            </w:pPr>
            <w:r>
              <w:t>Индикаторы-представители</w:t>
            </w:r>
          </w:p>
        </w:tc>
        <w:tc>
          <w:tcPr>
            <w:tcW w:w="3459" w:type="dxa"/>
            <w:shd w:val="clear" w:color="auto" w:fill="D1E5FF"/>
          </w:tcPr>
          <w:p w14:paraId="43BE0A4B" w14:textId="7C32297B" w:rsidR="005D3116" w:rsidRDefault="005D3116" w:rsidP="005D3116">
            <w:pPr>
              <w:jc w:val="both"/>
            </w:pPr>
            <w:r>
              <w:t xml:space="preserve">Код ТН ВЭД </w:t>
            </w:r>
          </w:p>
        </w:tc>
      </w:tr>
      <w:tr w:rsidR="005D3116" w:rsidRPr="005D3116" w14:paraId="46E15F52" w14:textId="6C9DAB12" w:rsidTr="005D3116">
        <w:trPr>
          <w:trHeight w:val="850"/>
        </w:trPr>
        <w:tc>
          <w:tcPr>
            <w:tcW w:w="2217" w:type="dxa"/>
          </w:tcPr>
          <w:p w14:paraId="7113D60E" w14:textId="77777777" w:rsidR="005D3116" w:rsidRPr="001F431A" w:rsidRDefault="005D3116" w:rsidP="005D3116">
            <w:pPr>
              <w:spacing w:before="0" w:after="60"/>
              <w:jc w:val="both"/>
              <w:rPr>
                <w:i/>
                <w:iCs/>
                <w:color w:val="424242"/>
              </w:rPr>
            </w:pPr>
            <w:r>
              <w:t>Пшеница</w:t>
            </w:r>
          </w:p>
        </w:tc>
        <w:tc>
          <w:tcPr>
            <w:tcW w:w="1537" w:type="dxa"/>
          </w:tcPr>
          <w:p w14:paraId="2107CB3A" w14:textId="77777777" w:rsidR="005D3116" w:rsidRPr="00BC3220" w:rsidRDefault="005D3116" w:rsidP="005D3116">
            <w:pPr>
              <w:spacing w:before="0" w:after="60"/>
              <w:jc w:val="both"/>
            </w:pPr>
            <w:r w:rsidRPr="00224A51">
              <w:t>USD/т</w:t>
            </w:r>
          </w:p>
        </w:tc>
        <w:tc>
          <w:tcPr>
            <w:tcW w:w="3459" w:type="dxa"/>
          </w:tcPr>
          <w:p w14:paraId="430C3887" w14:textId="77777777" w:rsidR="005D3116" w:rsidRPr="00224A51" w:rsidRDefault="005D3116" w:rsidP="005D3116">
            <w:pPr>
              <w:spacing w:before="0" w:after="60"/>
              <w:jc w:val="both"/>
              <w:rPr>
                <w:lang w:val="en-US"/>
              </w:rPr>
            </w:pPr>
            <w:r>
              <w:t>Котировка</w:t>
            </w:r>
            <w:r w:rsidRPr="00224A51">
              <w:rPr>
                <w:lang w:val="en-US"/>
              </w:rPr>
              <w:t xml:space="preserve"> </w:t>
            </w:r>
            <w:r>
              <w:t>ЦЦИ</w:t>
            </w:r>
            <w:r w:rsidRPr="00224A51">
              <w:rPr>
                <w:lang w:val="en-US"/>
              </w:rPr>
              <w:t xml:space="preserve"> Russian Wheat 12,5% </w:t>
            </w:r>
            <w:r>
              <w:rPr>
                <w:lang w:val="en-US"/>
              </w:rPr>
              <w:t>FOB Black Sea</w:t>
            </w:r>
          </w:p>
        </w:tc>
        <w:tc>
          <w:tcPr>
            <w:tcW w:w="3459" w:type="dxa"/>
          </w:tcPr>
          <w:p w14:paraId="77B8CAD8" w14:textId="72F13714" w:rsidR="005D3116" w:rsidRDefault="005D3116" w:rsidP="005D3116">
            <w:pPr>
              <w:spacing w:before="0" w:after="60"/>
              <w:jc w:val="both"/>
            </w:pPr>
            <w:r>
              <w:t>10</w:t>
            </w:r>
          </w:p>
        </w:tc>
      </w:tr>
      <w:tr w:rsidR="005D3116" w:rsidRPr="005D3116" w14:paraId="3B526C2B" w14:textId="074AC3AC" w:rsidTr="005D3116">
        <w:trPr>
          <w:trHeight w:val="850"/>
        </w:trPr>
        <w:tc>
          <w:tcPr>
            <w:tcW w:w="2217" w:type="dxa"/>
          </w:tcPr>
          <w:p w14:paraId="190B061D" w14:textId="77777777" w:rsidR="005D3116" w:rsidRPr="00B3222D" w:rsidRDefault="005D3116" w:rsidP="005D3116">
            <w:pPr>
              <w:spacing w:before="0" w:after="60"/>
              <w:jc w:val="both"/>
            </w:pPr>
            <w:r>
              <w:t>Подсолнечное масло</w:t>
            </w:r>
          </w:p>
        </w:tc>
        <w:tc>
          <w:tcPr>
            <w:tcW w:w="1537" w:type="dxa"/>
          </w:tcPr>
          <w:p w14:paraId="56F63750" w14:textId="77777777" w:rsidR="005D3116" w:rsidRPr="00B3222D" w:rsidRDefault="005D3116" w:rsidP="005D3116">
            <w:pPr>
              <w:spacing w:before="0" w:after="60"/>
              <w:jc w:val="both"/>
            </w:pPr>
            <w:r w:rsidRPr="00224A51">
              <w:t>USD/т</w:t>
            </w:r>
          </w:p>
        </w:tc>
        <w:tc>
          <w:tcPr>
            <w:tcW w:w="3459" w:type="dxa"/>
          </w:tcPr>
          <w:p w14:paraId="3EB4DB6B" w14:textId="77777777" w:rsidR="005D3116" w:rsidRPr="00224A51" w:rsidRDefault="005D3116" w:rsidP="005D3116">
            <w:pPr>
              <w:spacing w:before="0" w:after="60"/>
              <w:jc w:val="both"/>
              <w:rPr>
                <w:lang w:val="en-US"/>
              </w:rPr>
            </w:pPr>
            <w:r>
              <w:t>Котировка</w:t>
            </w:r>
            <w:r w:rsidRPr="00224A51">
              <w:rPr>
                <w:lang w:val="en-US"/>
              </w:rPr>
              <w:t xml:space="preserve"> </w:t>
            </w:r>
            <w:r>
              <w:t>ЦЦИ</w:t>
            </w:r>
            <w:r w:rsidRPr="00224A51">
              <w:rPr>
                <w:lang w:val="en-US"/>
              </w:rPr>
              <w:t xml:space="preserve"> Russian Sunflower Oil</w:t>
            </w:r>
            <w:r w:rsidRPr="005D3116">
              <w:rPr>
                <w:lang w:val="en-US"/>
              </w:rPr>
              <w:t xml:space="preserve"> </w:t>
            </w:r>
            <w:r>
              <w:rPr>
                <w:lang w:val="en-US"/>
              </w:rPr>
              <w:t>FOB Black Sea</w:t>
            </w:r>
          </w:p>
        </w:tc>
        <w:tc>
          <w:tcPr>
            <w:tcW w:w="3459" w:type="dxa"/>
          </w:tcPr>
          <w:p w14:paraId="5A41530F" w14:textId="648A5ECB" w:rsidR="005D3116" w:rsidRDefault="005D3116" w:rsidP="005D3116">
            <w:pPr>
              <w:spacing w:before="0" w:after="60"/>
              <w:jc w:val="both"/>
            </w:pPr>
            <w:r>
              <w:t>15</w:t>
            </w:r>
          </w:p>
        </w:tc>
      </w:tr>
      <w:tr w:rsidR="005D3116" w:rsidRPr="005D3116" w14:paraId="66558B6B" w14:textId="171C3B6C" w:rsidTr="005D3116">
        <w:trPr>
          <w:trHeight w:val="850"/>
        </w:trPr>
        <w:tc>
          <w:tcPr>
            <w:tcW w:w="2217" w:type="dxa"/>
          </w:tcPr>
          <w:p w14:paraId="4BF296DD" w14:textId="77777777" w:rsidR="005D3116" w:rsidRPr="005266B8" w:rsidRDefault="005D3116" w:rsidP="005D3116">
            <w:pPr>
              <w:spacing w:before="60" w:after="60"/>
              <w:jc w:val="both"/>
              <w:rPr>
                <w:color w:val="424242"/>
              </w:rPr>
            </w:pPr>
            <w:r>
              <w:t>Энергетический уголь</w:t>
            </w:r>
          </w:p>
        </w:tc>
        <w:tc>
          <w:tcPr>
            <w:tcW w:w="1537" w:type="dxa"/>
          </w:tcPr>
          <w:p w14:paraId="34927527" w14:textId="77777777" w:rsidR="005D3116" w:rsidRPr="00BC3220" w:rsidRDefault="005D3116" w:rsidP="005D3116">
            <w:pPr>
              <w:spacing w:before="60" w:after="60"/>
              <w:jc w:val="both"/>
            </w:pPr>
            <w:r w:rsidRPr="00224A51">
              <w:t>USD/т</w:t>
            </w:r>
          </w:p>
        </w:tc>
        <w:tc>
          <w:tcPr>
            <w:tcW w:w="3459" w:type="dxa"/>
          </w:tcPr>
          <w:p w14:paraId="71A51CFA" w14:textId="77777777" w:rsidR="005D3116" w:rsidRPr="00224A51" w:rsidRDefault="005D3116" w:rsidP="005D3116">
            <w:pPr>
              <w:spacing w:before="60" w:after="60"/>
              <w:jc w:val="both"/>
              <w:rPr>
                <w:lang w:val="en-US"/>
              </w:rPr>
            </w:pPr>
            <w:r>
              <w:t>Котировка</w:t>
            </w:r>
            <w:r w:rsidRPr="00224A51">
              <w:rPr>
                <w:lang w:val="en-US"/>
              </w:rPr>
              <w:t xml:space="preserve"> </w:t>
            </w:r>
            <w:r>
              <w:t>ЦЦИ</w:t>
            </w:r>
            <w:r w:rsidRPr="00224A51">
              <w:rPr>
                <w:lang w:val="en-US"/>
              </w:rPr>
              <w:t xml:space="preserve"> Russian Steam coal 6000 </w:t>
            </w:r>
            <w:r>
              <w:rPr>
                <w:lang w:val="en-US"/>
              </w:rPr>
              <w:t>NAR</w:t>
            </w:r>
            <w:r w:rsidRPr="00224A51">
              <w:rPr>
                <w:lang w:val="en-US"/>
              </w:rPr>
              <w:t xml:space="preserve"> FOB Far East</w:t>
            </w:r>
          </w:p>
        </w:tc>
        <w:tc>
          <w:tcPr>
            <w:tcW w:w="3459" w:type="dxa"/>
          </w:tcPr>
          <w:p w14:paraId="312050F6" w14:textId="358A8338" w:rsidR="005D3116" w:rsidRDefault="00F57319" w:rsidP="00F57319">
            <w:pPr>
              <w:spacing w:before="60" w:after="60"/>
              <w:jc w:val="both"/>
            </w:pPr>
            <w:r>
              <w:t>2701</w:t>
            </w:r>
          </w:p>
        </w:tc>
      </w:tr>
      <w:tr w:rsidR="005D3116" w:rsidRPr="005D3116" w14:paraId="192BA9AF" w14:textId="3FCEC615" w:rsidTr="005D3116">
        <w:trPr>
          <w:trHeight w:val="850"/>
        </w:trPr>
        <w:tc>
          <w:tcPr>
            <w:tcW w:w="2217" w:type="dxa"/>
          </w:tcPr>
          <w:p w14:paraId="7742AF06" w14:textId="77777777" w:rsidR="005D3116" w:rsidRPr="00970573" w:rsidRDefault="005D3116" w:rsidP="005D3116">
            <w:pPr>
              <w:spacing w:before="60" w:after="60"/>
              <w:jc w:val="both"/>
              <w:rPr>
                <w:color w:val="424242"/>
              </w:rPr>
            </w:pPr>
            <w:r w:rsidRPr="00224A51">
              <w:t>Карбамид</w:t>
            </w:r>
          </w:p>
        </w:tc>
        <w:tc>
          <w:tcPr>
            <w:tcW w:w="1537" w:type="dxa"/>
          </w:tcPr>
          <w:p w14:paraId="54416AFF" w14:textId="77777777" w:rsidR="005D3116" w:rsidRPr="00BC3220" w:rsidRDefault="005D3116" w:rsidP="005D3116">
            <w:pPr>
              <w:spacing w:before="60" w:after="60"/>
              <w:jc w:val="both"/>
            </w:pPr>
            <w:r w:rsidRPr="00224A51">
              <w:t>USD/т</w:t>
            </w:r>
          </w:p>
        </w:tc>
        <w:tc>
          <w:tcPr>
            <w:tcW w:w="3459" w:type="dxa"/>
          </w:tcPr>
          <w:p w14:paraId="6CB28F2D" w14:textId="77777777" w:rsidR="005D3116" w:rsidRPr="005D3116" w:rsidRDefault="005D3116" w:rsidP="005D3116">
            <w:pPr>
              <w:spacing w:before="60" w:after="60"/>
              <w:jc w:val="both"/>
              <w:rPr>
                <w:lang w:val="en-US"/>
              </w:rPr>
            </w:pPr>
            <w:r>
              <w:t>Котировка</w:t>
            </w:r>
            <w:r w:rsidRPr="005D3116">
              <w:rPr>
                <w:lang w:val="en-US"/>
              </w:rPr>
              <w:t xml:space="preserve"> </w:t>
            </w:r>
            <w:r>
              <w:t>ЦЦИ</w:t>
            </w:r>
            <w:r w:rsidRPr="005D3116">
              <w:rPr>
                <w:lang w:val="en-US"/>
              </w:rPr>
              <w:t xml:space="preserve"> </w:t>
            </w:r>
            <w:r>
              <w:rPr>
                <w:lang w:val="en-US"/>
              </w:rPr>
              <w:t>Urea Baltic Sea</w:t>
            </w:r>
          </w:p>
        </w:tc>
        <w:tc>
          <w:tcPr>
            <w:tcW w:w="3459" w:type="dxa"/>
          </w:tcPr>
          <w:p w14:paraId="7A91EFDD" w14:textId="7D069228" w:rsidR="005D3116" w:rsidRDefault="005D3116" w:rsidP="005D3116">
            <w:pPr>
              <w:spacing w:before="60" w:after="60"/>
              <w:jc w:val="both"/>
            </w:pPr>
            <w:r>
              <w:t>31</w:t>
            </w:r>
          </w:p>
        </w:tc>
      </w:tr>
      <w:tr w:rsidR="005D3116" w:rsidRPr="005D3116" w14:paraId="50E4A49C" w14:textId="4BABE220" w:rsidTr="005D3116">
        <w:trPr>
          <w:trHeight w:val="2488"/>
        </w:trPr>
        <w:tc>
          <w:tcPr>
            <w:tcW w:w="2217" w:type="dxa"/>
          </w:tcPr>
          <w:p w14:paraId="598F5ECD" w14:textId="77777777" w:rsidR="005D3116" w:rsidRPr="00224A51" w:rsidRDefault="005D3116" w:rsidP="005D3116">
            <w:pPr>
              <w:spacing w:before="60" w:after="60"/>
              <w:jc w:val="both"/>
              <w:rPr>
                <w:iCs/>
                <w:color w:val="424242"/>
              </w:rPr>
            </w:pPr>
            <w:r>
              <w:rPr>
                <w:iCs/>
                <w:color w:val="424242"/>
              </w:rPr>
              <w:t>Нефть</w:t>
            </w:r>
          </w:p>
        </w:tc>
        <w:tc>
          <w:tcPr>
            <w:tcW w:w="1537" w:type="dxa"/>
          </w:tcPr>
          <w:p w14:paraId="6C34C9D8" w14:textId="77777777" w:rsidR="005D3116" w:rsidRPr="00BC3220" w:rsidRDefault="005D3116" w:rsidP="005D3116">
            <w:pPr>
              <w:spacing w:before="60" w:after="60"/>
              <w:jc w:val="both"/>
            </w:pPr>
            <w:r w:rsidRPr="00224A51">
              <w:t>USD/барр.</w:t>
            </w:r>
          </w:p>
        </w:tc>
        <w:tc>
          <w:tcPr>
            <w:tcW w:w="3459" w:type="dxa"/>
          </w:tcPr>
          <w:p w14:paraId="40304879" w14:textId="77777777" w:rsidR="005D3116" w:rsidRPr="005D3116" w:rsidRDefault="005D3116" w:rsidP="005D3116">
            <w:pPr>
              <w:spacing w:before="60" w:after="60"/>
              <w:jc w:val="both"/>
              <w:rPr>
                <w:lang w:val="en-US"/>
              </w:rPr>
            </w:pPr>
            <w:r>
              <w:t>Дифференциал</w:t>
            </w:r>
            <w:r w:rsidRPr="005D3116">
              <w:rPr>
                <w:lang w:val="en-US"/>
              </w:rPr>
              <w:t xml:space="preserve"> </w:t>
            </w:r>
            <w:r>
              <w:t>ЦЦИ</w:t>
            </w:r>
            <w:r w:rsidRPr="005D3116">
              <w:rPr>
                <w:lang w:val="en-US"/>
              </w:rPr>
              <w:t xml:space="preserve"> Urals FOB Primorsk, Urals FOB Novorossiysk </w:t>
            </w:r>
            <w:r>
              <w:t>к</w:t>
            </w:r>
            <w:r w:rsidRPr="005D3116">
              <w:rPr>
                <w:lang w:val="en-US"/>
              </w:rPr>
              <w:t xml:space="preserve"> Platts Dated Brent*;</w:t>
            </w:r>
          </w:p>
          <w:p w14:paraId="17591E1B" w14:textId="77777777" w:rsidR="005D3116" w:rsidRPr="005D3116" w:rsidRDefault="005D3116" w:rsidP="005D3116">
            <w:pPr>
              <w:spacing w:before="60" w:after="60"/>
              <w:jc w:val="both"/>
              <w:rPr>
                <w:lang w:val="en-US"/>
              </w:rPr>
            </w:pPr>
            <w:r>
              <w:t>дифференциал</w:t>
            </w:r>
            <w:r w:rsidRPr="005D3116">
              <w:rPr>
                <w:lang w:val="en-US"/>
              </w:rPr>
              <w:t xml:space="preserve"> </w:t>
            </w:r>
            <w:r>
              <w:t>ЦЦИ</w:t>
            </w:r>
            <w:r w:rsidRPr="005D3116">
              <w:rPr>
                <w:lang w:val="en-US"/>
              </w:rPr>
              <w:t xml:space="preserve"> ESPO FOB Kozmino </w:t>
            </w:r>
            <w:r>
              <w:t>к</w:t>
            </w:r>
            <w:r w:rsidRPr="005D3116">
              <w:rPr>
                <w:lang w:val="en-US"/>
              </w:rPr>
              <w:t xml:space="preserve"> Platts Dubai*</w:t>
            </w:r>
          </w:p>
        </w:tc>
        <w:tc>
          <w:tcPr>
            <w:tcW w:w="3459" w:type="dxa"/>
          </w:tcPr>
          <w:p w14:paraId="1C0ED4BF" w14:textId="7DB21B1E" w:rsidR="005D3116" w:rsidRDefault="005D3116" w:rsidP="005D3116">
            <w:pPr>
              <w:spacing w:before="60" w:after="60"/>
              <w:jc w:val="both"/>
            </w:pPr>
            <w:r>
              <w:t>2709*</w:t>
            </w:r>
          </w:p>
        </w:tc>
      </w:tr>
      <w:tr w:rsidR="005D3116" w:rsidRPr="005D3116" w14:paraId="7F703B6D" w14:textId="0004652E" w:rsidTr="005D3116">
        <w:trPr>
          <w:trHeight w:val="395"/>
        </w:trPr>
        <w:tc>
          <w:tcPr>
            <w:tcW w:w="2217" w:type="dxa"/>
          </w:tcPr>
          <w:p w14:paraId="055E7F2E" w14:textId="77777777" w:rsidR="005D3116" w:rsidRDefault="005D3116" w:rsidP="005D3116">
            <w:pPr>
              <w:spacing w:before="60" w:after="60"/>
              <w:jc w:val="both"/>
              <w:rPr>
                <w:iCs/>
                <w:color w:val="424242"/>
              </w:rPr>
            </w:pPr>
            <w:r>
              <w:rPr>
                <w:iCs/>
                <w:color w:val="424242"/>
              </w:rPr>
              <w:t>Дизель</w:t>
            </w:r>
          </w:p>
        </w:tc>
        <w:tc>
          <w:tcPr>
            <w:tcW w:w="1537" w:type="dxa"/>
          </w:tcPr>
          <w:p w14:paraId="1541AC34" w14:textId="77777777" w:rsidR="005D3116" w:rsidRPr="00224A51" w:rsidRDefault="005D3116" w:rsidP="005D3116">
            <w:pPr>
              <w:spacing w:before="60" w:after="60"/>
              <w:jc w:val="both"/>
            </w:pPr>
            <w:r w:rsidRPr="00224A51">
              <w:t>USD/т</w:t>
            </w:r>
          </w:p>
        </w:tc>
        <w:tc>
          <w:tcPr>
            <w:tcW w:w="3459" w:type="dxa"/>
          </w:tcPr>
          <w:p w14:paraId="13780BFA" w14:textId="77777777" w:rsidR="005D3116" w:rsidRPr="005D3116" w:rsidRDefault="005D3116" w:rsidP="005D3116">
            <w:pPr>
              <w:spacing w:before="60" w:after="60"/>
              <w:jc w:val="both"/>
              <w:rPr>
                <w:lang w:val="en-US"/>
              </w:rPr>
            </w:pPr>
            <w:r>
              <w:t>Дифференциал</w:t>
            </w:r>
            <w:r w:rsidRPr="006C41BB">
              <w:rPr>
                <w:lang w:val="en-US"/>
              </w:rPr>
              <w:t xml:space="preserve"> </w:t>
            </w:r>
            <w:r>
              <w:t>ЦЦИ</w:t>
            </w:r>
            <w:r w:rsidRPr="006C41B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Diesel </w:t>
            </w:r>
            <w:r w:rsidRPr="006C41BB">
              <w:rPr>
                <w:lang w:val="en-US"/>
              </w:rPr>
              <w:t xml:space="preserve">FOB Novorossiysk </w:t>
            </w:r>
            <w:r>
              <w:t>к</w:t>
            </w:r>
            <w:r w:rsidRPr="006C41BB">
              <w:rPr>
                <w:lang w:val="en-US"/>
              </w:rPr>
              <w:t xml:space="preserve"> </w:t>
            </w:r>
            <w:r>
              <w:rPr>
                <w:lang w:val="en-US"/>
              </w:rPr>
              <w:t>CIF Med Platts</w:t>
            </w:r>
            <w:r w:rsidRPr="005D3116">
              <w:rPr>
                <w:lang w:val="en-US"/>
              </w:rPr>
              <w:t>*</w:t>
            </w:r>
          </w:p>
        </w:tc>
        <w:tc>
          <w:tcPr>
            <w:tcW w:w="3459" w:type="dxa"/>
          </w:tcPr>
          <w:p w14:paraId="43AA3541" w14:textId="65FE1C36" w:rsidR="005D3116" w:rsidRDefault="00A90D71" w:rsidP="005D3116">
            <w:pPr>
              <w:spacing w:before="60" w:after="60"/>
              <w:jc w:val="both"/>
            </w:pPr>
            <w:r w:rsidRPr="00A90D71">
              <w:t>27101942</w:t>
            </w:r>
          </w:p>
        </w:tc>
      </w:tr>
      <w:tr w:rsidR="005D3116" w:rsidRPr="005D3116" w14:paraId="4DAA184C" w14:textId="73C9EA82" w:rsidTr="005D3116">
        <w:trPr>
          <w:trHeight w:val="850"/>
        </w:trPr>
        <w:tc>
          <w:tcPr>
            <w:tcW w:w="2217" w:type="dxa"/>
          </w:tcPr>
          <w:p w14:paraId="3DA62F16" w14:textId="77777777" w:rsidR="005D3116" w:rsidRDefault="005D3116" w:rsidP="005D3116">
            <w:pPr>
              <w:spacing w:before="60" w:after="60"/>
              <w:jc w:val="both"/>
              <w:rPr>
                <w:iCs/>
                <w:color w:val="424242"/>
              </w:rPr>
            </w:pPr>
            <w:r>
              <w:rPr>
                <w:iCs/>
                <w:color w:val="424242"/>
              </w:rPr>
              <w:t>Трубопроводный газ</w:t>
            </w:r>
          </w:p>
          <w:p w14:paraId="2B693B28" w14:textId="77777777" w:rsidR="005D3116" w:rsidRPr="000C7235" w:rsidRDefault="005D3116" w:rsidP="005D3116">
            <w:pPr>
              <w:spacing w:before="60" w:after="60"/>
              <w:jc w:val="both"/>
              <w:rPr>
                <w:iCs/>
                <w:color w:val="424242"/>
              </w:rPr>
            </w:pPr>
          </w:p>
        </w:tc>
        <w:tc>
          <w:tcPr>
            <w:tcW w:w="1537" w:type="dxa"/>
          </w:tcPr>
          <w:p w14:paraId="7F0F310A" w14:textId="77777777" w:rsidR="005D3116" w:rsidRPr="00B3222D" w:rsidRDefault="005D3116" w:rsidP="005D3116">
            <w:pPr>
              <w:spacing w:before="60" w:after="60"/>
              <w:jc w:val="both"/>
            </w:pPr>
            <w:r w:rsidRPr="00224A51">
              <w:t>USD/тыс. куб. м</w:t>
            </w:r>
          </w:p>
        </w:tc>
        <w:tc>
          <w:tcPr>
            <w:tcW w:w="3459" w:type="dxa"/>
          </w:tcPr>
          <w:p w14:paraId="04D93FBA" w14:textId="77777777" w:rsidR="005D3116" w:rsidRDefault="005D3116" w:rsidP="005D3116">
            <w:pPr>
              <w:spacing w:before="60" w:after="60"/>
              <w:jc w:val="both"/>
              <w:rPr>
                <w:lang w:val="en-US"/>
              </w:rPr>
            </w:pPr>
            <w:r>
              <w:t>ЦЦИ</w:t>
            </w:r>
            <w:r w:rsidRPr="005D3116">
              <w:rPr>
                <w:lang w:val="en-US"/>
              </w:rPr>
              <w:t xml:space="preserve"> </w:t>
            </w:r>
            <w:r>
              <w:rPr>
                <w:lang w:val="en-US"/>
              </w:rPr>
              <w:t>Russian gas DAP Europe;</w:t>
            </w:r>
          </w:p>
          <w:p w14:paraId="1D6E760C" w14:textId="77777777" w:rsidR="005D3116" w:rsidRPr="005D3116" w:rsidRDefault="005D3116" w:rsidP="005D3116">
            <w:pPr>
              <w:spacing w:before="60" w:after="60"/>
              <w:jc w:val="both"/>
              <w:rPr>
                <w:lang w:val="en-US"/>
              </w:rPr>
            </w:pPr>
            <w:r>
              <w:t>ЦЦИ</w:t>
            </w:r>
            <w:r w:rsidRPr="006C41BB">
              <w:rPr>
                <w:lang w:val="en-US"/>
              </w:rPr>
              <w:t xml:space="preserve"> </w:t>
            </w:r>
            <w:r>
              <w:rPr>
                <w:lang w:val="en-US"/>
              </w:rPr>
              <w:t>Russian gas DAP China;</w:t>
            </w:r>
          </w:p>
          <w:p w14:paraId="31B37C08" w14:textId="77777777" w:rsidR="005D3116" w:rsidRPr="005D3116" w:rsidRDefault="005D3116" w:rsidP="005D3116">
            <w:pPr>
              <w:spacing w:before="60" w:after="60"/>
              <w:jc w:val="both"/>
              <w:rPr>
                <w:lang w:val="en-US"/>
              </w:rPr>
            </w:pPr>
          </w:p>
        </w:tc>
        <w:tc>
          <w:tcPr>
            <w:tcW w:w="3459" w:type="dxa"/>
          </w:tcPr>
          <w:p w14:paraId="24367A82" w14:textId="6756E99A" w:rsidR="005D3116" w:rsidRDefault="005D3116" w:rsidP="005D3116">
            <w:pPr>
              <w:spacing w:before="60" w:after="60"/>
              <w:jc w:val="both"/>
            </w:pPr>
            <w:r>
              <w:t>2711*</w:t>
            </w:r>
          </w:p>
        </w:tc>
      </w:tr>
      <w:tr w:rsidR="005D3116" w:rsidRPr="005D3116" w14:paraId="4C6D9BE3" w14:textId="59069BAD" w:rsidTr="005D3116">
        <w:trPr>
          <w:trHeight w:val="850"/>
        </w:trPr>
        <w:tc>
          <w:tcPr>
            <w:tcW w:w="2217" w:type="dxa"/>
          </w:tcPr>
          <w:p w14:paraId="00818280" w14:textId="77777777" w:rsidR="005D3116" w:rsidRDefault="005D3116" w:rsidP="005D3116">
            <w:pPr>
              <w:spacing w:before="60" w:after="60"/>
              <w:jc w:val="both"/>
              <w:rPr>
                <w:iCs/>
                <w:color w:val="424242"/>
              </w:rPr>
            </w:pPr>
            <w:r w:rsidRPr="005D3116">
              <w:rPr>
                <w:iCs/>
                <w:color w:val="424242"/>
              </w:rPr>
              <w:lastRenderedPageBreak/>
              <w:t>СПГ</w:t>
            </w:r>
          </w:p>
        </w:tc>
        <w:tc>
          <w:tcPr>
            <w:tcW w:w="1537" w:type="dxa"/>
          </w:tcPr>
          <w:p w14:paraId="03780E1E" w14:textId="77777777" w:rsidR="005D3116" w:rsidRPr="00224A51" w:rsidRDefault="005D3116" w:rsidP="005D3116">
            <w:pPr>
              <w:spacing w:before="60" w:after="60"/>
              <w:jc w:val="both"/>
            </w:pPr>
          </w:p>
        </w:tc>
        <w:tc>
          <w:tcPr>
            <w:tcW w:w="3459" w:type="dxa"/>
          </w:tcPr>
          <w:p w14:paraId="2FC24F6C" w14:textId="77777777" w:rsidR="005D3116" w:rsidRDefault="005D3116" w:rsidP="005D3116">
            <w:pPr>
              <w:spacing w:before="60" w:after="60"/>
              <w:jc w:val="both"/>
            </w:pPr>
          </w:p>
        </w:tc>
        <w:tc>
          <w:tcPr>
            <w:tcW w:w="3459" w:type="dxa"/>
          </w:tcPr>
          <w:p w14:paraId="6D8F1C81" w14:textId="77777777" w:rsidR="005D3116" w:rsidRDefault="005D3116" w:rsidP="005D3116">
            <w:pPr>
              <w:spacing w:before="60" w:after="60"/>
              <w:jc w:val="both"/>
            </w:pPr>
          </w:p>
        </w:tc>
      </w:tr>
    </w:tbl>
    <w:p w14:paraId="75DF14B9" w14:textId="220BEA92" w:rsidR="00224A51" w:rsidRDefault="005D3116" w:rsidP="00A90D71">
      <w:pPr>
        <w:jc w:val="both"/>
      </w:pPr>
      <w:r w:rsidRPr="005D3116">
        <w:t xml:space="preserve">*для расчета </w:t>
      </w:r>
      <w:r>
        <w:t>весового коэффициента</w:t>
      </w:r>
      <w:r w:rsidR="00A90D71">
        <w:t xml:space="preserve"> для нефти и газа</w:t>
      </w:r>
      <w:r>
        <w:t xml:space="preserve"> </w:t>
      </w:r>
      <w:r w:rsidR="00A90D71">
        <w:t>стоимость экспорта рассчитывалась отдельно для экспорта в Китай и экспорта в прочие страны</w:t>
      </w:r>
    </w:p>
    <w:p w14:paraId="27569DE5" w14:textId="77777777" w:rsidR="008732A2" w:rsidRDefault="008732A2" w:rsidP="00A770D0"/>
    <w:p w14:paraId="250FEB7B" w14:textId="1772BA02" w:rsidR="00224A51" w:rsidRDefault="00AF6BD3" w:rsidP="00A770D0">
      <w:pPr>
        <w:rPr>
          <w:b/>
        </w:rPr>
      </w:pPr>
      <w:r>
        <w:t>Вес 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i</m:t>
            </m:r>
          </m:sub>
        </m:sSub>
        <m:r>
          <w:rPr>
            <w:rFonts w:ascii="Cambria Math" w:hAnsi="Cambria Math"/>
            <w:sz w:val="32"/>
            <w:szCs w:val="24"/>
          </w:rPr>
          <m:t>)</m:t>
        </m:r>
      </m:oMath>
      <w:r>
        <w:t xml:space="preserve"> индивидуального индекса</w:t>
      </w:r>
      <w:r w:rsidR="005768B3"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  <w:r w:rsidR="00F1688E">
        <w:rPr>
          <w:sz w:val="28"/>
        </w:rPr>
        <w:t xml:space="preserve"> </w:t>
      </w:r>
      <w:r w:rsidRPr="001249FB">
        <w:t>в сводном индексе определяется как</w:t>
      </w:r>
      <w:r w:rsidR="005768B3">
        <w:t>:</w:t>
      </w:r>
    </w:p>
    <w:p w14:paraId="392AB7FB" w14:textId="77777777" w:rsidR="005768B3" w:rsidRPr="005768B3" w:rsidRDefault="005768B3" w:rsidP="005768B3"/>
    <w:p w14:paraId="3A733424" w14:textId="1EC7FEF1" w:rsidR="00F1688E" w:rsidRPr="00AF6BD3" w:rsidRDefault="008732A2" w:rsidP="005768B3">
      <w:pPr>
        <w:jc w:val="center"/>
        <w:rPr>
          <w:rFonts w:eastAsiaTheme="minorEastAsia"/>
          <w:i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24"/>
              </w:rPr>
              <m:t>i</m:t>
            </m:r>
          </m:sub>
        </m:sSub>
        <m:r>
          <w:rPr>
            <w:rFonts w:ascii="Cambria Math" w:hAnsi="Cambria Math"/>
            <w:sz w:val="3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i,y-1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32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2"/>
                    <w:szCs w:val="24"/>
                  </w:rPr>
                  <m:t>-1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4"/>
                      </w:rPr>
                      <m:t>j,y-1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j,y-1</m:t>
                    </m:r>
                  </m:sub>
                </m:sSub>
              </m:e>
            </m:nary>
          </m:den>
        </m:f>
      </m:oMath>
      <w:r w:rsidR="005768B3" w:rsidRPr="00AF6BD3">
        <w:rPr>
          <w:rFonts w:eastAsiaTheme="minorEastAsia"/>
          <w:i/>
          <w:sz w:val="32"/>
          <w:szCs w:val="24"/>
        </w:rPr>
        <w:t xml:space="preserve"> , </w:t>
      </w:r>
    </w:p>
    <w:p w14:paraId="67EC4DFC" w14:textId="77777777" w:rsidR="00F1688E" w:rsidRDefault="00F1688E" w:rsidP="005768B3">
      <w:pPr>
        <w:jc w:val="center"/>
        <w:rPr>
          <w:rFonts w:eastAsiaTheme="minorEastAsia"/>
          <w:i/>
          <w:sz w:val="28"/>
        </w:rPr>
      </w:pPr>
    </w:p>
    <w:p w14:paraId="59C6FAA6" w14:textId="0D2B7788" w:rsidR="005768B3" w:rsidRPr="00F1688E" w:rsidRDefault="005768B3" w:rsidP="005768B3">
      <w:pPr>
        <w:rPr>
          <w:rFonts w:eastAsiaTheme="minorEastAsia"/>
        </w:rPr>
      </w:pPr>
      <w:r w:rsidRPr="00F1688E">
        <w:rPr>
          <w:rFonts w:eastAsiaTheme="minorEastAsia"/>
        </w:rPr>
        <w:t>где</w:t>
      </w:r>
    </w:p>
    <w:p w14:paraId="5BD3B975" w14:textId="04284DC6" w:rsidR="00F1688E" w:rsidRPr="00F1688E" w:rsidRDefault="008732A2" w:rsidP="005768B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F1688E" w:rsidRPr="00F1688E">
        <w:rPr>
          <w:rFonts w:eastAsiaTheme="minorEastAsia"/>
        </w:rPr>
        <w:t>– вес, используемый для взвешивания индивидуального индекса i-го товара;</w:t>
      </w:r>
    </w:p>
    <w:p w14:paraId="559C3B9B" w14:textId="3E481728" w:rsidR="005768B3" w:rsidRPr="00F1688E" w:rsidRDefault="008732A2" w:rsidP="005768B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i,y-1</m:t>
            </m:r>
          </m:sub>
        </m:sSub>
      </m:oMath>
      <w:r w:rsidR="005768B3" w:rsidRPr="00F1688E">
        <w:rPr>
          <w:rFonts w:eastAsiaTheme="minorEastAsia"/>
        </w:rPr>
        <w:t xml:space="preserve"> – стоимость экспорта </w:t>
      </w:r>
      <w:r w:rsidR="005768B3" w:rsidRPr="00F1688E">
        <w:rPr>
          <w:rFonts w:eastAsiaTheme="minorEastAsia"/>
          <w:lang w:val="en-US"/>
        </w:rPr>
        <w:t>i</w:t>
      </w:r>
      <w:r w:rsidR="005768B3" w:rsidRPr="00F1688E">
        <w:rPr>
          <w:rFonts w:eastAsiaTheme="minorEastAsia"/>
        </w:rPr>
        <w:t xml:space="preserve">-го товара в </w:t>
      </w:r>
      <w:r w:rsidR="00A90D71">
        <w:rPr>
          <w:rFonts w:eastAsiaTheme="minorEastAsia"/>
        </w:rPr>
        <w:t>период усреднения весовой базы</w:t>
      </w:r>
      <w:r w:rsidR="00AF6BD3">
        <w:rPr>
          <w:rFonts w:eastAsiaTheme="minorEastAsia"/>
        </w:rPr>
        <w:t>. Стоимость экспорта</w:t>
      </w:r>
      <w:r w:rsidR="00AF6BD3" w:rsidRPr="00AF6B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i,y-1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AF6BD3">
        <w:rPr>
          <w:rFonts w:eastAsiaTheme="minorEastAsia"/>
        </w:rPr>
        <w:t xml:space="preserve"> возможно представить в виде произведения цены </w:t>
      </w:r>
      <w:r w:rsidR="00AF6BD3">
        <w:rPr>
          <w:rFonts w:eastAsiaTheme="minorEastAsia"/>
          <w:lang w:val="en-US"/>
        </w:rPr>
        <w:t>i</w:t>
      </w:r>
      <w:r w:rsidR="00AF6BD3">
        <w:rPr>
          <w:rFonts w:eastAsiaTheme="minorEastAsia"/>
        </w:rPr>
        <w:t>-го товара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i,y-1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AF6BD3">
        <w:rPr>
          <w:rFonts w:eastAsiaTheme="minorEastAsia"/>
        </w:rPr>
        <w:t xml:space="preserve">и объемов экспорта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i,y-1</m:t>
            </m:r>
          </m:sub>
        </m:sSub>
      </m:oMath>
      <w:r w:rsidR="005768B3" w:rsidRPr="00F1688E">
        <w:rPr>
          <w:rFonts w:eastAsiaTheme="minorEastAsia"/>
        </w:rPr>
        <w:t>;</w:t>
      </w:r>
    </w:p>
    <w:p w14:paraId="1FC7D674" w14:textId="4C9FB79D" w:rsidR="005768B3" w:rsidRPr="00F1688E" w:rsidRDefault="008732A2" w:rsidP="005768B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sub>
        </m:sSub>
      </m:oMath>
      <w:r w:rsidR="005768B3" w:rsidRPr="00F1688E">
        <w:rPr>
          <w:rFonts w:eastAsiaTheme="minorEastAsia"/>
        </w:rPr>
        <w:t xml:space="preserve">– коэффициент актуализации, который рассчитывается для каждого товара по формуле </w:t>
      </w:r>
    </w:p>
    <w:p w14:paraId="582BBE4E" w14:textId="2FB321F1" w:rsidR="005768B3" w:rsidRPr="0006549E" w:rsidRDefault="008732A2" w:rsidP="005768B3">
      <w:pPr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i,y-1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 2021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i,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t, 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y-1</m:t>
                  </m:r>
                </m:sub>
              </m:sSub>
            </m:den>
          </m:f>
        </m:oMath>
      </m:oMathPara>
    </w:p>
    <w:p w14:paraId="6916286B" w14:textId="71F6066F" w:rsidR="005768B3" w:rsidRDefault="005768B3" w:rsidP="005768B3">
      <w:r w:rsidRPr="005768B3">
        <w:t xml:space="preserve">и отражает отношение цены </w:t>
      </w:r>
      <w:r w:rsidR="00AF6BD3">
        <w:t xml:space="preserve">в </w:t>
      </w:r>
      <w:r w:rsidR="00FA3CFA">
        <w:t>2021 году</w:t>
      </w:r>
      <w:r w:rsidR="00AF6BD3">
        <w:t xml:space="preserve"> к цене на товар в месяц </w:t>
      </w:r>
      <w:r w:rsidR="00AF6BD3">
        <w:rPr>
          <w:lang w:val="en-US"/>
        </w:rPr>
        <w:t>t</w:t>
      </w:r>
      <w:r w:rsidR="00AF6BD3">
        <w:t xml:space="preserve"> базисного года</w:t>
      </w:r>
      <w:r w:rsidRPr="005768B3">
        <w:t xml:space="preserve">. </w:t>
      </w:r>
      <w:r>
        <w:t>В результате применения коэффициента актуализации:</w:t>
      </w:r>
    </w:p>
    <w:p w14:paraId="27C2B20A" w14:textId="77777777" w:rsidR="005768B3" w:rsidRPr="005768B3" w:rsidRDefault="005768B3" w:rsidP="005768B3"/>
    <w:p w14:paraId="4135011F" w14:textId="0036D797" w:rsidR="00F1688E" w:rsidRPr="00F1688E" w:rsidRDefault="008732A2" w:rsidP="005768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i,y-1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-1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24"/>
                        </w:rPr>
                        <m:t>j,y-1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j,y-1</m:t>
                      </m:r>
                    </m:sub>
                  </m:sSub>
                </m:e>
              </m:nary>
            </m:den>
          </m:f>
        </m:oMath>
      </m:oMathPara>
    </w:p>
    <w:p w14:paraId="1700D0B0" w14:textId="5446128B" w:rsidR="00F1688E" w:rsidRPr="00F1688E" w:rsidRDefault="00F1688E" w:rsidP="005768B3"/>
    <w:p w14:paraId="46CA56BF" w14:textId="77777777" w:rsidR="005768B3" w:rsidRPr="005768B3" w:rsidRDefault="005768B3" w:rsidP="005768B3">
      <w:pPr>
        <w:rPr>
          <w:i/>
        </w:rPr>
      </w:pPr>
    </w:p>
    <w:p w14:paraId="19CF0122" w14:textId="25E69396" w:rsidR="00F021E8" w:rsidRDefault="005768B3" w:rsidP="00C50147">
      <w:pPr>
        <w:pStyle w:val="2"/>
      </w:pPr>
      <w:bookmarkStart w:id="7" w:name="_Toc164857121"/>
      <w:r>
        <w:t>Р</w:t>
      </w:r>
      <w:r w:rsidRPr="005768B3">
        <w:t>асчет агрегированного индекса цен на товары российского сырьевого экспорта</w:t>
      </w:r>
      <w:bookmarkEnd w:id="7"/>
      <w:r w:rsidRPr="005768B3">
        <w:t xml:space="preserve"> </w:t>
      </w:r>
    </w:p>
    <w:p w14:paraId="5E9B8EB2" w14:textId="78EDF005" w:rsidR="005768B3" w:rsidRDefault="005768B3" w:rsidP="005768B3">
      <w:pPr>
        <w:jc w:val="both"/>
        <w:rPr>
          <w:color w:val="424242"/>
        </w:rPr>
      </w:pPr>
      <w:r>
        <w:rPr>
          <w:color w:val="424242"/>
        </w:rPr>
        <w:t>Агрегированный индекс цен рассчитывается</w:t>
      </w:r>
      <w:r w:rsidR="001249FB">
        <w:rPr>
          <w:color w:val="424242"/>
        </w:rPr>
        <w:t xml:space="preserve"> по формуле среднего геометрического</w:t>
      </w:r>
      <w:r>
        <w:rPr>
          <w:color w:val="424242"/>
        </w:rPr>
        <w:t>:</w:t>
      </w:r>
    </w:p>
    <w:p w14:paraId="4A82A571" w14:textId="6CC31F95" w:rsidR="005768B3" w:rsidRPr="00F1688E" w:rsidRDefault="008732A2" w:rsidP="005768B3">
      <w:pPr>
        <w:jc w:val="both"/>
        <w:rPr>
          <w:rFonts w:eastAsiaTheme="minorEastAsia"/>
          <w:i/>
          <w:color w:val="42424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24242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424242"/>
                  <w:szCs w:val="24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color w:val="42424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24242"/>
                      <w:szCs w:val="24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color w:val="424242"/>
                      <w:szCs w:val="24"/>
                    </w:rPr>
                    <m:t>t 2021</m:t>
                  </m:r>
                  <m:r>
                    <w:rPr>
                      <w:rFonts w:ascii="Cambria Math" w:hAnsi="Cambria Math"/>
                      <w:color w:val="424242"/>
                      <w:szCs w:val="24"/>
                    </w:rPr>
                    <m:t xml:space="preserve"> Ласпейрес</m:t>
                  </m:r>
                </m:e>
              </m:func>
            </m:sub>
          </m:sSub>
          <m:r>
            <w:rPr>
              <w:rFonts w:ascii="Cambria Math" w:hAnsi="Cambria Math"/>
              <w:color w:val="424242"/>
              <w:szCs w:val="24"/>
            </w:rPr>
            <m:t>=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424242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color w:val="424242"/>
                      <w:szCs w:val="24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42424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42424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424242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ajorEastAsia" w:hAnsi="Cambria Math" w:cstheme="majorBidi"/>
                      <w:i/>
                      <w:color w:val="424242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color w:val="424242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i/>
                      <w:color w:val="424242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ajorEastAsia" w:hAnsi="Cambria Math" w:cstheme="majorBidi"/>
                      <w:color w:val="424242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42424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424242"/>
                          <w:szCs w:val="24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424242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424242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ajorEastAsia" w:hAnsi="Cambria Math" w:cstheme="majorBidi"/>
              <w:color w:val="424242"/>
              <w:szCs w:val="24"/>
            </w:rPr>
            <m:t xml:space="preserve"> </m:t>
          </m:r>
        </m:oMath>
      </m:oMathPara>
    </w:p>
    <w:p w14:paraId="747D7567" w14:textId="77777777" w:rsidR="00F1688E" w:rsidRDefault="00F1688E" w:rsidP="005768B3">
      <w:pPr>
        <w:jc w:val="both"/>
        <w:rPr>
          <w:rFonts w:eastAsiaTheme="minorEastAsia"/>
          <w:color w:val="424242"/>
        </w:rPr>
      </w:pPr>
    </w:p>
    <w:p w14:paraId="6FF13332" w14:textId="054058AC" w:rsidR="005768B3" w:rsidRDefault="00F1688E" w:rsidP="005768B3">
      <w:pPr>
        <w:jc w:val="both"/>
        <w:rPr>
          <w:rFonts w:eastAsiaTheme="minorEastAsia"/>
          <w:color w:val="424242"/>
        </w:rPr>
      </w:pPr>
      <w:r>
        <w:rPr>
          <w:rFonts w:eastAsiaTheme="minorEastAsia"/>
          <w:color w:val="424242"/>
        </w:rPr>
        <w:t xml:space="preserve">Полученный индекс </w:t>
      </w:r>
      <m:oMath>
        <m:sSub>
          <m:sSubPr>
            <m:ctrlPr>
              <w:rPr>
                <w:rFonts w:ascii="Cambria Math" w:hAnsi="Cambria Math"/>
                <w:i/>
                <w:color w:val="424242"/>
                <w:szCs w:val="24"/>
              </w:rPr>
            </m:ctrlPr>
          </m:sSubPr>
          <m:e>
            <m:r>
              <w:rPr>
                <w:rFonts w:ascii="Cambria Math" w:hAnsi="Cambria Math"/>
                <w:color w:val="424242"/>
                <w:szCs w:val="24"/>
              </w:rPr>
              <m:t>I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color w:val="42424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424242"/>
                    <w:szCs w:val="24"/>
                  </w:rPr>
                  <m:t>exp</m:t>
                </m:r>
              </m:fName>
              <m:e>
                <m:r>
                  <w:rPr>
                    <w:rFonts w:ascii="Cambria Math" w:hAnsi="Cambria Math"/>
                    <w:color w:val="424242"/>
                    <w:szCs w:val="24"/>
                  </w:rPr>
                  <m:t>t</m:t>
                </m:r>
              </m:e>
            </m:func>
          </m:sub>
        </m:sSub>
      </m:oMath>
      <w:r w:rsidR="005768B3">
        <w:rPr>
          <w:rFonts w:eastAsiaTheme="minorEastAsia"/>
          <w:color w:val="424242"/>
        </w:rPr>
        <w:t xml:space="preserve"> являетс</w:t>
      </w:r>
      <w:r w:rsidR="00AF6BD3">
        <w:rPr>
          <w:rFonts w:eastAsiaTheme="minorEastAsia"/>
          <w:color w:val="424242"/>
        </w:rPr>
        <w:t>я представлением индекса Ласпей</w:t>
      </w:r>
      <w:r w:rsidR="005768B3">
        <w:rPr>
          <w:rFonts w:eastAsiaTheme="minorEastAsia"/>
          <w:color w:val="424242"/>
        </w:rPr>
        <w:t>р</w:t>
      </w:r>
      <w:r w:rsidR="00AF6BD3">
        <w:rPr>
          <w:rFonts w:eastAsiaTheme="minorEastAsia"/>
          <w:color w:val="424242"/>
        </w:rPr>
        <w:t>е</w:t>
      </w:r>
      <w:r w:rsidR="005768B3">
        <w:rPr>
          <w:rFonts w:eastAsiaTheme="minorEastAsia"/>
          <w:color w:val="424242"/>
        </w:rPr>
        <w:t>са, с фиксированными объемами экспорта товаров на уровне</w:t>
      </w:r>
      <w:r w:rsidR="001249FB" w:rsidRPr="001249FB">
        <w:rPr>
          <w:rFonts w:eastAsiaTheme="minorEastAsia"/>
          <w:color w:val="424242"/>
        </w:rPr>
        <w:t xml:space="preserve"> </w:t>
      </w:r>
      <w:r w:rsidR="001249FB">
        <w:rPr>
          <w:rFonts w:eastAsiaTheme="minorEastAsia"/>
          <w:color w:val="424242"/>
        </w:rPr>
        <w:t>предыдущего года</w:t>
      </w:r>
      <w:r w:rsidR="00AF6BD3" w:rsidRPr="00AF6BD3">
        <w:rPr>
          <w:rFonts w:eastAsiaTheme="minorEastAsia"/>
          <w:color w:val="424242"/>
        </w:rPr>
        <w:t>.</w:t>
      </w:r>
    </w:p>
    <w:p w14:paraId="5EE771FA" w14:textId="3F3A8A21" w:rsidR="001249FB" w:rsidRPr="001249FB" w:rsidRDefault="001249FB" w:rsidP="001249FB">
      <w:pPr>
        <w:rPr>
          <w:rFonts w:eastAsiaTheme="minorEastAsia"/>
          <w:sz w:val="32"/>
          <w:szCs w:val="24"/>
        </w:rPr>
      </w:pPr>
      <w:r>
        <w:rPr>
          <w:rFonts w:eastAsiaTheme="minorEastAsia"/>
          <w:color w:val="424242"/>
        </w:rPr>
        <w:t xml:space="preserve">Учитывая специфику использования индекса Ласпейреса </w:t>
      </w:r>
      <w:r w:rsidR="00797B0E">
        <w:rPr>
          <w:rFonts w:eastAsiaTheme="minorEastAsia"/>
          <w:color w:val="424242"/>
        </w:rPr>
        <w:t xml:space="preserve">и наличие структурных изменений в динамике российского экспорта </w:t>
      </w:r>
      <w:r w:rsidR="00797B0E">
        <w:rPr>
          <w:rFonts w:eastAsiaTheme="minorEastAsia"/>
          <w:color w:val="424242"/>
        </w:rPr>
        <w:t>в 2022-2023 гг.</w:t>
      </w:r>
      <w:r w:rsidR="00797B0E">
        <w:rPr>
          <w:rFonts w:eastAsiaTheme="minorEastAsia"/>
          <w:color w:val="424242"/>
        </w:rPr>
        <w:t xml:space="preserve"> </w:t>
      </w:r>
      <w:r>
        <w:rPr>
          <w:rFonts w:eastAsiaTheme="minorEastAsia"/>
          <w:color w:val="424242"/>
        </w:rPr>
        <w:t xml:space="preserve">на историческом </w:t>
      </w:r>
      <w:r>
        <w:rPr>
          <w:rFonts w:eastAsiaTheme="minorEastAsia"/>
          <w:color w:val="424242"/>
        </w:rPr>
        <w:lastRenderedPageBreak/>
        <w:t>горизонте до 2024 г. дополнительно были рассчитаны индексы цен Пааше (</w:t>
      </w:r>
      <m:oMath>
        <m:sSub>
          <m:sSubPr>
            <m:ctrlPr>
              <w:rPr>
                <w:rFonts w:ascii="Cambria Math" w:hAnsi="Cambria Math"/>
                <w:i/>
                <w:color w:val="424242"/>
                <w:szCs w:val="24"/>
              </w:rPr>
            </m:ctrlPr>
          </m:sSubPr>
          <m:e>
            <m:r>
              <w:rPr>
                <w:rFonts w:ascii="Cambria Math" w:hAnsi="Cambria Math"/>
                <w:color w:val="424242"/>
                <w:szCs w:val="24"/>
              </w:rPr>
              <m:t>I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color w:val="42424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424242"/>
                    <w:szCs w:val="24"/>
                  </w:rPr>
                  <m:t>exp</m:t>
                </m:r>
              </m:fName>
              <m:e>
                <m:r>
                  <w:rPr>
                    <w:rFonts w:ascii="Cambria Math" w:hAnsi="Cambria Math"/>
                    <w:color w:val="424242"/>
                    <w:szCs w:val="24"/>
                  </w:rPr>
                  <m:t>t 2021 Пааше</m:t>
                </m:r>
              </m:e>
            </m:func>
          </m:sub>
        </m:sSub>
        <m:r>
          <w:rPr>
            <w:rFonts w:ascii="Cambria Math" w:hAnsi="Cambria Math"/>
            <w:color w:val="424242"/>
            <w:szCs w:val="24"/>
          </w:rPr>
          <m:t xml:space="preserve">) </m:t>
        </m:r>
      </m:oMath>
      <w:r>
        <w:rPr>
          <w:rFonts w:eastAsiaTheme="minorEastAsia"/>
          <w:color w:val="424242"/>
        </w:rPr>
        <w:t xml:space="preserve">с весами, отражающими уровень экспорта в текущем году </w:t>
      </w:r>
      <w:r w:rsidRPr="001249FB">
        <w:rPr>
          <w:rFonts w:eastAsiaTheme="minorEastAsia"/>
          <w:color w:val="424242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i </m:t>
            </m:r>
            <m:r>
              <w:rPr>
                <w:rFonts w:ascii="Cambria Math" w:hAnsi="Cambria Math"/>
              </w:rPr>
              <m:t>Пааше</m:t>
            </m:r>
          </m:sub>
        </m:sSub>
        <m:r>
          <w:rPr>
            <w:rFonts w:ascii="Cambria Math" w:hAnsi="Cambria Math"/>
          </w:rPr>
          <m:t>)</m:t>
        </m:r>
      </m:oMath>
      <w:r w:rsidR="00797B0E">
        <w:rPr>
          <w:rFonts w:eastAsiaTheme="minorEastAsia"/>
        </w:rPr>
        <w:t>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i_</m:t>
              </m:r>
              <m:r>
                <w:rPr>
                  <w:rFonts w:ascii="Cambria Math" w:hAnsi="Cambria Math"/>
                </w:rPr>
                <m:t>Пааше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i,y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y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24"/>
                        </w:rPr>
                        <m:t>j,y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j,y</m:t>
                      </m:r>
                    </m:sub>
                  </m:sSub>
                </m:e>
              </m:nary>
            </m:den>
          </m:f>
        </m:oMath>
      </m:oMathPara>
    </w:p>
    <w:p w14:paraId="3B7CAA10" w14:textId="056E285C" w:rsidR="001249FB" w:rsidRDefault="001249FB" w:rsidP="001249FB">
      <w:pPr>
        <w:rPr>
          <w:rFonts w:eastAsiaTheme="minorEastAsia"/>
          <w:sz w:val="32"/>
          <w:szCs w:val="24"/>
        </w:rPr>
      </w:pPr>
    </w:p>
    <w:p w14:paraId="14A84A14" w14:textId="4BBE9A64" w:rsidR="001249FB" w:rsidRPr="00F1688E" w:rsidRDefault="001249FB" w:rsidP="001249FB">
      <w:pPr>
        <w:jc w:val="both"/>
        <w:rPr>
          <w:rFonts w:eastAsiaTheme="minorEastAsia"/>
          <w:i/>
          <w:color w:val="42424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24242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424242"/>
                  <w:szCs w:val="24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color w:val="42424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24242"/>
                      <w:szCs w:val="24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color w:val="424242"/>
                      <w:szCs w:val="24"/>
                    </w:rPr>
                    <m:t>t 2021 Пааше</m:t>
                  </m:r>
                </m:e>
              </m:func>
            </m:sub>
          </m:sSub>
          <m:r>
            <w:rPr>
              <w:rFonts w:ascii="Cambria Math" w:hAnsi="Cambria Math"/>
              <w:color w:val="424242"/>
              <w:szCs w:val="24"/>
            </w:rPr>
            <m:t>=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424242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color w:val="424242"/>
                      <w:szCs w:val="24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42424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42424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424242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ajorEastAsia" w:hAnsi="Cambria Math" w:cstheme="majorBidi"/>
                      <w:i/>
                      <w:color w:val="424242"/>
                      <w:szCs w:val="24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color w:val="424242"/>
                      <w:szCs w:val="24"/>
                    </w:rPr>
                    <m:t>t</m:t>
                  </m:r>
                  <m:ctrlPr>
                    <w:rPr>
                      <w:rFonts w:ascii="Cambria Math" w:eastAsiaTheme="majorEastAsia" w:hAnsi="Cambria Math" w:cstheme="majorBidi"/>
                      <w:i/>
                      <w:color w:val="424242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ajorEastAsia" w:hAnsi="Cambria Math" w:cstheme="majorBidi"/>
                      <w:color w:val="424242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424242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color w:val="424242"/>
                          <w:szCs w:val="24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424242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color w:val="424242"/>
                          <w:szCs w:val="24"/>
                          <w:lang w:val="en-US"/>
                        </w:rPr>
                        <m:t>i_Пааше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ajorEastAsia" w:hAnsi="Cambria Math" w:cstheme="majorBidi"/>
              <w:color w:val="424242"/>
              <w:szCs w:val="24"/>
            </w:rPr>
            <m:t xml:space="preserve"> </m:t>
          </m:r>
        </m:oMath>
      </m:oMathPara>
    </w:p>
    <w:p w14:paraId="6E0F0CFD" w14:textId="17EE8A05" w:rsidR="001249FB" w:rsidRDefault="001249FB" w:rsidP="001249FB">
      <w:pPr>
        <w:rPr>
          <w:rFonts w:eastAsiaTheme="minorEastAsia"/>
        </w:rPr>
      </w:pPr>
      <w:r>
        <w:rPr>
          <w:rFonts w:eastAsiaTheme="minorEastAsia"/>
        </w:rPr>
        <w:t>Итоговые значения индекса цен в период до 2024 г. представляют собой индекс Фишера и рассчитываются по формуле:</w:t>
      </w:r>
    </w:p>
    <w:p w14:paraId="6EDE9617" w14:textId="0CA0BECE" w:rsidR="001249FB" w:rsidRPr="00F1688E" w:rsidRDefault="001249FB" w:rsidP="001249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24242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424242"/>
                  <w:szCs w:val="24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color w:val="42424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24242"/>
                      <w:szCs w:val="24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color w:val="424242"/>
                      <w:szCs w:val="24"/>
                    </w:rPr>
                    <m:t>t 2021</m:t>
                  </m:r>
                </m:e>
              </m:func>
              <m:r>
                <w:rPr>
                  <w:rFonts w:ascii="Cambria Math" w:hAnsi="Cambria Math"/>
                  <w:color w:val="424242"/>
                  <w:szCs w:val="24"/>
                </w:rPr>
                <m:t xml:space="preserve"> Фишер</m:t>
              </m:r>
            </m:sub>
          </m:sSub>
          <m:r>
            <w:rPr>
              <w:rFonts w:ascii="Cambria Math" w:hAnsi="Cambria Math"/>
              <w:color w:val="424242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color w:val="424242"/>
                  <w:szCs w:val="24"/>
                </w:rPr>
              </m:ctrlPr>
            </m:radPr>
            <m:deg>
              <m:r>
                <w:rPr>
                  <w:rFonts w:ascii="Cambria Math" w:hAnsi="Cambria Math"/>
                  <w:color w:val="424242"/>
                  <w:szCs w:val="24"/>
                </w:rPr>
                <m:t>2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color w:val="42424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24242"/>
                      <w:szCs w:val="24"/>
                    </w:rPr>
                    <m:t>I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424242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24242"/>
                          <w:szCs w:val="24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  <w:color w:val="424242"/>
                          <w:szCs w:val="24"/>
                        </w:rPr>
                        <m:t>t 2021</m:t>
                      </m:r>
                    </m:e>
                  </m:func>
                  <m:r>
                    <w:rPr>
                      <w:rFonts w:ascii="Cambria Math" w:hAnsi="Cambria Math"/>
                      <w:color w:val="424242"/>
                      <w:szCs w:val="24"/>
                    </w:rPr>
                    <m:t xml:space="preserve"> Ласпейрес  </m:t>
                  </m:r>
                </m:sub>
              </m:sSub>
              <m:r>
                <w:rPr>
                  <w:rFonts w:ascii="Cambria Math" w:hAnsi="Cambria Math"/>
                  <w:color w:val="424242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2424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24242"/>
                      <w:szCs w:val="24"/>
                    </w:rPr>
                    <m:t>I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424242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24242"/>
                          <w:szCs w:val="24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  <w:color w:val="424242"/>
                          <w:szCs w:val="24"/>
                        </w:rPr>
                        <m:t>t 2021 Пааше</m:t>
                      </m:r>
                    </m:e>
                  </m:func>
                </m:sub>
              </m:sSub>
              <m:r>
                <w:rPr>
                  <w:rFonts w:ascii="Cambria Math" w:hAnsi="Cambria Math"/>
                  <w:color w:val="424242"/>
                  <w:szCs w:val="24"/>
                </w:rPr>
                <m:t xml:space="preserve"> </m:t>
              </m:r>
            </m:e>
          </m:rad>
          <m:r>
            <w:rPr>
              <w:rFonts w:ascii="Cambria Math" w:hAnsi="Cambria Math"/>
              <w:color w:val="424242"/>
              <w:szCs w:val="24"/>
            </w:rPr>
            <m:t xml:space="preserve"> </m:t>
          </m:r>
        </m:oMath>
      </m:oMathPara>
    </w:p>
    <w:p w14:paraId="109684EC" w14:textId="7E8FB577" w:rsidR="001249FB" w:rsidRDefault="001249FB" w:rsidP="005768B3">
      <w:pPr>
        <w:jc w:val="both"/>
        <w:rPr>
          <w:rFonts w:eastAsiaTheme="minorEastAsia"/>
          <w:color w:val="424242"/>
        </w:rPr>
      </w:pPr>
      <w:r>
        <w:rPr>
          <w:rFonts w:eastAsiaTheme="minorEastAsia"/>
          <w:color w:val="424242"/>
        </w:rPr>
        <w:t xml:space="preserve"> Таким образом итоговый расчет индекса экспортных цен можно представить в виде:</w:t>
      </w:r>
    </w:p>
    <w:p w14:paraId="6A319695" w14:textId="6BBC9AA0" w:rsidR="001249FB" w:rsidRPr="00AF6BD3" w:rsidRDefault="001249FB" w:rsidP="005768B3">
      <w:pPr>
        <w:jc w:val="both"/>
        <w:rPr>
          <w:rFonts w:eastAsiaTheme="minorEastAsia"/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24242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424242"/>
                  <w:szCs w:val="24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color w:val="424242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24242"/>
                      <w:szCs w:val="24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color w:val="424242"/>
                      <w:szCs w:val="24"/>
                    </w:rPr>
                    <m:t>t 2021</m:t>
                  </m:r>
                </m:e>
              </m:func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2424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24242"/>
                          <w:szCs w:val="24"/>
                        </w:rPr>
                        <m:t>I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424242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24242"/>
                              <w:szCs w:val="24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424242"/>
                              <w:szCs w:val="24"/>
                            </w:rPr>
                            <m:t>t 2021</m:t>
                          </m:r>
                        </m:e>
                      </m:func>
                      <m:r>
                        <w:rPr>
                          <w:rFonts w:ascii="Cambria Math" w:hAnsi="Cambria Math"/>
                          <w:color w:val="424242"/>
                          <w:szCs w:val="24"/>
                        </w:rPr>
                        <m:t xml:space="preserve"> Фишер</m:t>
                      </m:r>
                    </m:sub>
                  </m:sSub>
                  <m:r>
                    <w:rPr>
                      <w:rFonts w:ascii="Cambria Math" w:hAnsi="Cambria Math"/>
                      <w:color w:val="424242"/>
                      <w:szCs w:val="24"/>
                    </w:rPr>
                    <m:t xml:space="preserve">  для периодов до  2024 г.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2424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24242"/>
                          <w:szCs w:val="24"/>
                        </w:rPr>
                        <m:t>I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424242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24242"/>
                              <w:szCs w:val="24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424242"/>
                              <w:szCs w:val="24"/>
                            </w:rPr>
                            <m:t xml:space="preserve">t 2021 Ласпейрес  </m:t>
                          </m:r>
                        </m:e>
                      </m:func>
                      <m:r>
                        <w:rPr>
                          <w:rFonts w:ascii="Cambria Math" w:hAnsi="Cambria Math"/>
                          <w:color w:val="424242"/>
                          <w:szCs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color w:val="424242"/>
                      <w:szCs w:val="24"/>
                    </w:rPr>
                    <m:t>для периодов после 2024 г.</m:t>
                  </m:r>
                </m:e>
              </m:eqArr>
            </m:e>
          </m:d>
        </m:oMath>
      </m:oMathPara>
    </w:p>
    <w:p w14:paraId="0EAE2C1E" w14:textId="77777777" w:rsidR="001249FB" w:rsidRDefault="001249FB" w:rsidP="00C50147">
      <w:pPr>
        <w:pStyle w:val="2"/>
      </w:pPr>
      <w:bookmarkStart w:id="8" w:name="_Toc157168476"/>
      <w:bookmarkStart w:id="9" w:name="_Toc163050877"/>
      <w:bookmarkStart w:id="10" w:name="_Toc164857122"/>
    </w:p>
    <w:p w14:paraId="1CA3377F" w14:textId="56E44815" w:rsidR="00C50147" w:rsidRPr="00302380" w:rsidRDefault="00C50147" w:rsidP="00C50147">
      <w:pPr>
        <w:pStyle w:val="2"/>
      </w:pPr>
      <w:r w:rsidRPr="00302380">
        <w:t>Корректировка данных</w:t>
      </w:r>
      <w:bookmarkEnd w:id="8"/>
      <w:bookmarkEnd w:id="9"/>
      <w:bookmarkEnd w:id="10"/>
    </w:p>
    <w:p w14:paraId="3C94BDE2" w14:textId="77777777" w:rsidR="00C50147" w:rsidRPr="00302380" w:rsidRDefault="00C50147" w:rsidP="00C50147">
      <w:pPr>
        <w:rPr>
          <w:color w:val="424242"/>
        </w:rPr>
      </w:pPr>
      <w:r w:rsidRPr="00302380">
        <w:rPr>
          <w:color w:val="424242"/>
        </w:rPr>
        <w:t xml:space="preserve">В случае необходимости исправления ошибочного значения ценового индикатора, возникшего вследствие технических сбоев, человеческой ошибки или некорректного применения принятой методологии, </w:t>
      </w:r>
      <w:r>
        <w:rPr>
          <w:color w:val="424242"/>
        </w:rPr>
        <w:t>Центр ценовых индексов</w:t>
      </w:r>
      <w:r w:rsidRPr="00302380">
        <w:rPr>
          <w:color w:val="424242"/>
        </w:rPr>
        <w:t xml:space="preserve"> оставляет за собой право скорректировать данные. </w:t>
      </w:r>
    </w:p>
    <w:p w14:paraId="31454A2A" w14:textId="00811101" w:rsidR="00C50147" w:rsidRPr="00302380" w:rsidRDefault="00C50147" w:rsidP="00C50147">
      <w:pPr>
        <w:rPr>
          <w:color w:val="424242"/>
        </w:rPr>
      </w:pPr>
      <w:r w:rsidRPr="00302380">
        <w:rPr>
          <w:color w:val="424242"/>
        </w:rPr>
        <w:t>Данные также могут быть скорректированы в случае исправления ошибок, возникших в результате</w:t>
      </w:r>
      <w:r w:rsidR="00A90D71">
        <w:rPr>
          <w:color w:val="424242"/>
        </w:rPr>
        <w:t xml:space="preserve"> сообщения участниками рынка не</w:t>
      </w:r>
      <w:r w:rsidRPr="00302380">
        <w:rPr>
          <w:color w:val="424242"/>
        </w:rPr>
        <w:t>точной информации о сделках на рынке.</w:t>
      </w:r>
    </w:p>
    <w:p w14:paraId="4A3AF68A" w14:textId="77777777" w:rsidR="00C50147" w:rsidRPr="00302380" w:rsidRDefault="00C50147" w:rsidP="00C50147">
      <w:pPr>
        <w:pStyle w:val="2"/>
      </w:pPr>
      <w:bookmarkStart w:id="11" w:name="_Toc157168477"/>
      <w:bookmarkStart w:id="12" w:name="_Toc163050878"/>
      <w:bookmarkStart w:id="13" w:name="_Toc164857123"/>
      <w:r w:rsidRPr="00302380">
        <w:t>Принципы формирования методологии и внесения изменений</w:t>
      </w:r>
      <w:bookmarkEnd w:id="11"/>
      <w:bookmarkEnd w:id="12"/>
      <w:bookmarkEnd w:id="13"/>
    </w:p>
    <w:p w14:paraId="5310D856" w14:textId="77777777" w:rsidR="00C50147" w:rsidRPr="00302380" w:rsidRDefault="00C50147" w:rsidP="00C50147">
      <w:pPr>
        <w:rPr>
          <w:color w:val="424242"/>
        </w:rPr>
      </w:pPr>
      <w:r w:rsidRPr="00302380">
        <w:rPr>
          <w:color w:val="424242"/>
        </w:rPr>
        <w:t>Методологии разрабатываются и утверждаются независимым от блока оценки методологическим комитетом, который состоит из сотрудников, обладающих достаточным уровнем квалификации и профессиональным опытом.</w:t>
      </w:r>
    </w:p>
    <w:p w14:paraId="48482AAA" w14:textId="77777777" w:rsidR="00C50147" w:rsidRPr="00302380" w:rsidRDefault="00C50147" w:rsidP="00C50147">
      <w:pPr>
        <w:rPr>
          <w:color w:val="424242"/>
        </w:rPr>
      </w:pPr>
      <w:r w:rsidRPr="00302380">
        <w:rPr>
          <w:color w:val="424242"/>
        </w:rPr>
        <w:t>В целях обеспечения актуальности, осуществляется ежегодная оценка соответствия методологии специфике рынка, необходимости упразднения неактуальных или создания новых ценовых индикаторов.</w:t>
      </w:r>
    </w:p>
    <w:p w14:paraId="1399AA48" w14:textId="77777777" w:rsidR="00C50147" w:rsidRPr="00302380" w:rsidRDefault="00C50147" w:rsidP="00C50147">
      <w:pPr>
        <w:rPr>
          <w:color w:val="424242"/>
        </w:rPr>
      </w:pPr>
      <w:r>
        <w:rPr>
          <w:color w:val="424242"/>
        </w:rPr>
        <w:t>Центр ценовых индексов</w:t>
      </w:r>
      <w:r w:rsidRPr="00302380">
        <w:rPr>
          <w:color w:val="424242"/>
        </w:rPr>
        <w:t xml:space="preserve"> приветствует диалог с участниками рынка по вопросам методики, применяемой для оценки и формирования ценовых индикаторов. </w:t>
      </w:r>
    </w:p>
    <w:p w14:paraId="09263C90" w14:textId="77777777" w:rsidR="00C50147" w:rsidRPr="00302380" w:rsidRDefault="00C50147" w:rsidP="00C50147">
      <w:pPr>
        <w:rPr>
          <w:color w:val="424242"/>
        </w:rPr>
      </w:pPr>
      <w:r w:rsidRPr="00302380">
        <w:rPr>
          <w:color w:val="424242"/>
        </w:rPr>
        <w:t xml:space="preserve">Обновление методологии подразумевает подробное объяснение предлагаемых изменений и их обоснование. </w:t>
      </w:r>
    </w:p>
    <w:p w14:paraId="1AEE20D4" w14:textId="77777777" w:rsidR="00C50147" w:rsidRPr="00302380" w:rsidRDefault="00C50147" w:rsidP="00C50147">
      <w:pPr>
        <w:rPr>
          <w:color w:val="424242"/>
        </w:rPr>
      </w:pPr>
      <w:r w:rsidRPr="00302380">
        <w:rPr>
          <w:color w:val="424242"/>
        </w:rPr>
        <w:t>Об изменении сообщается в соответствующем информационном продукте, также указывается дата</w:t>
      </w:r>
      <w:r>
        <w:rPr>
          <w:color w:val="424242"/>
        </w:rPr>
        <w:t>,</w:t>
      </w:r>
      <w:r w:rsidRPr="00302380">
        <w:rPr>
          <w:color w:val="424242"/>
        </w:rPr>
        <w:t xml:space="preserve"> с которой изменения вступают в силу.</w:t>
      </w:r>
    </w:p>
    <w:p w14:paraId="7004DE44" w14:textId="2DCB2378" w:rsidR="005768B3" w:rsidRPr="00970573" w:rsidRDefault="005768B3" w:rsidP="005768B3">
      <w:pPr>
        <w:jc w:val="both"/>
        <w:rPr>
          <w:color w:val="424242"/>
        </w:rPr>
      </w:pPr>
    </w:p>
    <w:p w14:paraId="5950D674" w14:textId="4BA109A4" w:rsidR="006C582D" w:rsidRDefault="006C582D" w:rsidP="006C582D">
      <w:pPr>
        <w:jc w:val="both"/>
        <w:rPr>
          <w:b/>
          <w:color w:val="424242"/>
        </w:rPr>
      </w:pPr>
    </w:p>
    <w:p w14:paraId="1B5424F6" w14:textId="56A6B721" w:rsidR="0021605A" w:rsidRDefault="0021605A" w:rsidP="001D3991">
      <w:pPr>
        <w:tabs>
          <w:tab w:val="left" w:pos="6000"/>
        </w:tabs>
        <w:jc w:val="both"/>
        <w:rPr>
          <w:i/>
          <w:color w:val="767171" w:themeColor="background2" w:themeShade="80"/>
          <w:sz w:val="22"/>
          <w:szCs w:val="20"/>
        </w:rPr>
      </w:pPr>
    </w:p>
    <w:p w14:paraId="6D22D6A3" w14:textId="0962D48C" w:rsidR="0021605A" w:rsidRDefault="0021605A" w:rsidP="001D3991">
      <w:pPr>
        <w:tabs>
          <w:tab w:val="left" w:pos="6000"/>
        </w:tabs>
        <w:jc w:val="both"/>
        <w:rPr>
          <w:i/>
          <w:color w:val="767171" w:themeColor="background2" w:themeShade="80"/>
          <w:sz w:val="22"/>
          <w:szCs w:val="20"/>
        </w:rPr>
      </w:pPr>
    </w:p>
    <w:p w14:paraId="34BDB952" w14:textId="2343CE84" w:rsidR="0021605A" w:rsidRDefault="0021605A" w:rsidP="001D3991">
      <w:pPr>
        <w:tabs>
          <w:tab w:val="left" w:pos="6000"/>
        </w:tabs>
        <w:jc w:val="both"/>
        <w:rPr>
          <w:i/>
          <w:color w:val="767171" w:themeColor="background2" w:themeShade="80"/>
          <w:sz w:val="22"/>
          <w:szCs w:val="20"/>
        </w:rPr>
      </w:pPr>
    </w:p>
    <w:p w14:paraId="0E0B1987" w14:textId="77777777" w:rsidR="0021605A" w:rsidRDefault="0021605A" w:rsidP="001D3991">
      <w:pPr>
        <w:tabs>
          <w:tab w:val="left" w:pos="6000"/>
        </w:tabs>
        <w:jc w:val="both"/>
        <w:rPr>
          <w:i/>
          <w:color w:val="767171" w:themeColor="background2" w:themeShade="80"/>
          <w:sz w:val="22"/>
          <w:szCs w:val="20"/>
        </w:rPr>
      </w:pPr>
    </w:p>
    <w:p w14:paraId="4F2C1DB7" w14:textId="2147FCB9" w:rsidR="00A131A8" w:rsidRDefault="00A131A8" w:rsidP="00A770D0">
      <w:pPr>
        <w:tabs>
          <w:tab w:val="left" w:pos="6000"/>
        </w:tabs>
        <w:jc w:val="both"/>
        <w:rPr>
          <w:i/>
          <w:color w:val="767171" w:themeColor="background2" w:themeShade="80"/>
          <w:sz w:val="22"/>
          <w:szCs w:val="20"/>
        </w:rPr>
        <w:sectPr w:rsidR="00A131A8" w:rsidSect="001D3991">
          <w:type w:val="continuous"/>
          <w:pgSz w:w="11906" w:h="16838"/>
          <w:pgMar w:top="851" w:right="851" w:bottom="851" w:left="851" w:header="2268" w:footer="283" w:gutter="0"/>
          <w:cols w:space="708"/>
          <w:titlePg/>
          <w:docGrid w:linePitch="381"/>
        </w:sectPr>
      </w:pPr>
    </w:p>
    <w:p w14:paraId="5530615B" w14:textId="77777777" w:rsidR="0000356E" w:rsidRPr="0000356E" w:rsidRDefault="0000356E" w:rsidP="0000356E">
      <w:pPr>
        <w:jc w:val="both"/>
        <w:rPr>
          <w:i/>
          <w:color w:val="767171" w:themeColor="background2" w:themeShade="80"/>
          <w:sz w:val="22"/>
          <w:szCs w:val="20"/>
        </w:rPr>
      </w:pPr>
      <w:r w:rsidRPr="0000356E">
        <w:rPr>
          <w:i/>
          <w:color w:val="767171" w:themeColor="background2" w:themeShade="80"/>
          <w:sz w:val="22"/>
          <w:szCs w:val="20"/>
        </w:rPr>
        <w:t>© Центр ценовых индексов 2024. Все права защищены. Любое копирование, перепечатка или последующее распространение информации Центра ценовых индексов, в том числе производимое путем кэширования, кадрирования или использования аналогичных средств, запрещено без предварительного письменного согласия со стороны Центра ценовых индексов.</w:t>
      </w:r>
    </w:p>
    <w:p w14:paraId="3C13B7F3" w14:textId="77777777" w:rsidR="0000356E" w:rsidRPr="0000356E" w:rsidRDefault="0000356E" w:rsidP="0000356E">
      <w:pPr>
        <w:jc w:val="both"/>
        <w:rPr>
          <w:i/>
          <w:color w:val="767171" w:themeColor="background2" w:themeShade="80"/>
          <w:sz w:val="22"/>
          <w:szCs w:val="20"/>
        </w:rPr>
      </w:pPr>
      <w:r w:rsidRPr="0000356E">
        <w:rPr>
          <w:i/>
          <w:color w:val="767171" w:themeColor="background2" w:themeShade="80"/>
          <w:sz w:val="22"/>
          <w:szCs w:val="20"/>
        </w:rPr>
        <w:t xml:space="preserve">Ограничение ответственности </w:t>
      </w:r>
    </w:p>
    <w:p w14:paraId="245F730E" w14:textId="5B84C196" w:rsidR="003C2B99" w:rsidRDefault="0000356E" w:rsidP="0000356E">
      <w:pPr>
        <w:jc w:val="both"/>
        <w:rPr>
          <w:i/>
          <w:color w:val="767171" w:themeColor="background2" w:themeShade="80"/>
          <w:sz w:val="22"/>
          <w:szCs w:val="20"/>
        </w:rPr>
      </w:pPr>
      <w:r w:rsidRPr="0000356E">
        <w:rPr>
          <w:i/>
          <w:color w:val="767171" w:themeColor="background2" w:themeShade="80"/>
          <w:sz w:val="22"/>
          <w:szCs w:val="20"/>
        </w:rPr>
        <w:t>Центр ценовых индексов не несет ответственности за причинение любого ущерба или убытков, возникших в связи с тем, что лицо полагалось на возможность использования Информации в определенных целях, и исключает любую другую ответственность, возникшую в связи с использованием Информации или связанную с ней.</w:t>
      </w:r>
    </w:p>
    <w:sectPr w:rsidR="003C2B99" w:rsidSect="001D3991">
      <w:type w:val="continuous"/>
      <w:pgSz w:w="11906" w:h="16838"/>
      <w:pgMar w:top="851" w:right="851" w:bottom="851" w:left="851" w:header="226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A0D79" w14:textId="77777777" w:rsidR="008732A2" w:rsidRDefault="008732A2" w:rsidP="000B00FE">
      <w:pPr>
        <w:spacing w:line="240" w:lineRule="auto"/>
      </w:pPr>
      <w:r>
        <w:separator/>
      </w:r>
    </w:p>
  </w:endnote>
  <w:endnote w:type="continuationSeparator" w:id="0">
    <w:p w14:paraId="0FF6AFEF" w14:textId="77777777" w:rsidR="008732A2" w:rsidRDefault="008732A2" w:rsidP="000B0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ra CY">
    <w:panose1 w:val="00000500000000000000"/>
    <w:charset w:val="CC"/>
    <w:family w:val="auto"/>
    <w:pitch w:val="variable"/>
    <w:sig w:usb0="00000207" w:usb1="00000001" w:usb2="00000000" w:usb3="00000000" w:csb0="00000097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67171" w:themeColor="background2" w:themeShade="80"/>
        <w:sz w:val="22"/>
      </w:rPr>
      <w:id w:val="1428535081"/>
      <w:docPartObj>
        <w:docPartGallery w:val="Page Numbers (Bottom of Page)"/>
        <w:docPartUnique/>
      </w:docPartObj>
    </w:sdtPr>
    <w:sdtEndPr>
      <w:rPr>
        <w:i/>
      </w:rPr>
    </w:sdtEndPr>
    <w:sdtContent>
      <w:p w14:paraId="2433FD00" w14:textId="123EBE9B" w:rsidR="008732A2" w:rsidRPr="0021605A" w:rsidRDefault="008732A2" w:rsidP="00B1550B">
        <w:pPr>
          <w:pStyle w:val="a7"/>
          <w:tabs>
            <w:tab w:val="clear" w:pos="9355"/>
            <w:tab w:val="right" w:pos="10206"/>
          </w:tabs>
          <w:rPr>
            <w:i/>
            <w:color w:val="767171" w:themeColor="background2" w:themeShade="80"/>
            <w:sz w:val="22"/>
          </w:rPr>
        </w:pPr>
        <w:r w:rsidRPr="0021605A">
          <w:rPr>
            <w:i/>
            <w:color w:val="767171" w:themeColor="background2" w:themeShade="80"/>
            <w:sz w:val="22"/>
          </w:rPr>
          <w:t xml:space="preserve">© </w:t>
        </w:r>
        <w:r>
          <w:rPr>
            <w:i/>
            <w:color w:val="767171" w:themeColor="background2" w:themeShade="80"/>
            <w:sz w:val="22"/>
          </w:rPr>
          <w:t xml:space="preserve">Центр ценовых индексов 2024.               </w:t>
        </w:r>
        <w:r>
          <w:rPr>
            <w:i/>
            <w:color w:val="767171" w:themeColor="background2" w:themeShade="80"/>
            <w:sz w:val="22"/>
          </w:rPr>
          <w:tab/>
        </w:r>
        <w:r>
          <w:rPr>
            <w:i/>
            <w:color w:val="767171" w:themeColor="background2" w:themeShade="80"/>
            <w:sz w:val="22"/>
          </w:rPr>
          <w:tab/>
          <w:t xml:space="preserve">Апрель 2024           </w:t>
        </w:r>
        <w:r w:rsidRPr="0021605A">
          <w:rPr>
            <w:i/>
            <w:color w:val="767171" w:themeColor="background2" w:themeShade="80"/>
            <w:sz w:val="22"/>
          </w:rPr>
          <w:fldChar w:fldCharType="begin"/>
        </w:r>
        <w:r w:rsidRPr="0021605A">
          <w:rPr>
            <w:i/>
            <w:color w:val="767171" w:themeColor="background2" w:themeShade="80"/>
            <w:sz w:val="22"/>
          </w:rPr>
          <w:instrText>PAGE   \* MERGEFORMAT</w:instrText>
        </w:r>
        <w:r w:rsidRPr="0021605A">
          <w:rPr>
            <w:i/>
            <w:color w:val="767171" w:themeColor="background2" w:themeShade="80"/>
            <w:sz w:val="22"/>
          </w:rPr>
          <w:fldChar w:fldCharType="separate"/>
        </w:r>
        <w:r w:rsidR="002334FE">
          <w:rPr>
            <w:i/>
            <w:noProof/>
            <w:color w:val="767171" w:themeColor="background2" w:themeShade="80"/>
            <w:sz w:val="22"/>
          </w:rPr>
          <w:t>8</w:t>
        </w:r>
        <w:r w:rsidRPr="0021605A">
          <w:rPr>
            <w:i/>
            <w:color w:val="767171" w:themeColor="background2" w:themeShade="80"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0CB33" w14:textId="00F52D12" w:rsidR="008732A2" w:rsidRPr="006C61BF" w:rsidRDefault="008732A2" w:rsidP="0047353C">
    <w:pPr>
      <w:pStyle w:val="a7"/>
      <w:spacing w:before="0" w:after="0" w:line="48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5F43F" w14:textId="77777777" w:rsidR="008732A2" w:rsidRDefault="008732A2" w:rsidP="000B00FE">
      <w:pPr>
        <w:spacing w:line="240" w:lineRule="auto"/>
      </w:pPr>
      <w:r>
        <w:separator/>
      </w:r>
    </w:p>
  </w:footnote>
  <w:footnote w:type="continuationSeparator" w:id="0">
    <w:p w14:paraId="0BA7AACF" w14:textId="77777777" w:rsidR="008732A2" w:rsidRDefault="008732A2" w:rsidP="000B00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6266F" w14:textId="4E0B1E20" w:rsidR="008732A2" w:rsidRPr="009E679F" w:rsidRDefault="008732A2" w:rsidP="00173ACF">
    <w:pPr>
      <w:pStyle w:val="a5"/>
      <w:tabs>
        <w:tab w:val="left" w:pos="3348"/>
      </w:tabs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FA3BE" wp14:editId="13D9171A">
              <wp:simplePos x="0" y="0"/>
              <wp:positionH relativeFrom="column">
                <wp:posOffset>5247005</wp:posOffset>
              </wp:positionH>
              <wp:positionV relativeFrom="paragraph">
                <wp:posOffset>-681355</wp:posOffset>
              </wp:positionV>
              <wp:extent cx="1332000" cy="576000"/>
              <wp:effectExtent l="0" t="0" r="1905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2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63E312" w14:textId="77777777" w:rsidR="008732A2" w:rsidRPr="009D77DD" w:rsidRDefault="008732A2" w:rsidP="00BD0BC8">
                          <w:pPr>
                            <w:jc w:val="right"/>
                            <w:rPr>
                              <w:i/>
                              <w:color w:val="FFFFFF" w:themeColor="background1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</w:rPr>
                            <w:t>Центр ценовых индексов</w:t>
                          </w:r>
                          <w:r w:rsidRPr="009D77DD">
                            <w:rPr>
                              <w:i/>
                              <w:color w:val="FFFFFF" w:themeColor="background1"/>
                            </w:rPr>
                            <w:t xml:space="preserve"> прогнозирования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6800" tIns="0" rIns="468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FA3BE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413.15pt;margin-top:-53.65pt;width:104.9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" filled="f" stroked="f" strokeweight=".5pt">
              <v:textbox inset="1.3mm,0,1.3mm">
                <w:txbxContent>
                  <w:p w14:paraId="7763E312" w14:textId="77777777" w:rsidR="008732A2" w:rsidRPr="009D77DD" w:rsidRDefault="008732A2" w:rsidP="00BD0BC8">
                    <w:pPr>
                      <w:jc w:val="right"/>
                      <w:rPr>
                        <w:i/>
                        <w:color w:val="FFFFFF" w:themeColor="background1"/>
                      </w:rPr>
                    </w:pPr>
                    <w:r>
                      <w:rPr>
                        <w:i/>
                        <w:color w:val="FFFFFF" w:themeColor="background1"/>
                      </w:rPr>
                      <w:t>Центр ценовых индексов</w:t>
                    </w:r>
                    <w:r w:rsidRPr="009D77DD">
                      <w:rPr>
                        <w:i/>
                        <w:color w:val="FFFFFF" w:themeColor="background1"/>
                      </w:rPr>
                      <w:t xml:space="preserve"> прогнозирования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77257" wp14:editId="6BE668DA">
              <wp:simplePos x="0" y="0"/>
              <wp:positionH relativeFrom="margin">
                <wp:posOffset>3810</wp:posOffset>
              </wp:positionH>
              <wp:positionV relativeFrom="paragraph">
                <wp:posOffset>-38735</wp:posOffset>
              </wp:positionV>
              <wp:extent cx="5724939" cy="540000"/>
              <wp:effectExtent l="0" t="0" r="9525" b="1270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4939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70CBFC" w14:textId="626E5D06" w:rsidR="008732A2" w:rsidRPr="005D3116" w:rsidRDefault="008732A2">
                          <w:pPr>
                            <w:rPr>
                              <w:color w:val="FFFFFF" w:themeColor="background1"/>
                              <w:sz w:val="48"/>
                            </w:rPr>
                          </w:pPr>
                          <w:r w:rsidRPr="005D3116">
                            <w:rPr>
                              <w:color w:val="FFFFFF" w:themeColor="background1"/>
                              <w:sz w:val="48"/>
                            </w:rPr>
                            <w:t>Методология и спецификации</w:t>
                          </w:r>
                        </w:p>
                        <w:p w14:paraId="424E5F88" w14:textId="77777777" w:rsidR="008732A2" w:rsidRPr="005D3116" w:rsidRDefault="008732A2">
                          <w:pPr>
                            <w:rPr>
                              <w:color w:val="FFFFFF" w:themeColor="background1"/>
                              <w:sz w:val="1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577257" id="Надпись 5" o:spid="_x0000_s1027" type="#_x0000_t202" style="position:absolute;margin-left:.3pt;margin-top:-3.05pt;width:450.8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" filled="f" stroked="f" strokeweight=".5pt">
              <v:textbox inset="0,0,0,0">
                <w:txbxContent>
                  <w:p w14:paraId="4070CBFC" w14:textId="626E5D06" w:rsidR="008732A2" w:rsidRPr="005D3116" w:rsidRDefault="008732A2">
                    <w:pPr>
                      <w:rPr>
                        <w:color w:val="FFFFFF" w:themeColor="background1"/>
                        <w:sz w:val="48"/>
                      </w:rPr>
                    </w:pPr>
                    <w:r w:rsidRPr="005D3116">
                      <w:rPr>
                        <w:color w:val="FFFFFF" w:themeColor="background1"/>
                        <w:sz w:val="48"/>
                      </w:rPr>
                      <w:t>Методология и спецификации</w:t>
                    </w:r>
                  </w:p>
                  <w:p w14:paraId="424E5F88" w14:textId="77777777" w:rsidR="008732A2" w:rsidRPr="005D3116" w:rsidRDefault="008732A2">
                    <w:pPr>
                      <w:rPr>
                        <w:color w:val="FFFFFF" w:themeColor="background1"/>
                        <w:sz w:val="16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173ACF">
      <w:rPr>
        <w:noProof/>
        <w:highlight w:val="magenta"/>
        <w:lang w:eastAsia="ru-RU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4C16D747" wp14:editId="234DA286">
              <wp:simplePos x="0" y="0"/>
              <wp:positionH relativeFrom="margin">
                <wp:posOffset>-1644650</wp:posOffset>
              </wp:positionH>
              <wp:positionV relativeFrom="page">
                <wp:posOffset>-59055</wp:posOffset>
              </wp:positionV>
              <wp:extent cx="8740140" cy="2232025"/>
              <wp:effectExtent l="0" t="0" r="3810" b="0"/>
              <wp:wrapTopAndBottom/>
              <wp:docPr id="133" name="Прямоугольник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8740140" cy="2232025"/>
                      </a:xfrm>
                      <a:prstGeom prst="rect">
                        <a:avLst/>
                      </a:prstGeom>
                      <a:solidFill>
                        <a:srgbClr val="2455D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FA8D03" w14:textId="65B791CD" w:rsidR="008732A2" w:rsidRPr="00FC7A6C" w:rsidRDefault="008732A2" w:rsidP="00464756">
                          <w:pPr>
                            <w:jc w:val="right"/>
                            <w:rPr>
                              <w:color w:val="FFFFFF" w:themeColor="background1"/>
                              <w:sz w:val="32"/>
                              <w:szCs w:val="48"/>
                              <w14:textFill>
                                <w14:noFill/>
                              </w14:textFill>
                            </w:rPr>
                          </w:pPr>
                          <w:r w:rsidRPr="00FC7A6C">
                            <w:rPr>
                              <w:color w:val="FFFFFF" w:themeColor="background1"/>
                              <w:sz w:val="32"/>
                              <w:szCs w:val="48"/>
                              <w14:textFill>
                                <w14:noFill/>
                              </w14:textFill>
                            </w:rPr>
                            <w:ptab w:relativeTo="margin" w:alignment="left" w:leader="dot"/>
                          </w:r>
                          <w:r w:rsidRPr="00FC7A6C">
                            <w:rPr>
                              <w:color w:val="FFFFFF" w:themeColor="background1"/>
                              <w:sz w:val="32"/>
                              <w:szCs w:val="48"/>
                              <w14:textFill>
                                <w14:noFill/>
                              </w14:textFill>
                            </w:rPr>
                            <w:ptab w:relativeTo="margin" w:alignment="left" w:leader="dot"/>
                          </w:r>
                        </w:p>
                        <w:p w14:paraId="2E008A0D" w14:textId="77777777" w:rsidR="008732A2" w:rsidRPr="00FC7A6C" w:rsidRDefault="008732A2" w:rsidP="00464756">
                          <w:pPr>
                            <w:jc w:val="right"/>
                            <w:rPr>
                              <w:color w:val="FFFFFF" w:themeColor="background1"/>
                              <w:szCs w:val="48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5BCE605" w14:textId="77777777" w:rsidR="008732A2" w:rsidRPr="00FC7A6C" w:rsidRDefault="008732A2" w:rsidP="009E679F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  <w14:textFill>
                                <w14:noFill/>
                              </w14:textFill>
                            </w:rPr>
                          </w:pPr>
                          <w:r w:rsidRPr="00FC7A6C">
                            <w:rPr>
                              <w:color w:val="FFFFFF" w:themeColor="background1"/>
                              <w:sz w:val="48"/>
                              <w:szCs w:val="48"/>
                              <w14:textFill>
                                <w14:noFill/>
                              </w14:textFill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40000" tIns="360000" rIns="540000" bIns="360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16D747" id="Прямоугольник 133" o:spid="_x0000_s1028" style="position:absolute;margin-left:-129.5pt;margin-top:-4.65pt;width:688.2pt;height:175.7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" o:allowoverlap="f" fillcolor="#2455d8" stroked="f" strokeweight="1pt">
              <v:path arrowok="t"/>
              <o:lock v:ext="edit" aspectratio="t"/>
              <v:textbox inset="15mm,10mm,15mm,10mm">
                <w:txbxContent>
                  <w:p w14:paraId="33FA8D03" w14:textId="65B791CD" w:rsidR="008732A2" w:rsidRPr="00FC7A6C" w:rsidRDefault="008732A2" w:rsidP="00464756">
                    <w:pPr>
                      <w:jc w:val="right"/>
                      <w:rPr>
                        <w:color w:val="FFFFFF" w:themeColor="background1"/>
                        <w:sz w:val="32"/>
                        <w:szCs w:val="48"/>
                        <w14:textFill>
                          <w14:noFill/>
                        </w14:textFill>
                      </w:rPr>
                    </w:pPr>
                    <w:r w:rsidRPr="00FC7A6C">
                      <w:rPr>
                        <w:color w:val="FFFFFF" w:themeColor="background1"/>
                        <w:sz w:val="32"/>
                        <w:szCs w:val="48"/>
                        <w14:textFill>
                          <w14:noFill/>
                        </w14:textFill>
                      </w:rPr>
                      <w:ptab w:relativeTo="margin" w:alignment="left" w:leader="dot"/>
                    </w:r>
                    <w:r w:rsidRPr="00FC7A6C">
                      <w:rPr>
                        <w:color w:val="FFFFFF" w:themeColor="background1"/>
                        <w:sz w:val="32"/>
                        <w:szCs w:val="48"/>
                        <w14:textFill>
                          <w14:noFill/>
                        </w14:textFill>
                      </w:rPr>
                      <w:ptab w:relativeTo="margin" w:alignment="left" w:leader="dot"/>
                    </w:r>
                  </w:p>
                  <w:p w14:paraId="2E008A0D" w14:textId="77777777" w:rsidR="008732A2" w:rsidRPr="00FC7A6C" w:rsidRDefault="008732A2" w:rsidP="00464756">
                    <w:pPr>
                      <w:jc w:val="right"/>
                      <w:rPr>
                        <w:color w:val="FFFFFF" w:themeColor="background1"/>
                        <w:szCs w:val="48"/>
                        <w14:textFill>
                          <w14:noFill/>
                        </w14:textFill>
                      </w:rPr>
                    </w:pPr>
                  </w:p>
                  <w:p w14:paraId="65BCE605" w14:textId="77777777" w:rsidR="008732A2" w:rsidRPr="00FC7A6C" w:rsidRDefault="008732A2" w:rsidP="009E679F">
                    <w:pPr>
                      <w:rPr>
                        <w:color w:val="FFFFFF" w:themeColor="background1"/>
                        <w:sz w:val="48"/>
                        <w:szCs w:val="48"/>
                        <w14:textFill>
                          <w14:noFill/>
                        </w14:textFill>
                      </w:rPr>
                    </w:pPr>
                    <w:r w:rsidRPr="00FC7A6C">
                      <w:rPr>
                        <w:color w:val="FFFFFF" w:themeColor="background1"/>
                        <w:sz w:val="48"/>
                        <w:szCs w:val="48"/>
                        <w14:textFill>
                          <w14:noFill/>
                        </w14:textFill>
                      </w:rPr>
                      <w:t xml:space="preserve">   </w:t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323F"/>
    <w:multiLevelType w:val="hybridMultilevel"/>
    <w:tmpl w:val="72603C52"/>
    <w:lvl w:ilvl="0" w:tplc="1A404FC8">
      <w:start w:val="1"/>
      <w:numFmt w:val="bullet"/>
      <w:pStyle w:val="a"/>
      <w:lvlText w:val="-"/>
      <w:lvlJc w:val="left"/>
      <w:pPr>
        <w:ind w:left="1995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 w15:restartNumberingAfterBreak="0">
    <w:nsid w:val="024549A1"/>
    <w:multiLevelType w:val="hybridMultilevel"/>
    <w:tmpl w:val="F618801E"/>
    <w:lvl w:ilvl="0" w:tplc="A7C4810E">
      <w:start w:val="1"/>
      <w:numFmt w:val="bullet"/>
      <w:lvlText w:val="▷"/>
      <w:lvlJc w:val="left"/>
      <w:pPr>
        <w:tabs>
          <w:tab w:val="num" w:pos="720"/>
        </w:tabs>
        <w:ind w:left="720" w:hanging="360"/>
      </w:pPr>
      <w:rPr>
        <w:rFonts w:ascii="Cera CY" w:hAnsi="Cera CY" w:hint="default"/>
      </w:rPr>
    </w:lvl>
    <w:lvl w:ilvl="1" w:tplc="6868FA36" w:tentative="1">
      <w:start w:val="1"/>
      <w:numFmt w:val="bullet"/>
      <w:lvlText w:val="▷"/>
      <w:lvlJc w:val="left"/>
      <w:pPr>
        <w:tabs>
          <w:tab w:val="num" w:pos="1440"/>
        </w:tabs>
        <w:ind w:left="1440" w:hanging="360"/>
      </w:pPr>
      <w:rPr>
        <w:rFonts w:ascii="Cera CY" w:hAnsi="Cera CY" w:hint="default"/>
      </w:rPr>
    </w:lvl>
    <w:lvl w:ilvl="2" w:tplc="999EAB0E" w:tentative="1">
      <w:start w:val="1"/>
      <w:numFmt w:val="bullet"/>
      <w:lvlText w:val="▷"/>
      <w:lvlJc w:val="left"/>
      <w:pPr>
        <w:tabs>
          <w:tab w:val="num" w:pos="2160"/>
        </w:tabs>
        <w:ind w:left="2160" w:hanging="360"/>
      </w:pPr>
      <w:rPr>
        <w:rFonts w:ascii="Cera CY" w:hAnsi="Cera CY" w:hint="default"/>
      </w:rPr>
    </w:lvl>
    <w:lvl w:ilvl="3" w:tplc="A954741C" w:tentative="1">
      <w:start w:val="1"/>
      <w:numFmt w:val="bullet"/>
      <w:lvlText w:val="▷"/>
      <w:lvlJc w:val="left"/>
      <w:pPr>
        <w:tabs>
          <w:tab w:val="num" w:pos="2880"/>
        </w:tabs>
        <w:ind w:left="2880" w:hanging="360"/>
      </w:pPr>
      <w:rPr>
        <w:rFonts w:ascii="Cera CY" w:hAnsi="Cera CY" w:hint="default"/>
      </w:rPr>
    </w:lvl>
    <w:lvl w:ilvl="4" w:tplc="AF5E35BA" w:tentative="1">
      <w:start w:val="1"/>
      <w:numFmt w:val="bullet"/>
      <w:lvlText w:val="▷"/>
      <w:lvlJc w:val="left"/>
      <w:pPr>
        <w:tabs>
          <w:tab w:val="num" w:pos="3600"/>
        </w:tabs>
        <w:ind w:left="3600" w:hanging="360"/>
      </w:pPr>
      <w:rPr>
        <w:rFonts w:ascii="Cera CY" w:hAnsi="Cera CY" w:hint="default"/>
      </w:rPr>
    </w:lvl>
    <w:lvl w:ilvl="5" w:tplc="732CDC64" w:tentative="1">
      <w:start w:val="1"/>
      <w:numFmt w:val="bullet"/>
      <w:lvlText w:val="▷"/>
      <w:lvlJc w:val="left"/>
      <w:pPr>
        <w:tabs>
          <w:tab w:val="num" w:pos="4320"/>
        </w:tabs>
        <w:ind w:left="4320" w:hanging="360"/>
      </w:pPr>
      <w:rPr>
        <w:rFonts w:ascii="Cera CY" w:hAnsi="Cera CY" w:hint="default"/>
      </w:rPr>
    </w:lvl>
    <w:lvl w:ilvl="6" w:tplc="7AB4D802" w:tentative="1">
      <w:start w:val="1"/>
      <w:numFmt w:val="bullet"/>
      <w:lvlText w:val="▷"/>
      <w:lvlJc w:val="left"/>
      <w:pPr>
        <w:tabs>
          <w:tab w:val="num" w:pos="5040"/>
        </w:tabs>
        <w:ind w:left="5040" w:hanging="360"/>
      </w:pPr>
      <w:rPr>
        <w:rFonts w:ascii="Cera CY" w:hAnsi="Cera CY" w:hint="default"/>
      </w:rPr>
    </w:lvl>
    <w:lvl w:ilvl="7" w:tplc="5F640FD6" w:tentative="1">
      <w:start w:val="1"/>
      <w:numFmt w:val="bullet"/>
      <w:lvlText w:val="▷"/>
      <w:lvlJc w:val="left"/>
      <w:pPr>
        <w:tabs>
          <w:tab w:val="num" w:pos="5760"/>
        </w:tabs>
        <w:ind w:left="5760" w:hanging="360"/>
      </w:pPr>
      <w:rPr>
        <w:rFonts w:ascii="Cera CY" w:hAnsi="Cera CY" w:hint="default"/>
      </w:rPr>
    </w:lvl>
    <w:lvl w:ilvl="8" w:tplc="F000C218" w:tentative="1">
      <w:start w:val="1"/>
      <w:numFmt w:val="bullet"/>
      <w:lvlText w:val="▷"/>
      <w:lvlJc w:val="left"/>
      <w:pPr>
        <w:tabs>
          <w:tab w:val="num" w:pos="6480"/>
        </w:tabs>
        <w:ind w:left="6480" w:hanging="360"/>
      </w:pPr>
      <w:rPr>
        <w:rFonts w:ascii="Cera CY" w:hAnsi="Cera CY" w:hint="default"/>
      </w:rPr>
    </w:lvl>
  </w:abstractNum>
  <w:abstractNum w:abstractNumId="2" w15:restartNumberingAfterBreak="0">
    <w:nsid w:val="064708D0"/>
    <w:multiLevelType w:val="hybridMultilevel"/>
    <w:tmpl w:val="9426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6797"/>
    <w:multiLevelType w:val="hybridMultilevel"/>
    <w:tmpl w:val="9802FE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7EE6865"/>
    <w:multiLevelType w:val="hybridMultilevel"/>
    <w:tmpl w:val="4A2E4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E6FFC"/>
    <w:multiLevelType w:val="hybridMultilevel"/>
    <w:tmpl w:val="C1DC8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8578B"/>
    <w:multiLevelType w:val="hybridMultilevel"/>
    <w:tmpl w:val="2190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57A8A"/>
    <w:multiLevelType w:val="hybridMultilevel"/>
    <w:tmpl w:val="26A2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41FE4"/>
    <w:multiLevelType w:val="hybridMultilevel"/>
    <w:tmpl w:val="3AC2B506"/>
    <w:lvl w:ilvl="0" w:tplc="1FB262E2">
      <w:start w:val="1"/>
      <w:numFmt w:val="bullet"/>
      <w:lvlText w:val="―"/>
      <w:lvlJc w:val="left"/>
      <w:pPr>
        <w:ind w:left="778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10D62821"/>
    <w:multiLevelType w:val="hybridMultilevel"/>
    <w:tmpl w:val="D4A0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82E81"/>
    <w:multiLevelType w:val="hybridMultilevel"/>
    <w:tmpl w:val="2596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863AB"/>
    <w:multiLevelType w:val="hybridMultilevel"/>
    <w:tmpl w:val="B6F8B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459B8"/>
    <w:multiLevelType w:val="hybridMultilevel"/>
    <w:tmpl w:val="70A4C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596F"/>
    <w:multiLevelType w:val="hybridMultilevel"/>
    <w:tmpl w:val="BF44284C"/>
    <w:lvl w:ilvl="0" w:tplc="1A404F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441EF"/>
    <w:multiLevelType w:val="hybridMultilevel"/>
    <w:tmpl w:val="770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A56C2"/>
    <w:multiLevelType w:val="hybridMultilevel"/>
    <w:tmpl w:val="09902B80"/>
    <w:lvl w:ilvl="0" w:tplc="E38C00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77BCD"/>
    <w:multiLevelType w:val="hybridMultilevel"/>
    <w:tmpl w:val="3DC2C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4650D"/>
    <w:multiLevelType w:val="hybridMultilevel"/>
    <w:tmpl w:val="CD607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00840"/>
    <w:multiLevelType w:val="hybridMultilevel"/>
    <w:tmpl w:val="609A5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E912A96"/>
    <w:multiLevelType w:val="hybridMultilevel"/>
    <w:tmpl w:val="78361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95839"/>
    <w:multiLevelType w:val="hybridMultilevel"/>
    <w:tmpl w:val="965CE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32D7D"/>
    <w:multiLevelType w:val="hybridMultilevel"/>
    <w:tmpl w:val="B0E2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B2ADA"/>
    <w:multiLevelType w:val="hybridMultilevel"/>
    <w:tmpl w:val="F0162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8"/>
  </w:num>
  <w:num w:numId="4">
    <w:abstractNumId w:val="20"/>
  </w:num>
  <w:num w:numId="5">
    <w:abstractNumId w:val="12"/>
  </w:num>
  <w:num w:numId="6">
    <w:abstractNumId w:val="16"/>
  </w:num>
  <w:num w:numId="7">
    <w:abstractNumId w:val="21"/>
  </w:num>
  <w:num w:numId="8">
    <w:abstractNumId w:val="10"/>
  </w:num>
  <w:num w:numId="9">
    <w:abstractNumId w:val="2"/>
  </w:num>
  <w:num w:numId="10">
    <w:abstractNumId w:val="14"/>
  </w:num>
  <w:num w:numId="11">
    <w:abstractNumId w:val="6"/>
  </w:num>
  <w:num w:numId="12">
    <w:abstractNumId w:val="17"/>
  </w:num>
  <w:num w:numId="13">
    <w:abstractNumId w:val="7"/>
  </w:num>
  <w:num w:numId="14">
    <w:abstractNumId w:val="11"/>
  </w:num>
  <w:num w:numId="15">
    <w:abstractNumId w:val="0"/>
  </w:num>
  <w:num w:numId="16">
    <w:abstractNumId w:val="5"/>
  </w:num>
  <w:num w:numId="17">
    <w:abstractNumId w:val="19"/>
  </w:num>
  <w:num w:numId="18">
    <w:abstractNumId w:val="4"/>
  </w:num>
  <w:num w:numId="19">
    <w:abstractNumId w:val="1"/>
  </w:num>
  <w:num w:numId="20">
    <w:abstractNumId w:val="0"/>
  </w:num>
  <w:num w:numId="21">
    <w:abstractNumId w:val="8"/>
  </w:num>
  <w:num w:numId="22">
    <w:abstractNumId w:val="22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70"/>
    <w:rsid w:val="000001B3"/>
    <w:rsid w:val="0000356E"/>
    <w:rsid w:val="0000671F"/>
    <w:rsid w:val="00014581"/>
    <w:rsid w:val="00016425"/>
    <w:rsid w:val="0002049F"/>
    <w:rsid w:val="00020ED8"/>
    <w:rsid w:val="000453DC"/>
    <w:rsid w:val="00053DA7"/>
    <w:rsid w:val="00055A28"/>
    <w:rsid w:val="00061577"/>
    <w:rsid w:val="0006549E"/>
    <w:rsid w:val="00075A58"/>
    <w:rsid w:val="00077941"/>
    <w:rsid w:val="000855C6"/>
    <w:rsid w:val="0008563A"/>
    <w:rsid w:val="0009511F"/>
    <w:rsid w:val="00096080"/>
    <w:rsid w:val="00096F60"/>
    <w:rsid w:val="000971EA"/>
    <w:rsid w:val="000A41DA"/>
    <w:rsid w:val="000A5714"/>
    <w:rsid w:val="000B00FE"/>
    <w:rsid w:val="000B32CC"/>
    <w:rsid w:val="000C2702"/>
    <w:rsid w:val="000C29E9"/>
    <w:rsid w:val="000C6D5E"/>
    <w:rsid w:val="000C7235"/>
    <w:rsid w:val="000D59DE"/>
    <w:rsid w:val="000D7EBB"/>
    <w:rsid w:val="000E014C"/>
    <w:rsid w:val="000E28C0"/>
    <w:rsid w:val="000E490F"/>
    <w:rsid w:val="000F110E"/>
    <w:rsid w:val="000F1801"/>
    <w:rsid w:val="000F4209"/>
    <w:rsid w:val="000F45A8"/>
    <w:rsid w:val="000F5219"/>
    <w:rsid w:val="000F5C23"/>
    <w:rsid w:val="000F6292"/>
    <w:rsid w:val="00103DBA"/>
    <w:rsid w:val="00111BAF"/>
    <w:rsid w:val="001130D9"/>
    <w:rsid w:val="0011570C"/>
    <w:rsid w:val="001173E0"/>
    <w:rsid w:val="001209C2"/>
    <w:rsid w:val="00122CF7"/>
    <w:rsid w:val="00123D27"/>
    <w:rsid w:val="001249FB"/>
    <w:rsid w:val="001262CA"/>
    <w:rsid w:val="00136795"/>
    <w:rsid w:val="001414A6"/>
    <w:rsid w:val="001546C8"/>
    <w:rsid w:val="00163F23"/>
    <w:rsid w:val="00173ACF"/>
    <w:rsid w:val="00177E6F"/>
    <w:rsid w:val="001820FF"/>
    <w:rsid w:val="001830A0"/>
    <w:rsid w:val="00184BFB"/>
    <w:rsid w:val="00196E91"/>
    <w:rsid w:val="001A0081"/>
    <w:rsid w:val="001A2A52"/>
    <w:rsid w:val="001A7062"/>
    <w:rsid w:val="001B43DC"/>
    <w:rsid w:val="001C3A3E"/>
    <w:rsid w:val="001C4618"/>
    <w:rsid w:val="001D0AF2"/>
    <w:rsid w:val="001D15B6"/>
    <w:rsid w:val="001D3991"/>
    <w:rsid w:val="001D5478"/>
    <w:rsid w:val="001D6C68"/>
    <w:rsid w:val="001E622F"/>
    <w:rsid w:val="001F431A"/>
    <w:rsid w:val="00211D04"/>
    <w:rsid w:val="0021605A"/>
    <w:rsid w:val="002172CC"/>
    <w:rsid w:val="00222CB0"/>
    <w:rsid w:val="00224A51"/>
    <w:rsid w:val="002334FE"/>
    <w:rsid w:val="00235352"/>
    <w:rsid w:val="00250F15"/>
    <w:rsid w:val="002618F9"/>
    <w:rsid w:val="002628CE"/>
    <w:rsid w:val="0027308B"/>
    <w:rsid w:val="00273377"/>
    <w:rsid w:val="002771AA"/>
    <w:rsid w:val="00294939"/>
    <w:rsid w:val="002A1C0A"/>
    <w:rsid w:val="002B15B4"/>
    <w:rsid w:val="002B1D90"/>
    <w:rsid w:val="002B2BC4"/>
    <w:rsid w:val="002B440C"/>
    <w:rsid w:val="002B7916"/>
    <w:rsid w:val="002C0F01"/>
    <w:rsid w:val="002C4864"/>
    <w:rsid w:val="002C5969"/>
    <w:rsid w:val="002C6F69"/>
    <w:rsid w:val="002C7EC2"/>
    <w:rsid w:val="002D3296"/>
    <w:rsid w:val="002E2451"/>
    <w:rsid w:val="002E249C"/>
    <w:rsid w:val="002E39CA"/>
    <w:rsid w:val="002F1F72"/>
    <w:rsid w:val="00303BC1"/>
    <w:rsid w:val="00312F5A"/>
    <w:rsid w:val="003212D1"/>
    <w:rsid w:val="00321F7D"/>
    <w:rsid w:val="00324754"/>
    <w:rsid w:val="00325A73"/>
    <w:rsid w:val="00325A9C"/>
    <w:rsid w:val="00326593"/>
    <w:rsid w:val="0033376C"/>
    <w:rsid w:val="003404B5"/>
    <w:rsid w:val="00353C39"/>
    <w:rsid w:val="00354299"/>
    <w:rsid w:val="00357E09"/>
    <w:rsid w:val="00362E79"/>
    <w:rsid w:val="003766B3"/>
    <w:rsid w:val="00381C7F"/>
    <w:rsid w:val="003831D1"/>
    <w:rsid w:val="00383C3F"/>
    <w:rsid w:val="0038564A"/>
    <w:rsid w:val="00395B08"/>
    <w:rsid w:val="003A3DB8"/>
    <w:rsid w:val="003A4E4B"/>
    <w:rsid w:val="003B16B3"/>
    <w:rsid w:val="003B5A46"/>
    <w:rsid w:val="003B70EA"/>
    <w:rsid w:val="003C2B99"/>
    <w:rsid w:val="003D20B6"/>
    <w:rsid w:val="003D2AF8"/>
    <w:rsid w:val="003D72D7"/>
    <w:rsid w:val="003D7691"/>
    <w:rsid w:val="003E4882"/>
    <w:rsid w:val="003F1F27"/>
    <w:rsid w:val="003F5CB1"/>
    <w:rsid w:val="004012EB"/>
    <w:rsid w:val="004046DC"/>
    <w:rsid w:val="00414F27"/>
    <w:rsid w:val="00420C47"/>
    <w:rsid w:val="00423C56"/>
    <w:rsid w:val="00424F24"/>
    <w:rsid w:val="00437B67"/>
    <w:rsid w:val="00443D59"/>
    <w:rsid w:val="00445EA9"/>
    <w:rsid w:val="0045034C"/>
    <w:rsid w:val="0045405D"/>
    <w:rsid w:val="00464756"/>
    <w:rsid w:val="0047353C"/>
    <w:rsid w:val="004825AD"/>
    <w:rsid w:val="004951ED"/>
    <w:rsid w:val="00495799"/>
    <w:rsid w:val="004A1ABC"/>
    <w:rsid w:val="004A1EAE"/>
    <w:rsid w:val="004A54C1"/>
    <w:rsid w:val="004A5A45"/>
    <w:rsid w:val="004C76DC"/>
    <w:rsid w:val="004D1A31"/>
    <w:rsid w:val="004D3BFB"/>
    <w:rsid w:val="004F25E4"/>
    <w:rsid w:val="004F3C3B"/>
    <w:rsid w:val="004F5333"/>
    <w:rsid w:val="00500E05"/>
    <w:rsid w:val="00503D06"/>
    <w:rsid w:val="00506C77"/>
    <w:rsid w:val="00507CD8"/>
    <w:rsid w:val="00512249"/>
    <w:rsid w:val="005176AF"/>
    <w:rsid w:val="005266B8"/>
    <w:rsid w:val="00527C92"/>
    <w:rsid w:val="00532946"/>
    <w:rsid w:val="00535961"/>
    <w:rsid w:val="00536501"/>
    <w:rsid w:val="00540CEF"/>
    <w:rsid w:val="005461FB"/>
    <w:rsid w:val="005537FA"/>
    <w:rsid w:val="005648CF"/>
    <w:rsid w:val="005710ED"/>
    <w:rsid w:val="00572DB0"/>
    <w:rsid w:val="00575ECD"/>
    <w:rsid w:val="005768B3"/>
    <w:rsid w:val="005840E7"/>
    <w:rsid w:val="0058440C"/>
    <w:rsid w:val="0059659B"/>
    <w:rsid w:val="005970E5"/>
    <w:rsid w:val="005A512F"/>
    <w:rsid w:val="005C3D0A"/>
    <w:rsid w:val="005D07C7"/>
    <w:rsid w:val="005D2982"/>
    <w:rsid w:val="005D3116"/>
    <w:rsid w:val="005D3C91"/>
    <w:rsid w:val="005D42B6"/>
    <w:rsid w:val="005E032B"/>
    <w:rsid w:val="00603502"/>
    <w:rsid w:val="00611A19"/>
    <w:rsid w:val="00611D01"/>
    <w:rsid w:val="006142AC"/>
    <w:rsid w:val="0061493F"/>
    <w:rsid w:val="00633864"/>
    <w:rsid w:val="0064399F"/>
    <w:rsid w:val="0065086B"/>
    <w:rsid w:val="006522E4"/>
    <w:rsid w:val="00654C94"/>
    <w:rsid w:val="00660C36"/>
    <w:rsid w:val="00664C26"/>
    <w:rsid w:val="00671AEB"/>
    <w:rsid w:val="006740F7"/>
    <w:rsid w:val="006741BD"/>
    <w:rsid w:val="006858B5"/>
    <w:rsid w:val="006873C9"/>
    <w:rsid w:val="0069027F"/>
    <w:rsid w:val="00691FC8"/>
    <w:rsid w:val="006A03B5"/>
    <w:rsid w:val="006A2674"/>
    <w:rsid w:val="006A4D4A"/>
    <w:rsid w:val="006A668C"/>
    <w:rsid w:val="006B4792"/>
    <w:rsid w:val="006C582D"/>
    <w:rsid w:val="006C61BF"/>
    <w:rsid w:val="006C682A"/>
    <w:rsid w:val="006D2E31"/>
    <w:rsid w:val="006D49B9"/>
    <w:rsid w:val="006E0F66"/>
    <w:rsid w:val="006E1308"/>
    <w:rsid w:val="006F4146"/>
    <w:rsid w:val="006F7F42"/>
    <w:rsid w:val="007161E1"/>
    <w:rsid w:val="007218F4"/>
    <w:rsid w:val="0072245D"/>
    <w:rsid w:val="00730326"/>
    <w:rsid w:val="007409E5"/>
    <w:rsid w:val="00744088"/>
    <w:rsid w:val="00747A52"/>
    <w:rsid w:val="00752A7F"/>
    <w:rsid w:val="007672AA"/>
    <w:rsid w:val="00771849"/>
    <w:rsid w:val="007721E6"/>
    <w:rsid w:val="0077686F"/>
    <w:rsid w:val="00777EB4"/>
    <w:rsid w:val="007813A0"/>
    <w:rsid w:val="00786785"/>
    <w:rsid w:val="00797B0E"/>
    <w:rsid w:val="007A6EF6"/>
    <w:rsid w:val="007A72DA"/>
    <w:rsid w:val="007C1701"/>
    <w:rsid w:val="007C39D5"/>
    <w:rsid w:val="007C3F55"/>
    <w:rsid w:val="007D1C0D"/>
    <w:rsid w:val="007D1E5B"/>
    <w:rsid w:val="007D3CFF"/>
    <w:rsid w:val="007E1574"/>
    <w:rsid w:val="007E1E5F"/>
    <w:rsid w:val="007F3A81"/>
    <w:rsid w:val="007F56E1"/>
    <w:rsid w:val="007F7B8F"/>
    <w:rsid w:val="0080130B"/>
    <w:rsid w:val="0081038A"/>
    <w:rsid w:val="0081480A"/>
    <w:rsid w:val="0082041D"/>
    <w:rsid w:val="00820609"/>
    <w:rsid w:val="0082287E"/>
    <w:rsid w:val="008255C0"/>
    <w:rsid w:val="00825D00"/>
    <w:rsid w:val="008346AC"/>
    <w:rsid w:val="00836680"/>
    <w:rsid w:val="0084386F"/>
    <w:rsid w:val="00846F45"/>
    <w:rsid w:val="008501B0"/>
    <w:rsid w:val="00860F29"/>
    <w:rsid w:val="00863806"/>
    <w:rsid w:val="00864240"/>
    <w:rsid w:val="0086608C"/>
    <w:rsid w:val="008732A2"/>
    <w:rsid w:val="00873701"/>
    <w:rsid w:val="00874284"/>
    <w:rsid w:val="00876A1B"/>
    <w:rsid w:val="00882A68"/>
    <w:rsid w:val="00882CBB"/>
    <w:rsid w:val="00894DEE"/>
    <w:rsid w:val="00896E76"/>
    <w:rsid w:val="008A074F"/>
    <w:rsid w:val="008A3EA6"/>
    <w:rsid w:val="008A7A9D"/>
    <w:rsid w:val="008C02D0"/>
    <w:rsid w:val="008C525A"/>
    <w:rsid w:val="008C7651"/>
    <w:rsid w:val="008D2D12"/>
    <w:rsid w:val="008D4581"/>
    <w:rsid w:val="008D7812"/>
    <w:rsid w:val="008E33CF"/>
    <w:rsid w:val="008E5512"/>
    <w:rsid w:val="009026E2"/>
    <w:rsid w:val="00903711"/>
    <w:rsid w:val="0090588D"/>
    <w:rsid w:val="00906EC7"/>
    <w:rsid w:val="00907EA5"/>
    <w:rsid w:val="00930ED3"/>
    <w:rsid w:val="00935370"/>
    <w:rsid w:val="00940D07"/>
    <w:rsid w:val="009461AB"/>
    <w:rsid w:val="009462EB"/>
    <w:rsid w:val="00947049"/>
    <w:rsid w:val="0095255D"/>
    <w:rsid w:val="00952629"/>
    <w:rsid w:val="0096132E"/>
    <w:rsid w:val="0096279A"/>
    <w:rsid w:val="00964DBB"/>
    <w:rsid w:val="00970573"/>
    <w:rsid w:val="00970864"/>
    <w:rsid w:val="00970F17"/>
    <w:rsid w:val="009728AF"/>
    <w:rsid w:val="00973BAD"/>
    <w:rsid w:val="00977EBC"/>
    <w:rsid w:val="00987289"/>
    <w:rsid w:val="00996224"/>
    <w:rsid w:val="009A42AC"/>
    <w:rsid w:val="009C02E0"/>
    <w:rsid w:val="009C03FC"/>
    <w:rsid w:val="009C050A"/>
    <w:rsid w:val="009C4309"/>
    <w:rsid w:val="009C6CA4"/>
    <w:rsid w:val="009C7574"/>
    <w:rsid w:val="009D77DD"/>
    <w:rsid w:val="009E231E"/>
    <w:rsid w:val="009E679F"/>
    <w:rsid w:val="009F0199"/>
    <w:rsid w:val="009F0267"/>
    <w:rsid w:val="009F516B"/>
    <w:rsid w:val="009F6C94"/>
    <w:rsid w:val="009F7C37"/>
    <w:rsid w:val="00A00258"/>
    <w:rsid w:val="00A03B6F"/>
    <w:rsid w:val="00A1060C"/>
    <w:rsid w:val="00A12FDA"/>
    <w:rsid w:val="00A131A8"/>
    <w:rsid w:val="00A15313"/>
    <w:rsid w:val="00A2305F"/>
    <w:rsid w:val="00A50407"/>
    <w:rsid w:val="00A52C33"/>
    <w:rsid w:val="00A53472"/>
    <w:rsid w:val="00A57779"/>
    <w:rsid w:val="00A6146C"/>
    <w:rsid w:val="00A6171A"/>
    <w:rsid w:val="00A7138E"/>
    <w:rsid w:val="00A74D52"/>
    <w:rsid w:val="00A758F9"/>
    <w:rsid w:val="00A76C31"/>
    <w:rsid w:val="00A770D0"/>
    <w:rsid w:val="00A77CF0"/>
    <w:rsid w:val="00A805E8"/>
    <w:rsid w:val="00A90D71"/>
    <w:rsid w:val="00A91368"/>
    <w:rsid w:val="00A966F3"/>
    <w:rsid w:val="00AB1C1C"/>
    <w:rsid w:val="00AB2256"/>
    <w:rsid w:val="00AB4FC1"/>
    <w:rsid w:val="00AC0306"/>
    <w:rsid w:val="00AC3EC7"/>
    <w:rsid w:val="00AC6174"/>
    <w:rsid w:val="00AD440F"/>
    <w:rsid w:val="00AD6781"/>
    <w:rsid w:val="00AE3F70"/>
    <w:rsid w:val="00AF2444"/>
    <w:rsid w:val="00AF6BD3"/>
    <w:rsid w:val="00AF7EB6"/>
    <w:rsid w:val="00B01F0C"/>
    <w:rsid w:val="00B069A1"/>
    <w:rsid w:val="00B11716"/>
    <w:rsid w:val="00B14EDA"/>
    <w:rsid w:val="00B1550B"/>
    <w:rsid w:val="00B222DB"/>
    <w:rsid w:val="00B24150"/>
    <w:rsid w:val="00B25F17"/>
    <w:rsid w:val="00B33BED"/>
    <w:rsid w:val="00B452C8"/>
    <w:rsid w:val="00B50C00"/>
    <w:rsid w:val="00B53A71"/>
    <w:rsid w:val="00B554F5"/>
    <w:rsid w:val="00B55C1B"/>
    <w:rsid w:val="00B651A4"/>
    <w:rsid w:val="00B73632"/>
    <w:rsid w:val="00B8785A"/>
    <w:rsid w:val="00B95E6F"/>
    <w:rsid w:val="00BA242E"/>
    <w:rsid w:val="00BA4663"/>
    <w:rsid w:val="00BA570D"/>
    <w:rsid w:val="00BA68F8"/>
    <w:rsid w:val="00BB5BDA"/>
    <w:rsid w:val="00BC58E6"/>
    <w:rsid w:val="00BD01A2"/>
    <w:rsid w:val="00BD0BC8"/>
    <w:rsid w:val="00BD15B2"/>
    <w:rsid w:val="00C00D81"/>
    <w:rsid w:val="00C062EE"/>
    <w:rsid w:val="00C10044"/>
    <w:rsid w:val="00C13257"/>
    <w:rsid w:val="00C20AF3"/>
    <w:rsid w:val="00C210AF"/>
    <w:rsid w:val="00C21D85"/>
    <w:rsid w:val="00C21DFA"/>
    <w:rsid w:val="00C338AE"/>
    <w:rsid w:val="00C33A3E"/>
    <w:rsid w:val="00C36B6A"/>
    <w:rsid w:val="00C44C8B"/>
    <w:rsid w:val="00C50147"/>
    <w:rsid w:val="00C51E2D"/>
    <w:rsid w:val="00C53264"/>
    <w:rsid w:val="00C5572A"/>
    <w:rsid w:val="00C7129A"/>
    <w:rsid w:val="00C72F63"/>
    <w:rsid w:val="00C76994"/>
    <w:rsid w:val="00C87A9D"/>
    <w:rsid w:val="00C87F49"/>
    <w:rsid w:val="00C91218"/>
    <w:rsid w:val="00C91B4A"/>
    <w:rsid w:val="00C94CFD"/>
    <w:rsid w:val="00C94D62"/>
    <w:rsid w:val="00C95180"/>
    <w:rsid w:val="00CA1384"/>
    <w:rsid w:val="00CB7841"/>
    <w:rsid w:val="00CB79B6"/>
    <w:rsid w:val="00CC2665"/>
    <w:rsid w:val="00CC6527"/>
    <w:rsid w:val="00CD5BC6"/>
    <w:rsid w:val="00CD5E66"/>
    <w:rsid w:val="00CD6888"/>
    <w:rsid w:val="00D01888"/>
    <w:rsid w:val="00D02C24"/>
    <w:rsid w:val="00D02E93"/>
    <w:rsid w:val="00D10CF6"/>
    <w:rsid w:val="00D1351E"/>
    <w:rsid w:val="00D15E46"/>
    <w:rsid w:val="00D16ECA"/>
    <w:rsid w:val="00D20318"/>
    <w:rsid w:val="00D20A1F"/>
    <w:rsid w:val="00D22590"/>
    <w:rsid w:val="00D226F4"/>
    <w:rsid w:val="00D247EA"/>
    <w:rsid w:val="00D32A4B"/>
    <w:rsid w:val="00D351C2"/>
    <w:rsid w:val="00D352FF"/>
    <w:rsid w:val="00D365B9"/>
    <w:rsid w:val="00D445DD"/>
    <w:rsid w:val="00D5332B"/>
    <w:rsid w:val="00D5593B"/>
    <w:rsid w:val="00D6283F"/>
    <w:rsid w:val="00D70553"/>
    <w:rsid w:val="00D71137"/>
    <w:rsid w:val="00D72683"/>
    <w:rsid w:val="00D90330"/>
    <w:rsid w:val="00D93F5A"/>
    <w:rsid w:val="00D9597F"/>
    <w:rsid w:val="00DA3AA6"/>
    <w:rsid w:val="00DB2A80"/>
    <w:rsid w:val="00DB2BB7"/>
    <w:rsid w:val="00DB6362"/>
    <w:rsid w:val="00DB6834"/>
    <w:rsid w:val="00DB7F55"/>
    <w:rsid w:val="00DC0935"/>
    <w:rsid w:val="00DC2934"/>
    <w:rsid w:val="00DC439F"/>
    <w:rsid w:val="00DD0B81"/>
    <w:rsid w:val="00DD0FCF"/>
    <w:rsid w:val="00DD3368"/>
    <w:rsid w:val="00DD605F"/>
    <w:rsid w:val="00DD7031"/>
    <w:rsid w:val="00DE1339"/>
    <w:rsid w:val="00DE702A"/>
    <w:rsid w:val="00DE78E6"/>
    <w:rsid w:val="00DF7BDE"/>
    <w:rsid w:val="00E01BC9"/>
    <w:rsid w:val="00E11A7E"/>
    <w:rsid w:val="00E20F3E"/>
    <w:rsid w:val="00E22A06"/>
    <w:rsid w:val="00E26431"/>
    <w:rsid w:val="00E2706E"/>
    <w:rsid w:val="00E36D7D"/>
    <w:rsid w:val="00E40079"/>
    <w:rsid w:val="00E432D2"/>
    <w:rsid w:val="00E52249"/>
    <w:rsid w:val="00E53F23"/>
    <w:rsid w:val="00E54F8E"/>
    <w:rsid w:val="00E6370B"/>
    <w:rsid w:val="00E6385D"/>
    <w:rsid w:val="00E75602"/>
    <w:rsid w:val="00E771CF"/>
    <w:rsid w:val="00E7783B"/>
    <w:rsid w:val="00E77EA3"/>
    <w:rsid w:val="00E8178D"/>
    <w:rsid w:val="00E8356C"/>
    <w:rsid w:val="00E84E7C"/>
    <w:rsid w:val="00E90500"/>
    <w:rsid w:val="00E915E4"/>
    <w:rsid w:val="00E969A1"/>
    <w:rsid w:val="00EA533E"/>
    <w:rsid w:val="00EA6D57"/>
    <w:rsid w:val="00EC5F54"/>
    <w:rsid w:val="00ED33DB"/>
    <w:rsid w:val="00ED4704"/>
    <w:rsid w:val="00ED5C04"/>
    <w:rsid w:val="00EE3244"/>
    <w:rsid w:val="00EE361A"/>
    <w:rsid w:val="00EF21B1"/>
    <w:rsid w:val="00EF29CE"/>
    <w:rsid w:val="00EF310A"/>
    <w:rsid w:val="00EF5F57"/>
    <w:rsid w:val="00F01E46"/>
    <w:rsid w:val="00F021E8"/>
    <w:rsid w:val="00F06F06"/>
    <w:rsid w:val="00F07CE1"/>
    <w:rsid w:val="00F10A4A"/>
    <w:rsid w:val="00F119B1"/>
    <w:rsid w:val="00F1688E"/>
    <w:rsid w:val="00F2575B"/>
    <w:rsid w:val="00F25953"/>
    <w:rsid w:val="00F402F7"/>
    <w:rsid w:val="00F43968"/>
    <w:rsid w:val="00F44C17"/>
    <w:rsid w:val="00F51399"/>
    <w:rsid w:val="00F57319"/>
    <w:rsid w:val="00F6126A"/>
    <w:rsid w:val="00F62B2A"/>
    <w:rsid w:val="00F70DE3"/>
    <w:rsid w:val="00F80AAC"/>
    <w:rsid w:val="00F811B2"/>
    <w:rsid w:val="00F82132"/>
    <w:rsid w:val="00F8347A"/>
    <w:rsid w:val="00F87A3C"/>
    <w:rsid w:val="00F90E3E"/>
    <w:rsid w:val="00F91194"/>
    <w:rsid w:val="00FA3CFA"/>
    <w:rsid w:val="00FA4CB6"/>
    <w:rsid w:val="00FA4E1E"/>
    <w:rsid w:val="00FB1C9A"/>
    <w:rsid w:val="00FB4085"/>
    <w:rsid w:val="00FB55E8"/>
    <w:rsid w:val="00FC4508"/>
    <w:rsid w:val="00FC7A6C"/>
    <w:rsid w:val="00FD1692"/>
    <w:rsid w:val="00FD19AC"/>
    <w:rsid w:val="00FE6975"/>
    <w:rsid w:val="00FE758B"/>
    <w:rsid w:val="00FF1981"/>
    <w:rsid w:val="00FF3275"/>
    <w:rsid w:val="00F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3"/>
    <o:shapelayout v:ext="edit">
      <o:idmap v:ext="edit" data="1"/>
    </o:shapelayout>
  </w:shapeDefaults>
  <w:decimalSymbol w:val=","/>
  <w:listSeparator w:val=";"/>
  <w14:docId w14:val="7ADD0A8F"/>
  <w15:chartTrackingRefBased/>
  <w15:docId w15:val="{1D7BFD20-4CBA-4884-A4C0-FA85505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54F5"/>
    <w:pPr>
      <w:spacing w:before="120" w:after="120"/>
    </w:pPr>
    <w:rPr>
      <w:rFonts w:ascii="Cera CY" w:hAnsi="Cera CY"/>
      <w:color w:val="000000" w:themeColor="text1"/>
      <w:sz w:val="24"/>
    </w:rPr>
  </w:style>
  <w:style w:type="paragraph" w:styleId="1">
    <w:name w:val="heading 1"/>
    <w:basedOn w:val="a0"/>
    <w:next w:val="a0"/>
    <w:link w:val="10"/>
    <w:uiPriority w:val="9"/>
    <w:qFormat/>
    <w:rsid w:val="005840E7"/>
    <w:pPr>
      <w:keepNext/>
      <w:keepLines/>
      <w:outlineLvl w:val="0"/>
    </w:pPr>
    <w:rPr>
      <w:rFonts w:eastAsiaTheme="majorEastAsia" w:cstheme="majorBidi"/>
      <w:b/>
      <w:color w:val="2455D8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50147"/>
    <w:pPr>
      <w:keepNext/>
      <w:keepLines/>
      <w:spacing w:before="160"/>
      <w:outlineLvl w:val="1"/>
    </w:pPr>
    <w:rPr>
      <w:rFonts w:eastAsiaTheme="majorEastAsia" w:cstheme="majorBidi"/>
      <w:color w:val="4478FF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1493F"/>
    <w:pPr>
      <w:keepNext/>
      <w:keepLines/>
      <w:spacing w:before="16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728AF"/>
    <w:pPr>
      <w:keepNext/>
      <w:keepLines/>
      <w:spacing w:before="40"/>
      <w:outlineLvl w:val="3"/>
    </w:pPr>
    <w:rPr>
      <w:rFonts w:eastAsiaTheme="majorEastAsia" w:cstheme="majorBidi"/>
      <w:b/>
      <w:iCs/>
      <w:color w:val="FFFFFF" w:themeColor="background1"/>
      <w:sz w:val="4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834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7224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ru-RU"/>
    </w:rPr>
  </w:style>
  <w:style w:type="paragraph" w:styleId="a5">
    <w:name w:val="header"/>
    <w:basedOn w:val="a0"/>
    <w:link w:val="a6"/>
    <w:uiPriority w:val="99"/>
    <w:unhideWhenUsed/>
    <w:rsid w:val="000B00F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0B00FE"/>
  </w:style>
  <w:style w:type="paragraph" w:styleId="a7">
    <w:name w:val="footer"/>
    <w:basedOn w:val="a0"/>
    <w:link w:val="a8"/>
    <w:uiPriority w:val="99"/>
    <w:unhideWhenUsed/>
    <w:rsid w:val="000B00F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B00FE"/>
  </w:style>
  <w:style w:type="paragraph" w:styleId="a">
    <w:name w:val="List Paragraph"/>
    <w:basedOn w:val="a0"/>
    <w:uiPriority w:val="34"/>
    <w:qFormat/>
    <w:rsid w:val="006A03B5"/>
    <w:pPr>
      <w:numPr>
        <w:numId w:val="15"/>
      </w:numPr>
      <w:spacing w:before="0" w:after="0" w:line="276" w:lineRule="auto"/>
    </w:pPr>
    <w:rPr>
      <w:rFonts w:cs="Times New Roman"/>
      <w:szCs w:val="24"/>
    </w:rPr>
  </w:style>
  <w:style w:type="paragraph" w:styleId="a9">
    <w:name w:val="No Spacing"/>
    <w:uiPriority w:val="1"/>
    <w:qFormat/>
    <w:rsid w:val="00500E05"/>
    <w:pPr>
      <w:spacing w:after="0" w:line="240" w:lineRule="auto"/>
    </w:pPr>
    <w:rPr>
      <w:rFonts w:ascii="Cera CY" w:hAnsi="Cera CY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5840E7"/>
    <w:rPr>
      <w:rFonts w:ascii="Cera CY" w:eastAsiaTheme="majorEastAsia" w:hAnsi="Cera CY" w:cstheme="majorBidi"/>
      <w:b/>
      <w:color w:val="2455D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50147"/>
    <w:rPr>
      <w:rFonts w:ascii="Cera CY" w:eastAsiaTheme="majorEastAsia" w:hAnsi="Cera CY" w:cstheme="majorBidi"/>
      <w:color w:val="4478FF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61493F"/>
    <w:rPr>
      <w:rFonts w:ascii="Cera CY" w:eastAsiaTheme="majorEastAsia" w:hAnsi="Cera CY" w:cstheme="majorBidi"/>
      <w:color w:val="000000" w:themeColor="text1"/>
      <w:sz w:val="24"/>
      <w:szCs w:val="24"/>
    </w:rPr>
  </w:style>
  <w:style w:type="paragraph" w:styleId="aa">
    <w:name w:val="Title"/>
    <w:basedOn w:val="a0"/>
    <w:next w:val="a0"/>
    <w:link w:val="ab"/>
    <w:uiPriority w:val="10"/>
    <w:qFormat/>
    <w:rsid w:val="00500E0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500E0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c">
    <w:name w:val="Subtitle"/>
    <w:basedOn w:val="a0"/>
    <w:next w:val="a0"/>
    <w:link w:val="ad"/>
    <w:uiPriority w:val="11"/>
    <w:qFormat/>
    <w:rsid w:val="00500E0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1"/>
    <w:link w:val="ac"/>
    <w:uiPriority w:val="11"/>
    <w:rsid w:val="00500E05"/>
    <w:rPr>
      <w:rFonts w:eastAsiaTheme="minorEastAsia"/>
      <w:b/>
      <w:color w:val="5A5A5A" w:themeColor="text1" w:themeTint="A5"/>
      <w:spacing w:val="15"/>
    </w:rPr>
  </w:style>
  <w:style w:type="character" w:styleId="ae">
    <w:name w:val="Subtle Emphasis"/>
    <w:basedOn w:val="a1"/>
    <w:uiPriority w:val="19"/>
    <w:qFormat/>
    <w:rsid w:val="00A52C33"/>
    <w:rPr>
      <w:rFonts w:ascii="Cera CY" w:hAnsi="Cera CY"/>
      <w:i/>
      <w:iCs/>
      <w:color w:val="000000" w:themeColor="text1"/>
      <w:sz w:val="24"/>
    </w:rPr>
  </w:style>
  <w:style w:type="character" w:styleId="af">
    <w:name w:val="Emphasis"/>
    <w:basedOn w:val="a1"/>
    <w:uiPriority w:val="20"/>
    <w:qFormat/>
    <w:rsid w:val="00F8347A"/>
    <w:rPr>
      <w:rFonts w:ascii="Cera CY" w:hAnsi="Cera CY"/>
      <w:b/>
      <w:i/>
      <w:iCs/>
      <w:sz w:val="24"/>
    </w:rPr>
  </w:style>
  <w:style w:type="character" w:styleId="af0">
    <w:name w:val="Intense Emphasis"/>
    <w:basedOn w:val="a1"/>
    <w:uiPriority w:val="21"/>
    <w:qFormat/>
    <w:rsid w:val="00500E05"/>
    <w:rPr>
      <w:i/>
      <w:iCs/>
      <w:color w:val="5B9BD5" w:themeColor="accent1"/>
    </w:rPr>
  </w:style>
  <w:style w:type="character" w:styleId="af1">
    <w:name w:val="Strong"/>
    <w:basedOn w:val="a1"/>
    <w:uiPriority w:val="22"/>
    <w:qFormat/>
    <w:rsid w:val="00500E05"/>
    <w:rPr>
      <w:b/>
      <w:bCs/>
    </w:rPr>
  </w:style>
  <w:style w:type="paragraph" w:styleId="21">
    <w:name w:val="Quote"/>
    <w:basedOn w:val="a0"/>
    <w:next w:val="a0"/>
    <w:link w:val="22"/>
    <w:uiPriority w:val="29"/>
    <w:qFormat/>
    <w:rsid w:val="00500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500E05"/>
    <w:rPr>
      <w:rFonts w:ascii="Cera CY" w:hAnsi="Cera CY"/>
      <w:b/>
      <w:i/>
      <w:iCs/>
      <w:color w:val="404040" w:themeColor="text1" w:themeTint="BF"/>
      <w:sz w:val="28"/>
    </w:rPr>
  </w:style>
  <w:style w:type="paragraph" w:styleId="af2">
    <w:name w:val="Intense Quote"/>
    <w:basedOn w:val="a0"/>
    <w:next w:val="a0"/>
    <w:link w:val="af3"/>
    <w:uiPriority w:val="30"/>
    <w:qFormat/>
    <w:rsid w:val="00500E0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500E05"/>
    <w:rPr>
      <w:rFonts w:ascii="Cera CY" w:hAnsi="Cera CY"/>
      <w:b/>
      <w:i/>
      <w:iCs/>
      <w:color w:val="5B9BD5" w:themeColor="accent1"/>
      <w:sz w:val="28"/>
    </w:rPr>
  </w:style>
  <w:style w:type="character" w:styleId="af4">
    <w:name w:val="Subtle Reference"/>
    <w:basedOn w:val="a1"/>
    <w:uiPriority w:val="31"/>
    <w:qFormat/>
    <w:rsid w:val="00500E05"/>
    <w:rPr>
      <w:smallCaps/>
      <w:color w:val="5A5A5A" w:themeColor="text1" w:themeTint="A5"/>
    </w:rPr>
  </w:style>
  <w:style w:type="character" w:styleId="af5">
    <w:name w:val="Intense Reference"/>
    <w:basedOn w:val="a1"/>
    <w:uiPriority w:val="32"/>
    <w:qFormat/>
    <w:rsid w:val="00500E05"/>
    <w:rPr>
      <w:b/>
      <w:bCs/>
      <w:smallCaps/>
      <w:color w:val="5B9BD5" w:themeColor="accent1"/>
      <w:spacing w:val="5"/>
    </w:rPr>
  </w:style>
  <w:style w:type="character" w:styleId="af6">
    <w:name w:val="Book Title"/>
    <w:basedOn w:val="a1"/>
    <w:uiPriority w:val="33"/>
    <w:qFormat/>
    <w:rsid w:val="00500E05"/>
    <w:rPr>
      <w:b/>
      <w:bCs/>
      <w:i/>
      <w:iCs/>
      <w:spacing w:val="5"/>
    </w:rPr>
  </w:style>
  <w:style w:type="character" w:customStyle="1" w:styleId="40">
    <w:name w:val="Заголовок 4 Знак"/>
    <w:basedOn w:val="a1"/>
    <w:link w:val="4"/>
    <w:uiPriority w:val="9"/>
    <w:rsid w:val="009728AF"/>
    <w:rPr>
      <w:rFonts w:ascii="Cera CY" w:eastAsiaTheme="majorEastAsia" w:hAnsi="Cera CY" w:cstheme="majorBidi"/>
      <w:b/>
      <w:iCs/>
      <w:color w:val="FFFFFF" w:themeColor="background1"/>
      <w:sz w:val="48"/>
    </w:rPr>
  </w:style>
  <w:style w:type="paragraph" w:styleId="af7">
    <w:name w:val="Balloon Text"/>
    <w:basedOn w:val="a0"/>
    <w:link w:val="af8"/>
    <w:uiPriority w:val="99"/>
    <w:semiHidden/>
    <w:unhideWhenUsed/>
    <w:rsid w:val="00B95E6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B95E6F"/>
    <w:rPr>
      <w:rFonts w:ascii="Segoe UI" w:hAnsi="Segoe UI" w:cs="Segoe UI"/>
      <w:color w:val="000000" w:themeColor="text1"/>
      <w:sz w:val="18"/>
      <w:szCs w:val="18"/>
    </w:rPr>
  </w:style>
  <w:style w:type="character" w:styleId="af9">
    <w:name w:val="Placeholder Text"/>
    <w:basedOn w:val="a1"/>
    <w:uiPriority w:val="99"/>
    <w:semiHidden/>
    <w:rsid w:val="009E679F"/>
    <w:rPr>
      <w:color w:val="808080"/>
    </w:rPr>
  </w:style>
  <w:style w:type="character" w:styleId="afa">
    <w:name w:val="line number"/>
    <w:basedOn w:val="a1"/>
    <w:uiPriority w:val="99"/>
    <w:semiHidden/>
    <w:unhideWhenUsed/>
    <w:rsid w:val="00DD0FCF"/>
  </w:style>
  <w:style w:type="character" w:customStyle="1" w:styleId="50">
    <w:name w:val="Заголовок 5 Знак"/>
    <w:basedOn w:val="a1"/>
    <w:link w:val="5"/>
    <w:uiPriority w:val="9"/>
    <w:semiHidden/>
    <w:rsid w:val="00F8347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afb">
    <w:name w:val="annotation reference"/>
    <w:basedOn w:val="a1"/>
    <w:uiPriority w:val="99"/>
    <w:semiHidden/>
    <w:unhideWhenUsed/>
    <w:rsid w:val="000F5219"/>
    <w:rPr>
      <w:sz w:val="16"/>
      <w:szCs w:val="16"/>
    </w:rPr>
  </w:style>
  <w:style w:type="paragraph" w:styleId="afc">
    <w:name w:val="annotation text"/>
    <w:basedOn w:val="a0"/>
    <w:link w:val="afd"/>
    <w:uiPriority w:val="99"/>
    <w:unhideWhenUsed/>
    <w:rsid w:val="000F5219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rsid w:val="000F5219"/>
    <w:rPr>
      <w:rFonts w:ascii="Cera CY" w:hAnsi="Cera CY"/>
      <w:color w:val="000000" w:themeColor="text1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0F521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0F5219"/>
    <w:rPr>
      <w:rFonts w:ascii="Cera CY" w:hAnsi="Cera CY"/>
      <w:b/>
      <w:bCs/>
      <w:color w:val="000000" w:themeColor="text1"/>
      <w:sz w:val="20"/>
      <w:szCs w:val="20"/>
    </w:rPr>
  </w:style>
  <w:style w:type="table" w:styleId="aff0">
    <w:name w:val="Table Grid"/>
    <w:basedOn w:val="a2"/>
    <w:uiPriority w:val="39"/>
    <w:rsid w:val="00183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OC Heading"/>
    <w:basedOn w:val="1"/>
    <w:next w:val="a0"/>
    <w:uiPriority w:val="39"/>
    <w:unhideWhenUsed/>
    <w:qFormat/>
    <w:rsid w:val="00424F24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915E4"/>
    <w:pPr>
      <w:tabs>
        <w:tab w:val="right" w:pos="10456"/>
      </w:tabs>
      <w:spacing w:after="10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rsid w:val="00424F24"/>
    <w:pPr>
      <w:spacing w:after="100"/>
      <w:ind w:left="240"/>
    </w:pPr>
  </w:style>
  <w:style w:type="character" w:styleId="aff2">
    <w:name w:val="Hyperlink"/>
    <w:basedOn w:val="a1"/>
    <w:uiPriority w:val="99"/>
    <w:unhideWhenUsed/>
    <w:rsid w:val="00424F24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00D81"/>
    <w:pPr>
      <w:spacing w:before="0" w:after="100"/>
      <w:ind w:left="440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customStyle="1" w:styleId="12">
    <w:name w:val="Сетка таблицы1"/>
    <w:basedOn w:val="a2"/>
    <w:next w:val="aff0"/>
    <w:uiPriority w:val="39"/>
    <w:rsid w:val="00EF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2"/>
    <w:next w:val="aff0"/>
    <w:uiPriority w:val="39"/>
    <w:rsid w:val="003B1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2"/>
    <w:next w:val="aff0"/>
    <w:uiPriority w:val="39"/>
    <w:rsid w:val="003B1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Revision"/>
    <w:hidden/>
    <w:uiPriority w:val="99"/>
    <w:semiHidden/>
    <w:rsid w:val="00C50147"/>
    <w:pPr>
      <w:spacing w:after="0" w:line="240" w:lineRule="auto"/>
    </w:pPr>
    <w:rPr>
      <w:rFonts w:ascii="Cera CY" w:hAnsi="Cera CY"/>
      <w:color w:val="000000" w:themeColor="text1"/>
      <w:sz w:val="24"/>
    </w:rPr>
  </w:style>
  <w:style w:type="paragraph" w:styleId="aff4">
    <w:name w:val="footnote text"/>
    <w:basedOn w:val="a0"/>
    <w:link w:val="aff5"/>
    <w:uiPriority w:val="99"/>
    <w:semiHidden/>
    <w:unhideWhenUsed/>
    <w:rsid w:val="00E6370B"/>
    <w:pPr>
      <w:spacing w:before="0" w:after="0" w:line="240" w:lineRule="auto"/>
    </w:pPr>
    <w:rPr>
      <w:sz w:val="20"/>
      <w:szCs w:val="20"/>
    </w:rPr>
  </w:style>
  <w:style w:type="character" w:customStyle="1" w:styleId="aff5">
    <w:name w:val="Текст сноски Знак"/>
    <w:basedOn w:val="a1"/>
    <w:link w:val="aff4"/>
    <w:uiPriority w:val="99"/>
    <w:semiHidden/>
    <w:rsid w:val="00E6370B"/>
    <w:rPr>
      <w:rFonts w:ascii="Cera CY" w:hAnsi="Cera CY"/>
      <w:color w:val="000000" w:themeColor="text1"/>
      <w:sz w:val="20"/>
      <w:szCs w:val="20"/>
    </w:rPr>
  </w:style>
  <w:style w:type="character" w:styleId="aff6">
    <w:name w:val="footnote reference"/>
    <w:basedOn w:val="a1"/>
    <w:uiPriority w:val="99"/>
    <w:semiHidden/>
    <w:unhideWhenUsed/>
    <w:rsid w:val="00E637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ssets.bbhub.io/professional/sites/10/BCOM-Methodology-MAR-2022_FINA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f.org/-/media/Files/Research/CommodityPrices/Monthly/pcps-technical-documentation.ash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ctad.org/system/files/official-document/statcpbmn1_en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rosstat.gov.ru/storage/mediabank/met-zenproizv%5b729%5d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ra CY">
    <w:panose1 w:val="00000500000000000000"/>
    <w:charset w:val="CC"/>
    <w:family w:val="auto"/>
    <w:pitch w:val="variable"/>
    <w:sig w:usb0="00000207" w:usb1="00000001" w:usb2="00000000" w:usb3="00000000" w:csb0="00000097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93"/>
    <w:rsid w:val="002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5B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1459A-346F-4419-8297-DCF07C69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8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Аветисян Ирина Романовна</dc:creator>
  <cp:keywords/>
  <dc:description/>
  <cp:lastModifiedBy>Меньших Дарья Александровна</cp:lastModifiedBy>
  <cp:revision>206</cp:revision>
  <cp:lastPrinted>2023-06-23T09:42:00Z</cp:lastPrinted>
  <dcterms:created xsi:type="dcterms:W3CDTF">2023-01-30T12:27:00Z</dcterms:created>
  <dcterms:modified xsi:type="dcterms:W3CDTF">2024-05-17T12:52:00Z</dcterms:modified>
</cp:coreProperties>
</file>