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519B" w14:textId="77777777" w:rsidR="00E14577" w:rsidRDefault="00E14577">
      <w:r w:rsidRPr="00465AC6">
        <w:rPr>
          <w:noProof/>
        </w:rPr>
        <w:drawing>
          <wp:anchor distT="0" distB="0" distL="114300" distR="114300" simplePos="0" relativeHeight="251659264" behindDoc="1" locked="1" layoutInCell="1" allowOverlap="1" wp14:anchorId="0CB72612" wp14:editId="397EFEA7">
            <wp:simplePos x="0" y="0"/>
            <wp:positionH relativeFrom="column">
              <wp:posOffset>-733425</wp:posOffset>
            </wp:positionH>
            <wp:positionV relativeFrom="paragraph">
              <wp:posOffset>-2746375</wp:posOffset>
            </wp:positionV>
            <wp:extent cx="7772400" cy="1005840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rotWithShape="1">
                    <a:blip r:embed="rId10" cstate="print">
                      <a:extLst>
                        <a:ext uri="{28A0092B-C50C-407E-A947-70E740481C1C}">
                          <a14:useLocalDpi xmlns:a14="http://schemas.microsoft.com/office/drawing/2010/main" val="0"/>
                        </a:ext>
                      </a:extLst>
                    </a:blip>
                    <a:srcRect l="11" r="11"/>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465AC6">
        <w:rPr>
          <w:noProof/>
        </w:rPr>
        <mc:AlternateContent>
          <mc:Choice Requires="wps">
            <w:drawing>
              <wp:anchor distT="0" distB="0" distL="114300" distR="114300" simplePos="0" relativeHeight="251660288" behindDoc="1" locked="1" layoutInCell="1" allowOverlap="1" wp14:anchorId="45737153" wp14:editId="51F8BA2B">
                <wp:simplePos x="0" y="0"/>
                <wp:positionH relativeFrom="column">
                  <wp:posOffset>-731520</wp:posOffset>
                </wp:positionH>
                <wp:positionV relativeFrom="paragraph">
                  <wp:posOffset>273050</wp:posOffset>
                </wp:positionV>
                <wp:extent cx="6702425" cy="4023360"/>
                <wp:effectExtent l="0" t="0" r="317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02425" cy="40233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1822D" id="Rectangle 2" o:spid="_x0000_s1026" alt="&quot;&quot;" style="position:absolute;margin-left:-57.6pt;margin-top:21.5pt;width:527.75pt;height:31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" fillcolor="#fde700 [3206]" stroked="f" strokeweight="1pt">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6"/>
        <w:gridCol w:w="3005"/>
      </w:tblGrid>
      <w:tr w:rsidR="00A73656" w14:paraId="6DCDCE93" w14:textId="77777777" w:rsidTr="00931508">
        <w:trPr>
          <w:trHeight w:val="2106"/>
        </w:trPr>
        <w:tc>
          <w:tcPr>
            <w:tcW w:w="6011" w:type="dxa"/>
            <w:gridSpan w:val="2"/>
            <w:tcMar>
              <w:top w:w="576" w:type="dxa"/>
              <w:left w:w="115" w:type="dxa"/>
              <w:right w:w="115" w:type="dxa"/>
            </w:tcMar>
          </w:tcPr>
          <w:p w14:paraId="7CD68F80" w14:textId="77777777" w:rsidR="008D64AD" w:rsidRDefault="00AD2E99" w:rsidP="00931508">
            <w:pPr>
              <w:pStyle w:val="Title"/>
              <w:rPr>
                <w:sz w:val="56"/>
              </w:rPr>
            </w:pPr>
            <w:r w:rsidRPr="008D64AD">
              <w:rPr>
                <w:sz w:val="56"/>
              </w:rPr>
              <w:t xml:space="preserve">SOLAR ADOPTION RATE across AUSTRALIA </w:t>
            </w:r>
            <w:r w:rsidR="008D64AD" w:rsidRPr="008D64AD">
              <w:rPr>
                <w:sz w:val="56"/>
              </w:rPr>
              <w:t xml:space="preserve">– </w:t>
            </w:r>
          </w:p>
          <w:p w14:paraId="2D178959" w14:textId="5D3607D0" w:rsidR="00A73656" w:rsidRPr="008D64AD" w:rsidRDefault="008D64AD" w:rsidP="00931508">
            <w:pPr>
              <w:pStyle w:val="Title"/>
              <w:rPr>
                <w:sz w:val="56"/>
              </w:rPr>
            </w:pPr>
            <w:r w:rsidRPr="008D64AD">
              <w:rPr>
                <w:sz w:val="56"/>
              </w:rPr>
              <w:t>AN ANALYSIS</w:t>
            </w:r>
          </w:p>
          <w:p w14:paraId="0C755CEE" w14:textId="14777D36" w:rsidR="00AD2E99" w:rsidRPr="00AD2E99" w:rsidRDefault="00AD2E99" w:rsidP="00AD2E99"/>
          <w:p w14:paraId="028E6D5F" w14:textId="27C0A2B4" w:rsidR="00AD2E99" w:rsidRPr="00AD2E99" w:rsidRDefault="00AD2E99" w:rsidP="00AD2E99"/>
        </w:tc>
        <w:tc>
          <w:tcPr>
            <w:tcW w:w="3005" w:type="dxa"/>
            <w:tcMar>
              <w:top w:w="576" w:type="dxa"/>
            </w:tcMar>
          </w:tcPr>
          <w:p w14:paraId="2D06829F" w14:textId="77777777" w:rsidR="00A73656" w:rsidRDefault="00A73656" w:rsidP="00F85F7C">
            <w:pPr>
              <w:spacing w:after="200"/>
            </w:pPr>
          </w:p>
        </w:tc>
      </w:tr>
      <w:tr w:rsidR="00A73656" w14:paraId="0ACEF453" w14:textId="77777777" w:rsidTr="00931508">
        <w:trPr>
          <w:trHeight w:val="891"/>
        </w:trPr>
        <w:tc>
          <w:tcPr>
            <w:tcW w:w="6011" w:type="dxa"/>
            <w:gridSpan w:val="2"/>
            <w:tcMar>
              <w:top w:w="1080" w:type="dxa"/>
              <w:left w:w="115" w:type="dxa"/>
              <w:right w:w="115" w:type="dxa"/>
            </w:tcMar>
          </w:tcPr>
          <w:p w14:paraId="0B6F7698" w14:textId="14441D35" w:rsidR="000B4D3B" w:rsidRDefault="000B4D3B" w:rsidP="00931508">
            <w:pPr>
              <w:pStyle w:val="Bold"/>
            </w:pPr>
            <w:r>
              <w:t>PREPARED BY</w:t>
            </w:r>
          </w:p>
          <w:p w14:paraId="2AD06F0A" w14:textId="422E75F1" w:rsidR="00AD2E99" w:rsidRPr="00D41196" w:rsidRDefault="00AD2E99" w:rsidP="00931508">
            <w:pPr>
              <w:pStyle w:val="Bold"/>
            </w:pPr>
            <w:r>
              <w:t>QUAN MAI</w:t>
            </w:r>
            <w:r w:rsidR="008D64AD">
              <w:t xml:space="preserve"> – ID: 201 367 69</w:t>
            </w:r>
          </w:p>
          <w:p w14:paraId="01F667AF" w14:textId="77777777" w:rsidR="00A73656" w:rsidRDefault="00A73656" w:rsidP="00931508">
            <w:pPr>
              <w:pStyle w:val="Bold"/>
            </w:pPr>
          </w:p>
        </w:tc>
        <w:tc>
          <w:tcPr>
            <w:tcW w:w="3005" w:type="dxa"/>
            <w:tcMar>
              <w:top w:w="1080" w:type="dxa"/>
              <w:left w:w="115" w:type="dxa"/>
              <w:right w:w="115" w:type="dxa"/>
            </w:tcMar>
          </w:tcPr>
          <w:p w14:paraId="64F44A30" w14:textId="77777777" w:rsidR="00A73656" w:rsidRDefault="00A73656" w:rsidP="00931508">
            <w:pPr>
              <w:spacing w:after="200"/>
            </w:pPr>
          </w:p>
        </w:tc>
      </w:tr>
      <w:tr w:rsidR="00A73656" w:rsidRPr="00C96056" w14:paraId="5D780C52" w14:textId="77777777" w:rsidTr="00F85F7C">
        <w:trPr>
          <w:trHeight w:val="2207"/>
        </w:trPr>
        <w:tc>
          <w:tcPr>
            <w:tcW w:w="3005" w:type="dxa"/>
          </w:tcPr>
          <w:p w14:paraId="3943A05A" w14:textId="77777777" w:rsidR="000B4D3B" w:rsidRPr="00E14EAE" w:rsidRDefault="000B4D3B" w:rsidP="00F85F7C">
            <w:pPr>
              <w:pStyle w:val="Info"/>
              <w:framePr w:hSpace="0" w:wrap="auto" w:vAnchor="margin" w:hAnchor="text" w:yAlign="inline"/>
              <w:rPr>
                <w:b/>
                <w:bCs/>
                <w:sz w:val="24"/>
              </w:rPr>
            </w:pPr>
            <w:r w:rsidRPr="00E14EAE">
              <w:rPr>
                <w:b/>
                <w:bCs/>
                <w:sz w:val="24"/>
              </w:rPr>
              <w:t xml:space="preserve">LEAD ANALYST </w:t>
            </w:r>
          </w:p>
          <w:p w14:paraId="0CAED99A" w14:textId="27A1547C" w:rsidR="00DB7B3F" w:rsidRPr="00E14EAE" w:rsidRDefault="000B4D3B" w:rsidP="00F85F7C">
            <w:pPr>
              <w:pStyle w:val="Info"/>
              <w:framePr w:hSpace="0" w:wrap="auto" w:vAnchor="margin" w:hAnchor="text" w:yAlign="inline"/>
              <w:rPr>
                <w:b/>
                <w:bCs/>
                <w:sz w:val="24"/>
              </w:rPr>
            </w:pPr>
            <w:r w:rsidRPr="00E14EAE">
              <w:rPr>
                <w:b/>
                <w:bCs/>
                <w:sz w:val="24"/>
              </w:rPr>
              <w:t>Y</w:t>
            </w:r>
            <w:r w:rsidR="00E14EAE" w:rsidRPr="00E14EAE">
              <w:rPr>
                <w:b/>
                <w:bCs/>
                <w:sz w:val="24"/>
              </w:rPr>
              <w:t xml:space="preserve">uthika </w:t>
            </w:r>
            <w:r w:rsidR="00E14EAE" w:rsidRPr="00E14EAE">
              <w:rPr>
                <w:b/>
                <w:bCs/>
                <w:sz w:val="24"/>
              </w:rPr>
              <w:t>Punchihewa</w:t>
            </w:r>
          </w:p>
          <w:p w14:paraId="2ADE9B39" w14:textId="77777777" w:rsidR="00DB7B3F" w:rsidRDefault="00DB7B3F" w:rsidP="00F85F7C">
            <w:pPr>
              <w:pStyle w:val="Info"/>
              <w:framePr w:hSpace="0" w:wrap="auto" w:vAnchor="margin" w:hAnchor="text" w:yAlign="inline"/>
              <w:rPr>
                <w:sz w:val="24"/>
              </w:rPr>
            </w:pPr>
          </w:p>
          <w:p w14:paraId="38F5AEFA" w14:textId="77777777" w:rsidR="00DB7B3F" w:rsidRPr="007B7736" w:rsidRDefault="00DB7B3F" w:rsidP="00F85F7C">
            <w:pPr>
              <w:pStyle w:val="Info"/>
              <w:framePr w:hSpace="0" w:wrap="auto" w:vAnchor="margin" w:hAnchor="text" w:yAlign="inline"/>
              <w:rPr>
                <w:sz w:val="24"/>
              </w:rPr>
            </w:pPr>
          </w:p>
        </w:tc>
        <w:tc>
          <w:tcPr>
            <w:tcW w:w="3006" w:type="dxa"/>
          </w:tcPr>
          <w:p w14:paraId="5EF9A677" w14:textId="26CD4079" w:rsidR="00A73656" w:rsidRPr="007B7736" w:rsidRDefault="00A73656" w:rsidP="00F85F7C">
            <w:pPr>
              <w:pStyle w:val="Info"/>
              <w:framePr w:hSpace="0" w:wrap="auto" w:vAnchor="margin" w:hAnchor="text" w:yAlign="inline"/>
              <w:rPr>
                <w:sz w:val="24"/>
              </w:rPr>
            </w:pPr>
            <w:r w:rsidRPr="007B7736">
              <w:rPr>
                <w:sz w:val="24"/>
              </w:rPr>
              <w:t> </w:t>
            </w:r>
          </w:p>
        </w:tc>
        <w:tc>
          <w:tcPr>
            <w:tcW w:w="3005" w:type="dxa"/>
          </w:tcPr>
          <w:p w14:paraId="3F55E67C" w14:textId="2C3DA228" w:rsidR="008D64AD" w:rsidRPr="007B7736" w:rsidRDefault="008D64AD" w:rsidP="00F85F7C">
            <w:pPr>
              <w:pStyle w:val="Info"/>
              <w:framePr w:hSpace="0" w:wrap="auto" w:vAnchor="margin" w:hAnchor="text" w:yAlign="inline"/>
              <w:rPr>
                <w:sz w:val="24"/>
              </w:rPr>
            </w:pPr>
          </w:p>
        </w:tc>
      </w:tr>
      <w:tr w:rsidR="00A73656" w:rsidRPr="00C96056" w14:paraId="27C3E795" w14:textId="77777777" w:rsidTr="00F85F7C">
        <w:trPr>
          <w:trHeight w:val="1607"/>
        </w:trPr>
        <w:tc>
          <w:tcPr>
            <w:tcW w:w="9016" w:type="dxa"/>
            <w:gridSpan w:val="3"/>
          </w:tcPr>
          <w:p w14:paraId="617D877E" w14:textId="1AEA834A" w:rsidR="00A73656" w:rsidRPr="00C96056" w:rsidRDefault="00A73656" w:rsidP="00F85F7C">
            <w:pPr>
              <w:pStyle w:val="Heading1"/>
              <w:framePr w:hSpace="0" w:wrap="auto" w:vAnchor="margin" w:hAnchor="text" w:yAlign="inline"/>
            </w:pPr>
            <w:r w:rsidRPr="00CF1539">
              <w:t>20</w:t>
            </w:r>
            <w:r w:rsidR="00AD2E99">
              <w:t>26</w:t>
            </w:r>
          </w:p>
        </w:tc>
      </w:tr>
    </w:tbl>
    <w:p w14:paraId="61566709" w14:textId="77777777" w:rsidR="00A73656" w:rsidRDefault="00A73656" w:rsidP="00D41196">
      <w:pPr>
        <w:pStyle w:val="Heading2"/>
        <w:sectPr w:rsidR="00A73656" w:rsidSect="00A73656">
          <w:headerReference w:type="even" r:id="rId11"/>
          <w:headerReference w:type="default" r:id="rId12"/>
          <w:footerReference w:type="default" r:id="rId13"/>
          <w:pgSz w:w="12240" w:h="15840" w:code="1"/>
          <w:pgMar w:top="4320" w:right="1152" w:bottom="720" w:left="1152" w:header="432" w:footer="144" w:gutter="0"/>
          <w:cols w:space="720"/>
          <w:docGrid w:linePitch="360"/>
        </w:sectPr>
      </w:pPr>
    </w:p>
    <w:p w14:paraId="4ABB9DE2" w14:textId="0275A85D" w:rsidR="00E14577" w:rsidRPr="00EE3FD7" w:rsidRDefault="00BB0DB8" w:rsidP="00D41196">
      <w:pPr>
        <w:pStyle w:val="Heading2"/>
        <w:rPr>
          <w:color w:val="C00000"/>
        </w:rPr>
      </w:pPr>
      <w:r w:rsidRPr="00EE3FD7">
        <w:rPr>
          <w:color w:val="C00000"/>
        </w:rPr>
        <w:lastRenderedPageBreak/>
        <w:t>EXECUTIVE SUMMARY</w:t>
      </w:r>
    </w:p>
    <w:p w14:paraId="0B394C4E" w14:textId="5BA506C5" w:rsidR="00AD2E99" w:rsidRPr="00AD2E99" w:rsidRDefault="00AD2E99" w:rsidP="00AD2E99">
      <w:pPr>
        <w:pStyle w:val="Heading2"/>
        <w:rPr>
          <w:rFonts w:asciiTheme="minorHAnsi" w:hAnsiTheme="minorHAnsi"/>
          <w:b w:val="0"/>
          <w:bCs w:val="0"/>
          <w:noProof w:val="0"/>
          <w:szCs w:val="22"/>
        </w:rPr>
      </w:pPr>
      <w:r w:rsidRPr="00AD2E99">
        <w:rPr>
          <w:rFonts w:asciiTheme="minorHAnsi" w:hAnsiTheme="minorHAnsi"/>
          <w:b w:val="0"/>
          <w:bCs w:val="0"/>
          <w:noProof w:val="0"/>
          <w:szCs w:val="22"/>
        </w:rPr>
        <w:t xml:space="preserve">This analysis investigates the hypothesis regarding Australian solar adoption, specifically testing whether </w:t>
      </w:r>
      <w:r>
        <w:rPr>
          <w:rFonts w:asciiTheme="minorHAnsi" w:hAnsiTheme="minorHAnsi"/>
          <w:b w:val="0"/>
          <w:bCs w:val="0"/>
          <w:noProof w:val="0"/>
          <w:szCs w:val="22"/>
        </w:rPr>
        <w:t>housing</w:t>
      </w:r>
      <w:r w:rsidRPr="00AD2E99">
        <w:rPr>
          <w:rFonts w:asciiTheme="minorHAnsi" w:hAnsiTheme="minorHAnsi"/>
          <w:b w:val="0"/>
          <w:bCs w:val="0"/>
          <w:noProof w:val="0"/>
          <w:szCs w:val="22"/>
        </w:rPr>
        <w:t xml:space="preserve"> tenure (homeownership versus renting) acts as the primary</w:t>
      </w:r>
      <w:r>
        <w:rPr>
          <w:rFonts w:asciiTheme="minorHAnsi" w:hAnsiTheme="minorHAnsi"/>
          <w:b w:val="0"/>
          <w:bCs w:val="0"/>
          <w:noProof w:val="0"/>
          <w:szCs w:val="22"/>
        </w:rPr>
        <w:t xml:space="preserve"> barrier or</w:t>
      </w:r>
      <w:r w:rsidRPr="00AD2E99">
        <w:rPr>
          <w:rFonts w:asciiTheme="minorHAnsi" w:hAnsiTheme="minorHAnsi"/>
          <w:b w:val="0"/>
          <w:bCs w:val="0"/>
          <w:noProof w:val="0"/>
          <w:szCs w:val="22"/>
        </w:rPr>
        <w:t xml:space="preserve"> driver for residential solar installations</w:t>
      </w:r>
      <w:r>
        <w:rPr>
          <w:rFonts w:asciiTheme="minorHAnsi" w:hAnsiTheme="minorHAnsi"/>
          <w:b w:val="0"/>
          <w:bCs w:val="0"/>
          <w:noProof w:val="0"/>
          <w:szCs w:val="22"/>
        </w:rPr>
        <w:t xml:space="preserve"> and consumptions. </w:t>
      </w:r>
    </w:p>
    <w:p w14:paraId="0B04E5FD" w14:textId="4A013E3D" w:rsidR="00AD2E99" w:rsidRDefault="00AD2E99" w:rsidP="00AD2E99">
      <w:r w:rsidRPr="00AD2E99">
        <w:t xml:space="preserve">By </w:t>
      </w:r>
      <w:r>
        <w:t>including</w:t>
      </w:r>
      <w:r w:rsidRPr="00AD2E99">
        <w:t xml:space="preserve"> decade-spanning data from the ABS Census (2011, 2016, 2021), this report evaluated state-by-state installation volumes </w:t>
      </w:r>
      <w:r w:rsidR="00777C1A">
        <w:t xml:space="preserve">and </w:t>
      </w:r>
      <w:r>
        <w:t>solar</w:t>
      </w:r>
      <w:r w:rsidRPr="00AD2E99">
        <w:t xml:space="preserve"> </w:t>
      </w:r>
      <w:r w:rsidR="00777C1A">
        <w:t xml:space="preserve">system </w:t>
      </w:r>
      <w:r w:rsidRPr="00AD2E99">
        <w:t>capacities</w:t>
      </w:r>
      <w:r>
        <w:t>.</w:t>
      </w:r>
    </w:p>
    <w:p w14:paraId="0E74A0B9" w14:textId="65019293" w:rsidR="00AD2E99" w:rsidRDefault="00AD2E99" w:rsidP="00AD2E99">
      <w:pPr>
        <w:rPr>
          <w:lang w:val="en-AU"/>
        </w:rPr>
      </w:pPr>
      <w:r w:rsidRPr="00AD2E99">
        <w:rPr>
          <w:lang w:val="en-AU"/>
        </w:rPr>
        <w:t xml:space="preserve">The </w:t>
      </w:r>
      <w:r>
        <w:rPr>
          <w:lang w:val="en-AU"/>
        </w:rPr>
        <w:t>results</w:t>
      </w:r>
      <w:r w:rsidRPr="00AD2E99">
        <w:rPr>
          <w:lang w:val="en-AU"/>
        </w:rPr>
        <w:t xml:space="preserve"> mathematically invalidate the hypothesis that housing tenure is the primary market driver. </w:t>
      </w:r>
    </w:p>
    <w:p w14:paraId="5AFFAB4E" w14:textId="36898EBD" w:rsidR="00AD2E99" w:rsidRDefault="00AD2E99" w:rsidP="00AD2E99">
      <w:pPr>
        <w:rPr>
          <w:lang w:val="en-AU"/>
        </w:rPr>
      </w:pPr>
      <w:r>
        <w:rPr>
          <w:lang w:val="en-AU"/>
        </w:rPr>
        <w:t>Despite</w:t>
      </w:r>
      <w:r w:rsidRPr="00AD2E99">
        <w:rPr>
          <w:lang w:val="en-AU"/>
        </w:rPr>
        <w:t xml:space="preserve"> homeownership rates remained static across the decade, solar capacity per dwelling experienced exponential growth. Furthermore, the market underwent a structural shift where the volume of new installations decreased after 2011, but the physical capacity of installed system</w:t>
      </w:r>
      <w:r>
        <w:rPr>
          <w:lang w:val="en-AU"/>
        </w:rPr>
        <w:t>s increased</w:t>
      </w:r>
      <w:r w:rsidRPr="00AD2E99">
        <w:rPr>
          <w:lang w:val="en-AU"/>
        </w:rPr>
        <w:t xml:space="preserve">. </w:t>
      </w:r>
    </w:p>
    <w:p w14:paraId="38847B60" w14:textId="78EC60E0" w:rsidR="00AD2E99" w:rsidRPr="00AD2E99" w:rsidRDefault="00AD2E99" w:rsidP="00AD2E99">
      <w:pPr>
        <w:rPr>
          <w:lang w:val="en-AU"/>
        </w:rPr>
      </w:pPr>
      <w:r w:rsidRPr="00AD2E99">
        <w:rPr>
          <w:lang w:val="en-AU"/>
        </w:rPr>
        <w:t>Consequently,</w:t>
      </w:r>
      <w:r w:rsidR="00BB0DB8">
        <w:rPr>
          <w:lang w:val="en-AU"/>
        </w:rPr>
        <w:t xml:space="preserve"> strategies and policies </w:t>
      </w:r>
      <w:r w:rsidRPr="00AD2E99">
        <w:rPr>
          <w:lang w:val="en-AU"/>
        </w:rPr>
        <w:t>based on property ownership is not recommended for future ARENA initiatives</w:t>
      </w:r>
      <w:r>
        <w:rPr>
          <w:lang w:val="en-AU"/>
        </w:rPr>
        <w:t xml:space="preserve">, </w:t>
      </w:r>
      <w:r w:rsidRPr="00AD2E99">
        <w:rPr>
          <w:lang w:val="en-AU"/>
        </w:rPr>
        <w:t xml:space="preserve">instead, structural, technological, or environmental factors must be prioritised. </w:t>
      </w:r>
    </w:p>
    <w:p w14:paraId="02E4B051" w14:textId="77777777" w:rsidR="00AD2E99" w:rsidRPr="00AD2E99" w:rsidRDefault="00AD2E99" w:rsidP="00AD2E99"/>
    <w:p w14:paraId="768C4189" w14:textId="1ED31DC8" w:rsidR="00E14577" w:rsidRPr="00EE3FD7" w:rsidRDefault="00BB0DB8" w:rsidP="00D41196">
      <w:pPr>
        <w:pStyle w:val="Heading2"/>
        <w:rPr>
          <w:color w:val="C00000"/>
        </w:rPr>
      </w:pPr>
      <w:r w:rsidRPr="00EE3FD7">
        <w:rPr>
          <w:color w:val="C00000"/>
        </w:rPr>
        <w:t>INTRODUCTION</w:t>
      </w:r>
    </w:p>
    <w:p w14:paraId="7DBB2172" w14:textId="69B62EFB" w:rsidR="00E14577" w:rsidRPr="00BB0DB8" w:rsidRDefault="00BB0DB8" w:rsidP="00D41196">
      <w:pPr>
        <w:pStyle w:val="ListBullet"/>
        <w:rPr>
          <w:lang w:val="en-AU"/>
        </w:rPr>
      </w:pPr>
      <w:r>
        <w:rPr>
          <w:rStyle w:val="Emphasis"/>
        </w:rPr>
        <w:t xml:space="preserve">Objectives: </w:t>
      </w:r>
      <w:r w:rsidRPr="00BB0DB8">
        <w:rPr>
          <w:iCs/>
          <w:lang w:val="en-AU"/>
        </w:rPr>
        <w:t>The primary goal is to test the hypothesis that state-level solar adoption is influenced by housing tenure. Specifically, renters are less likely to install solar energy systems, resulting in lower overall household solar energy consumption compared with owne</w:t>
      </w:r>
      <w:r w:rsidR="00343286">
        <w:rPr>
          <w:iCs/>
          <w:lang w:val="en-AU"/>
        </w:rPr>
        <w:t>d</w:t>
      </w:r>
      <w:r w:rsidRPr="00BB0DB8">
        <w:rPr>
          <w:iCs/>
          <w:lang w:val="en-AU"/>
        </w:rPr>
        <w:t xml:space="preserve"> households, whether the property is owned outright or financed through a mortgage</w:t>
      </w:r>
      <w:r>
        <w:rPr>
          <w:iCs/>
          <w:lang w:val="en-AU"/>
        </w:rPr>
        <w:t xml:space="preserve">. </w:t>
      </w:r>
      <w:r w:rsidRPr="00BB0DB8">
        <w:rPr>
          <w:lang w:val="en-AU"/>
        </w:rPr>
        <w:t>The analysis aims to determine whether states with higher homeownership rates tend to exhibit higher rates of solar adoption.</w:t>
      </w:r>
    </w:p>
    <w:p w14:paraId="4E58BD9B" w14:textId="555985CB" w:rsidR="0031402F" w:rsidRDefault="00BB0DB8" w:rsidP="00D41196">
      <w:pPr>
        <w:pStyle w:val="ListBullet"/>
      </w:pPr>
      <w:r>
        <w:rPr>
          <w:rStyle w:val="Emphasis"/>
        </w:rPr>
        <w:t>Approach</w:t>
      </w:r>
      <w:r w:rsidR="00E14577" w:rsidRPr="00704665">
        <w:t xml:space="preserve">: </w:t>
      </w:r>
      <w:r w:rsidR="0031402F" w:rsidRPr="0031402F">
        <w:t>The study tracks three distinct ABS Census periods (2011, 2016, 2021) against corresponding solar installation</w:t>
      </w:r>
      <w:r w:rsidR="0031402F">
        <w:t xml:space="preserve"> and capacity</w:t>
      </w:r>
      <w:r w:rsidR="0031402F" w:rsidRPr="0031402F">
        <w:t xml:space="preserve"> data. By standardizing raw solar output </w:t>
      </w:r>
      <w:r w:rsidR="0031402F">
        <w:t xml:space="preserve">and installation volumes </w:t>
      </w:r>
      <w:r w:rsidR="0031402F" w:rsidRPr="0031402F">
        <w:t xml:space="preserve">against dwelling counts and mapping it against </w:t>
      </w:r>
      <w:r w:rsidR="0031402F">
        <w:t>housing</w:t>
      </w:r>
      <w:r w:rsidR="0031402F" w:rsidRPr="0031402F">
        <w:t xml:space="preserve"> tenure profiles, the analysis evaluates trends independent of</w:t>
      </w:r>
      <w:r w:rsidR="0031402F">
        <w:t xml:space="preserve"> human</w:t>
      </w:r>
      <w:r w:rsidR="0031402F" w:rsidRPr="0031402F">
        <w:t xml:space="preserve"> population sizes</w:t>
      </w:r>
      <w:r w:rsidR="0031402F">
        <w:t xml:space="preserve">. </w:t>
      </w:r>
    </w:p>
    <w:p w14:paraId="6BE9F897" w14:textId="28DF4C37" w:rsidR="003C44A7" w:rsidRDefault="0031402F" w:rsidP="00D41196">
      <w:pPr>
        <w:pStyle w:val="ListBullet"/>
      </w:pPr>
      <w:r w:rsidRPr="0031402F">
        <w:t xml:space="preserve"> </w:t>
      </w:r>
      <w:r>
        <w:rPr>
          <w:rStyle w:val="Emphasis"/>
        </w:rPr>
        <w:t>Scope and restrictions</w:t>
      </w:r>
      <w:r w:rsidR="00E14577" w:rsidRPr="00704665">
        <w:t xml:space="preserve">: </w:t>
      </w:r>
      <w:r w:rsidRPr="0031402F">
        <w:t>The analysis is restricted to aggregated state</w:t>
      </w:r>
      <w:r>
        <w:t xml:space="preserve"> </w:t>
      </w:r>
      <w:r w:rsidRPr="0031402F">
        <w:t xml:space="preserve">level data. It does not account for </w:t>
      </w:r>
      <w:r>
        <w:t xml:space="preserve">other </w:t>
      </w:r>
      <w:r w:rsidRPr="0031402F">
        <w:t xml:space="preserve">variables such as local council rebates, household income, or specific property types (apartments </w:t>
      </w:r>
      <w:r>
        <w:t>or</w:t>
      </w:r>
      <w:r w:rsidRPr="0031402F">
        <w:t xml:space="preserve"> detached housing) which may also influence adoption rates.</w:t>
      </w:r>
    </w:p>
    <w:p w14:paraId="366416DB" w14:textId="77777777" w:rsidR="0031402F" w:rsidRDefault="0031402F" w:rsidP="0031402F">
      <w:pPr>
        <w:pStyle w:val="ListBullet"/>
        <w:numPr>
          <w:ilvl w:val="0"/>
          <w:numId w:val="0"/>
        </w:numPr>
        <w:ind w:left="720" w:hanging="360"/>
      </w:pPr>
    </w:p>
    <w:p w14:paraId="41D2034B" w14:textId="77777777" w:rsidR="0031402F" w:rsidRDefault="0031402F" w:rsidP="0031402F">
      <w:pPr>
        <w:pStyle w:val="ListBullet"/>
        <w:numPr>
          <w:ilvl w:val="0"/>
          <w:numId w:val="0"/>
        </w:numPr>
        <w:ind w:left="720" w:hanging="360"/>
      </w:pPr>
    </w:p>
    <w:p w14:paraId="09F2A2CF" w14:textId="77777777" w:rsidR="003C44A7" w:rsidRDefault="003C44A7" w:rsidP="003C44A7">
      <w:pPr>
        <w:pStyle w:val="Bold"/>
      </w:pPr>
    </w:p>
    <w:p w14:paraId="613ECAEB" w14:textId="77777777" w:rsidR="0031402F" w:rsidRDefault="0031402F" w:rsidP="003C44A7">
      <w:pPr>
        <w:pStyle w:val="Bold"/>
      </w:pPr>
    </w:p>
    <w:p w14:paraId="07F82639" w14:textId="6FCB9DB1" w:rsidR="0031402F" w:rsidRPr="00EE3FD7" w:rsidRDefault="0031402F" w:rsidP="0031402F">
      <w:pPr>
        <w:pStyle w:val="Heading2"/>
        <w:rPr>
          <w:color w:val="C00000"/>
        </w:rPr>
      </w:pPr>
      <w:r w:rsidRPr="00EE3FD7">
        <w:rPr>
          <w:color w:val="C00000"/>
        </w:rPr>
        <w:lastRenderedPageBreak/>
        <w:t>METHODOLOGY</w:t>
      </w:r>
    </w:p>
    <w:p w14:paraId="2F86D448" w14:textId="78E0F179" w:rsidR="0031402F" w:rsidRPr="00EE3FD7" w:rsidRDefault="0031402F" w:rsidP="0031402F">
      <w:pPr>
        <w:pStyle w:val="ListBullet"/>
        <w:rPr>
          <w:bCs/>
          <w:lang w:val="en-AU"/>
        </w:rPr>
      </w:pPr>
      <w:r w:rsidRPr="00EE3FD7">
        <w:rPr>
          <w:rStyle w:val="Emphasis"/>
        </w:rPr>
        <w:t>Data Sources</w:t>
      </w:r>
      <w:r>
        <w:rPr>
          <w:rStyle w:val="Emphasis"/>
        </w:rPr>
        <w:t xml:space="preserve">: </w:t>
      </w:r>
    </w:p>
    <w:p w14:paraId="2DB0F638" w14:textId="77777777" w:rsidR="00EE3FD7" w:rsidRDefault="00EE3FD7" w:rsidP="00EE3FD7">
      <w:pPr>
        <w:pStyle w:val="ListBullet"/>
        <w:numPr>
          <w:ilvl w:val="0"/>
          <w:numId w:val="0"/>
        </w:numPr>
        <w:ind w:left="720"/>
        <w:rPr>
          <w:bCs/>
          <w:iCs/>
        </w:rPr>
      </w:pPr>
      <w:r w:rsidRPr="00EE3FD7">
        <w:rPr>
          <w:bCs/>
          <w:iCs/>
        </w:rPr>
        <w:t>Population_by_State 2011_2025</w:t>
      </w:r>
    </w:p>
    <w:p w14:paraId="6787F49C" w14:textId="77777777" w:rsidR="00EE3FD7" w:rsidRDefault="00EE3FD7" w:rsidP="00EE3FD7">
      <w:pPr>
        <w:pStyle w:val="ListBullet"/>
        <w:numPr>
          <w:ilvl w:val="0"/>
          <w:numId w:val="0"/>
        </w:numPr>
        <w:ind w:left="720"/>
        <w:rPr>
          <w:bCs/>
          <w:iCs/>
        </w:rPr>
      </w:pPr>
      <w:r w:rsidRPr="00EE3FD7">
        <w:rPr>
          <w:bCs/>
          <w:iCs/>
        </w:rPr>
        <w:t>australian_postcodes</w:t>
      </w:r>
    </w:p>
    <w:p w14:paraId="6E3C36B3" w14:textId="77777777" w:rsidR="00EE3FD7" w:rsidRDefault="00EE3FD7" w:rsidP="00EE3FD7">
      <w:pPr>
        <w:pStyle w:val="ListBullet"/>
        <w:numPr>
          <w:ilvl w:val="0"/>
          <w:numId w:val="0"/>
        </w:numPr>
        <w:ind w:left="720"/>
        <w:rPr>
          <w:bCs/>
          <w:iCs/>
        </w:rPr>
      </w:pPr>
      <w:r w:rsidRPr="00EE3FD7">
        <w:rPr>
          <w:bCs/>
          <w:iCs/>
        </w:rPr>
        <w:t>sgu-solar-capacity-2011-to-present-and-totals</w:t>
      </w:r>
    </w:p>
    <w:p w14:paraId="5C5D7C0F" w14:textId="59CB7B0B" w:rsidR="00EE3FD7" w:rsidRDefault="00EE3FD7" w:rsidP="00EE3FD7">
      <w:pPr>
        <w:pStyle w:val="ListBullet"/>
        <w:numPr>
          <w:ilvl w:val="0"/>
          <w:numId w:val="0"/>
        </w:numPr>
        <w:ind w:left="720"/>
        <w:rPr>
          <w:bCs/>
          <w:iCs/>
        </w:rPr>
      </w:pPr>
      <w:r w:rsidRPr="00EE3FD7">
        <w:rPr>
          <w:bCs/>
          <w:iCs/>
        </w:rPr>
        <w:t>sgu-solar-installations-2011-to-present-and-totals</w:t>
      </w:r>
    </w:p>
    <w:p w14:paraId="234CCD67" w14:textId="28BDF044" w:rsidR="00EE3FD7" w:rsidRDefault="00EE3FD7" w:rsidP="00EE3FD7">
      <w:pPr>
        <w:pStyle w:val="ListBullet"/>
        <w:numPr>
          <w:ilvl w:val="0"/>
          <w:numId w:val="0"/>
        </w:numPr>
        <w:ind w:left="720"/>
        <w:rPr>
          <w:b/>
          <w:iCs/>
        </w:rPr>
      </w:pPr>
      <w:r w:rsidRPr="00EE3FD7">
        <w:rPr>
          <w:b/>
          <w:iCs/>
        </w:rPr>
        <w:t xml:space="preserve">External datasets: </w:t>
      </w:r>
    </w:p>
    <w:p w14:paraId="16F4EAAA" w14:textId="1305117C" w:rsidR="00EE3FD7" w:rsidRDefault="00EE3FD7" w:rsidP="00EE3FD7">
      <w:pPr>
        <w:pStyle w:val="ListBullet"/>
        <w:numPr>
          <w:ilvl w:val="0"/>
          <w:numId w:val="0"/>
        </w:numPr>
        <w:ind w:left="720"/>
        <w:rPr>
          <w:bCs/>
          <w:iCs/>
        </w:rPr>
      </w:pPr>
      <w:r>
        <w:rPr>
          <w:bCs/>
          <w:iCs/>
        </w:rPr>
        <w:t xml:space="preserve">ABS Census 2011, 2016 and 2021 </w:t>
      </w:r>
    </w:p>
    <w:p w14:paraId="5C496B4F" w14:textId="179E9A02" w:rsidR="00EE3FD7" w:rsidRDefault="00EE3FD7" w:rsidP="00EE3FD7">
      <w:pPr>
        <w:pStyle w:val="ListBullet"/>
        <w:numPr>
          <w:ilvl w:val="0"/>
          <w:numId w:val="0"/>
        </w:numPr>
        <w:ind w:left="720"/>
        <w:rPr>
          <w:bCs/>
          <w:iCs/>
        </w:rPr>
      </w:pPr>
      <w:hyperlink r:id="rId14" w:history="1">
        <w:r w:rsidRPr="00723555">
          <w:rPr>
            <w:rStyle w:val="Hyperlink"/>
            <w:bCs/>
            <w:iCs/>
          </w:rPr>
          <w:t>https://www.abs.gov.au/census/find-census-data/datapacks</w:t>
        </w:r>
      </w:hyperlink>
    </w:p>
    <w:p w14:paraId="4A966115" w14:textId="77777777" w:rsidR="00EE3FD7" w:rsidRPr="00EE3FD7" w:rsidRDefault="00EE3FD7" w:rsidP="00EE3FD7">
      <w:pPr>
        <w:pStyle w:val="ListBullet"/>
        <w:numPr>
          <w:ilvl w:val="0"/>
          <w:numId w:val="0"/>
        </w:numPr>
        <w:ind w:left="720"/>
        <w:rPr>
          <w:bCs/>
          <w:iCs/>
        </w:rPr>
      </w:pPr>
    </w:p>
    <w:p w14:paraId="2B015A8D" w14:textId="6B2C6A02" w:rsidR="0031402F" w:rsidRDefault="00EE3FD7" w:rsidP="0031402F">
      <w:pPr>
        <w:pStyle w:val="ListBullet"/>
      </w:pPr>
      <w:r w:rsidRPr="00EE3FD7">
        <w:rPr>
          <w:rStyle w:val="Emphasis"/>
        </w:rPr>
        <w:t>Analytical tools</w:t>
      </w:r>
      <w:r w:rsidR="0031402F" w:rsidRPr="00704665">
        <w:t xml:space="preserve">: </w:t>
      </w:r>
      <w:r>
        <w:t>Pandas for data analysis and Seaborn for visualizations</w:t>
      </w:r>
    </w:p>
    <w:p w14:paraId="449341D5" w14:textId="5AF46CE3" w:rsidR="003720F4" w:rsidRDefault="003720F4" w:rsidP="003C44A7">
      <w:pPr>
        <w:pStyle w:val="ListBullet"/>
      </w:pPr>
      <w:r w:rsidRPr="003720F4">
        <w:rPr>
          <w:rStyle w:val="Emphasis"/>
        </w:rPr>
        <w:t>Security Measures</w:t>
      </w:r>
      <w:r>
        <w:rPr>
          <w:rStyle w:val="Emphasis"/>
        </w:rPr>
        <w:t xml:space="preserve">: </w:t>
      </w:r>
      <w:r w:rsidRPr="003720F4">
        <w:rPr>
          <w:bCs/>
          <w:iCs/>
        </w:rPr>
        <w:t>Since the ABS Census datasets are publicly available, no sensitive</w:t>
      </w:r>
      <w:r w:rsidRPr="003720F4">
        <w:rPr>
          <w:bCs/>
          <w:iCs/>
        </w:rPr>
        <w:t xml:space="preserve"> information</w:t>
      </w:r>
      <w:r w:rsidRPr="003720F4">
        <w:rPr>
          <w:bCs/>
          <w:iCs/>
        </w:rPr>
        <w:t xml:space="preserve"> was handled during this project. However, to ensure data integrity and security, </w:t>
      </w:r>
      <w:r w:rsidRPr="003720F4">
        <w:rPr>
          <w:bCs/>
          <w:iCs/>
        </w:rPr>
        <w:t>all</w:t>
      </w:r>
      <w:r w:rsidRPr="003720F4">
        <w:rPr>
          <w:bCs/>
          <w:iCs/>
        </w:rPr>
        <w:t xml:space="preserve"> raw CSV files were treated as read-only. Data cleaning and transformations were executed entirely within </w:t>
      </w:r>
      <w:r>
        <w:rPr>
          <w:bCs/>
          <w:iCs/>
        </w:rPr>
        <w:t>the kernel</w:t>
      </w:r>
      <w:r w:rsidRPr="003720F4">
        <w:rPr>
          <w:bCs/>
          <w:iCs/>
        </w:rPr>
        <w:t>'s memory</w:t>
      </w:r>
      <w:r>
        <w:rPr>
          <w:bCs/>
          <w:iCs/>
        </w:rPr>
        <w:t xml:space="preserve">, </w:t>
      </w:r>
      <w:r w:rsidRPr="003720F4">
        <w:rPr>
          <w:bCs/>
          <w:iCs/>
        </w:rPr>
        <w:t>ensuring the original source files could not be accidentally overwritten</w:t>
      </w:r>
      <w:r>
        <w:rPr>
          <w:bCs/>
          <w:iCs/>
        </w:rPr>
        <w:t>.</w:t>
      </w:r>
      <w:r>
        <w:t xml:space="preserve"> </w:t>
      </w:r>
    </w:p>
    <w:p w14:paraId="42526A9A" w14:textId="1E65E97E" w:rsidR="00485DB8" w:rsidRPr="00485DB8" w:rsidRDefault="003720F4" w:rsidP="003C44A7">
      <w:pPr>
        <w:pStyle w:val="ListBullet"/>
      </w:pPr>
      <w:r w:rsidRPr="003720F4">
        <w:rPr>
          <w:rStyle w:val="Emphasis"/>
        </w:rPr>
        <w:t>Validation Checks</w:t>
      </w:r>
      <w:r>
        <w:rPr>
          <w:rStyle w:val="Emphasis"/>
        </w:rPr>
        <w:t>:</w:t>
      </w:r>
      <w:r w:rsidR="00485DB8" w:rsidRPr="00485DB8">
        <w:rPr>
          <w:bCs/>
          <w:iCs/>
        </w:rPr>
        <w:t xml:space="preserve"> Pandas functions </w:t>
      </w:r>
      <w:r w:rsidR="00485DB8">
        <w:rPr>
          <w:bCs/>
          <w:iCs/>
        </w:rPr>
        <w:t xml:space="preserve">such as </w:t>
      </w:r>
      <w:proofErr w:type="gramStart"/>
      <w:r w:rsidR="00485DB8" w:rsidRPr="00485DB8">
        <w:rPr>
          <w:bCs/>
          <w:iCs/>
        </w:rPr>
        <w:t>info(</w:t>
      </w:r>
      <w:proofErr w:type="gramEnd"/>
      <w:r w:rsidR="00485DB8" w:rsidRPr="00485DB8">
        <w:rPr>
          <w:bCs/>
          <w:iCs/>
        </w:rPr>
        <w:t xml:space="preserve">), </w:t>
      </w:r>
      <w:proofErr w:type="gramStart"/>
      <w:r w:rsidR="00485DB8" w:rsidRPr="00485DB8">
        <w:rPr>
          <w:bCs/>
          <w:iCs/>
        </w:rPr>
        <w:t>head(</w:t>
      </w:r>
      <w:proofErr w:type="gramEnd"/>
      <w:r w:rsidR="00485DB8" w:rsidRPr="00485DB8">
        <w:rPr>
          <w:bCs/>
          <w:iCs/>
        </w:rPr>
        <w:t xml:space="preserve">), </w:t>
      </w:r>
      <w:proofErr w:type="gramStart"/>
      <w:r w:rsidR="00485DB8" w:rsidRPr="00485DB8">
        <w:rPr>
          <w:bCs/>
          <w:iCs/>
        </w:rPr>
        <w:t>shape</w:t>
      </w:r>
      <w:r w:rsidR="00485DB8">
        <w:rPr>
          <w:bCs/>
          <w:iCs/>
        </w:rPr>
        <w:t>(</w:t>
      </w:r>
      <w:proofErr w:type="gramEnd"/>
      <w:r w:rsidR="00485DB8" w:rsidRPr="00485DB8">
        <w:rPr>
          <w:bCs/>
          <w:iCs/>
        </w:rPr>
        <w:t>) ensured all rows and columns</w:t>
      </w:r>
      <w:r w:rsidR="00485DB8">
        <w:rPr>
          <w:bCs/>
          <w:iCs/>
        </w:rPr>
        <w:t xml:space="preserve"> were</w:t>
      </w:r>
      <w:r w:rsidR="00485DB8" w:rsidRPr="00485DB8">
        <w:rPr>
          <w:bCs/>
          <w:iCs/>
        </w:rPr>
        <w:t xml:space="preserve"> imported </w:t>
      </w:r>
      <w:r w:rsidR="00485DB8" w:rsidRPr="00485DB8">
        <w:rPr>
          <w:bCs/>
          <w:iCs/>
        </w:rPr>
        <w:t>properly,</w:t>
      </w:r>
      <w:r w:rsidR="00485DB8" w:rsidRPr="00485DB8">
        <w:rPr>
          <w:bCs/>
          <w:iCs/>
        </w:rPr>
        <w:t xml:space="preserve"> and numeric fields were not </w:t>
      </w:r>
      <w:r w:rsidR="00485DB8">
        <w:rPr>
          <w:bCs/>
          <w:iCs/>
        </w:rPr>
        <w:t>treated</w:t>
      </w:r>
      <w:r w:rsidR="00485DB8" w:rsidRPr="00485DB8">
        <w:rPr>
          <w:bCs/>
          <w:iCs/>
        </w:rPr>
        <w:t xml:space="preserve"> as text strings. Missing value audits </w:t>
      </w:r>
      <w:r w:rsidR="00485DB8">
        <w:rPr>
          <w:bCs/>
          <w:iCs/>
        </w:rPr>
        <w:t>using</w:t>
      </w:r>
      <w:r w:rsidR="00485DB8" w:rsidRPr="00485DB8">
        <w:rPr>
          <w:bCs/>
          <w:iCs/>
        </w:rPr>
        <w:t xml:space="preserve"> </w:t>
      </w:r>
      <w:proofErr w:type="spellStart"/>
      <w:proofErr w:type="gramStart"/>
      <w:r w:rsidR="00485DB8" w:rsidRPr="00485DB8">
        <w:rPr>
          <w:bCs/>
          <w:iCs/>
        </w:rPr>
        <w:t>isnull</w:t>
      </w:r>
      <w:proofErr w:type="spellEnd"/>
      <w:r w:rsidR="00485DB8" w:rsidRPr="00485DB8">
        <w:rPr>
          <w:bCs/>
          <w:iCs/>
        </w:rPr>
        <w:t>(</w:t>
      </w:r>
      <w:proofErr w:type="gramEnd"/>
      <w:r w:rsidR="00485DB8" w:rsidRPr="00485DB8">
        <w:rPr>
          <w:bCs/>
          <w:iCs/>
        </w:rPr>
        <w:t>)</w:t>
      </w:r>
      <w:r w:rsidR="00485DB8">
        <w:rPr>
          <w:bCs/>
          <w:iCs/>
        </w:rPr>
        <w:t xml:space="preserve"> and </w:t>
      </w:r>
      <w:proofErr w:type="gramStart"/>
      <w:r w:rsidR="00485DB8" w:rsidRPr="00485DB8">
        <w:rPr>
          <w:bCs/>
          <w:iCs/>
        </w:rPr>
        <w:t>sum(</w:t>
      </w:r>
      <w:proofErr w:type="gramEnd"/>
      <w:r w:rsidR="00485DB8" w:rsidRPr="00485DB8">
        <w:rPr>
          <w:bCs/>
          <w:iCs/>
        </w:rPr>
        <w:t>) verified data completeness</w:t>
      </w:r>
      <w:r w:rsidR="00485DB8">
        <w:rPr>
          <w:bCs/>
          <w:iCs/>
        </w:rPr>
        <w:t xml:space="preserve">. </w:t>
      </w:r>
    </w:p>
    <w:p w14:paraId="6CDF5873" w14:textId="2AD28E37" w:rsidR="003C44A7" w:rsidRDefault="00EE3FD7" w:rsidP="003C44A7">
      <w:pPr>
        <w:pStyle w:val="ListBullet"/>
      </w:pPr>
      <w:r>
        <w:rPr>
          <w:rStyle w:val="Emphasis"/>
        </w:rPr>
        <w:t>Data Preparation</w:t>
      </w:r>
      <w:r w:rsidR="0031402F" w:rsidRPr="00704665">
        <w:t xml:space="preserve">: </w:t>
      </w:r>
    </w:p>
    <w:p w14:paraId="3FE28856" w14:textId="27BBF198" w:rsidR="003A1467" w:rsidRDefault="00B009DD" w:rsidP="003720F4">
      <w:pPr>
        <w:pStyle w:val="ListBullet"/>
        <w:numPr>
          <w:ilvl w:val="0"/>
          <w:numId w:val="5"/>
        </w:numPr>
      </w:pPr>
      <w:r w:rsidRPr="00B009DD">
        <w:rPr>
          <w:b/>
          <w:bCs/>
        </w:rPr>
        <w:t>Alignment:</w:t>
      </w:r>
      <w:r>
        <w:t xml:space="preserve"> </w:t>
      </w:r>
      <w:r w:rsidR="003A1467" w:rsidRPr="003A1467">
        <w:t>Solar installation</w:t>
      </w:r>
      <w:r>
        <w:t xml:space="preserve"> and capacity</w:t>
      </w:r>
      <w:r w:rsidR="003A1467" w:rsidRPr="003A1467">
        <w:t xml:space="preserve"> data </w:t>
      </w:r>
      <w:r w:rsidRPr="003A1467">
        <w:t>were</w:t>
      </w:r>
      <w:r w:rsidR="003A1467" w:rsidRPr="003A1467">
        <w:t xml:space="preserve"> grouped and summed annually to align with the 2011, 2016, and 2021 ABS Census years</w:t>
      </w:r>
      <w:r>
        <w:t>.</w:t>
      </w:r>
    </w:p>
    <w:p w14:paraId="044112F6" w14:textId="212A6C17" w:rsidR="00485DB8" w:rsidRPr="00485DB8" w:rsidRDefault="003A1467" w:rsidP="00485DB8">
      <w:pPr>
        <w:pStyle w:val="ListBullet"/>
        <w:numPr>
          <w:ilvl w:val="0"/>
          <w:numId w:val="5"/>
        </w:numPr>
        <w:rPr>
          <w:lang w:val="en-AU"/>
        </w:rPr>
      </w:pPr>
      <w:r w:rsidRPr="003A1467">
        <w:rPr>
          <w:b/>
          <w:bCs/>
          <w:lang w:val="en-AU"/>
        </w:rPr>
        <w:t>Standardisation</w:t>
      </w:r>
      <w:r w:rsidR="00B009DD">
        <w:rPr>
          <w:b/>
          <w:bCs/>
          <w:lang w:val="en-AU"/>
        </w:rPr>
        <w:t xml:space="preserve">: </w:t>
      </w:r>
      <w:r w:rsidRPr="003A1467">
        <w:rPr>
          <w:lang w:val="en-AU"/>
        </w:rPr>
        <w:t xml:space="preserve">To ensure </w:t>
      </w:r>
      <w:r w:rsidR="00B009DD">
        <w:rPr>
          <w:lang w:val="en-AU"/>
        </w:rPr>
        <w:t>a fair</w:t>
      </w:r>
      <w:r w:rsidR="00B009DD" w:rsidRPr="003A1467">
        <w:rPr>
          <w:lang w:val="en-AU"/>
        </w:rPr>
        <w:t xml:space="preserve"> comparison</w:t>
      </w:r>
      <w:r w:rsidRPr="003A1467">
        <w:rPr>
          <w:lang w:val="en-AU"/>
        </w:rPr>
        <w:t xml:space="preserve">, raw solar capacity </w:t>
      </w:r>
      <w:r w:rsidR="00B009DD">
        <w:rPr>
          <w:lang w:val="en-AU"/>
        </w:rPr>
        <w:t xml:space="preserve">and installations </w:t>
      </w:r>
      <w:r w:rsidRPr="003A1467">
        <w:rPr>
          <w:lang w:val="en-AU"/>
        </w:rPr>
        <w:t xml:space="preserve">was standardised. </w:t>
      </w:r>
    </w:p>
    <w:p w14:paraId="3F07ADB3" w14:textId="7ADB0525" w:rsidR="00B009DD" w:rsidRDefault="003A1467" w:rsidP="003A1467">
      <w:pPr>
        <w:pStyle w:val="ListBullet"/>
        <w:numPr>
          <w:ilvl w:val="0"/>
          <w:numId w:val="0"/>
        </w:numPr>
        <w:rPr>
          <w:lang w:val="en-AU"/>
        </w:rPr>
      </w:pPr>
      <w:r w:rsidRPr="003A1467">
        <w:rPr>
          <w:lang w:val="en-AU"/>
        </w:rPr>
        <w:t xml:space="preserve">A test was conducted </w:t>
      </w:r>
      <w:r w:rsidR="00343286">
        <w:rPr>
          <w:lang w:val="en-AU"/>
        </w:rPr>
        <w:t xml:space="preserve">to compare </w:t>
      </w:r>
      <w:r w:rsidRPr="003A1467">
        <w:rPr>
          <w:lang w:val="en-AU"/>
        </w:rPr>
        <w:t xml:space="preserve">standardisation by </w:t>
      </w:r>
      <w:r w:rsidRPr="003A1467">
        <w:rPr>
          <w:i/>
          <w:iCs/>
          <w:lang w:val="en-AU"/>
        </w:rPr>
        <w:t>human population</w:t>
      </w:r>
      <w:r w:rsidRPr="003A1467">
        <w:rPr>
          <w:lang w:val="en-AU"/>
        </w:rPr>
        <w:t xml:space="preserve"> versus </w:t>
      </w:r>
      <w:r w:rsidRPr="003A1467">
        <w:rPr>
          <w:i/>
          <w:iCs/>
          <w:lang w:val="en-AU"/>
        </w:rPr>
        <w:t>physical dwellings</w:t>
      </w:r>
      <w:r w:rsidRPr="003A1467">
        <w:rPr>
          <w:lang w:val="en-AU"/>
        </w:rPr>
        <w:t xml:space="preserve">. </w:t>
      </w:r>
    </w:p>
    <w:p w14:paraId="6150BD7B" w14:textId="15DC6DFF" w:rsidR="00B009DD" w:rsidRDefault="003A1467" w:rsidP="003A1467">
      <w:pPr>
        <w:pStyle w:val="ListBullet"/>
        <w:numPr>
          <w:ilvl w:val="0"/>
          <w:numId w:val="0"/>
        </w:numPr>
        <w:rPr>
          <w:lang w:val="en-AU"/>
        </w:rPr>
      </w:pPr>
      <w:r w:rsidRPr="003A1467">
        <w:rPr>
          <w:lang w:val="en-AU"/>
        </w:rPr>
        <w:t xml:space="preserve">It was </w:t>
      </w:r>
      <w:r w:rsidR="00343286">
        <w:rPr>
          <w:lang w:val="en-AU"/>
        </w:rPr>
        <w:t>found</w:t>
      </w:r>
      <w:r w:rsidRPr="003A1467">
        <w:rPr>
          <w:lang w:val="en-AU"/>
        </w:rPr>
        <w:t xml:space="preserve"> that standardising by human population introduces a "family size penalty," </w:t>
      </w:r>
      <w:r w:rsidR="00B009DD">
        <w:rPr>
          <w:lang w:val="en-AU"/>
        </w:rPr>
        <w:t>which</w:t>
      </w:r>
      <w:r w:rsidRPr="003A1467">
        <w:rPr>
          <w:lang w:val="en-AU"/>
        </w:rPr>
        <w:t xml:space="preserve"> </w:t>
      </w:r>
      <w:r w:rsidR="00B009DD">
        <w:rPr>
          <w:lang w:val="en-AU"/>
        </w:rPr>
        <w:t>depresses</w:t>
      </w:r>
      <w:r w:rsidRPr="003A1467">
        <w:rPr>
          <w:lang w:val="en-AU"/>
        </w:rPr>
        <w:t xml:space="preserve"> the adoption metrics of states with larger household sizes (such as the Northern Territory</w:t>
      </w:r>
      <w:r w:rsidR="00D96396">
        <w:rPr>
          <w:lang w:val="en-AU"/>
        </w:rPr>
        <w:t xml:space="preserve">, </w:t>
      </w:r>
      <w:r w:rsidRPr="003A1467">
        <w:rPr>
          <w:lang w:val="en-AU"/>
        </w:rPr>
        <w:t>Western Australia</w:t>
      </w:r>
      <w:r w:rsidR="00D96396">
        <w:rPr>
          <w:lang w:val="en-AU"/>
        </w:rPr>
        <w:t xml:space="preserve"> and Queensland</w:t>
      </w:r>
      <w:r w:rsidRPr="003A1467">
        <w:rPr>
          <w:lang w:val="en-AU"/>
        </w:rPr>
        <w:t>)</w:t>
      </w:r>
      <w:r w:rsidR="00D96396">
        <w:rPr>
          <w:lang w:val="en-AU"/>
        </w:rPr>
        <w:t xml:space="preserve"> – see bar chart below. </w:t>
      </w:r>
    </w:p>
    <w:p w14:paraId="04DB6A60" w14:textId="77777777" w:rsidR="00D96396" w:rsidRDefault="00D96396" w:rsidP="003A1467">
      <w:pPr>
        <w:pStyle w:val="ListBullet"/>
        <w:numPr>
          <w:ilvl w:val="0"/>
          <w:numId w:val="0"/>
        </w:numPr>
        <w:rPr>
          <w:lang w:val="en-AU"/>
        </w:rPr>
      </w:pPr>
    </w:p>
    <w:p w14:paraId="5F278A8F" w14:textId="77777777" w:rsidR="00D96396" w:rsidRDefault="00D96396" w:rsidP="003A1467">
      <w:pPr>
        <w:pStyle w:val="ListBullet"/>
        <w:numPr>
          <w:ilvl w:val="0"/>
          <w:numId w:val="0"/>
        </w:numPr>
        <w:rPr>
          <w:lang w:val="en-AU"/>
        </w:rPr>
      </w:pPr>
    </w:p>
    <w:p w14:paraId="6DBC44A1" w14:textId="6F3AC0D2" w:rsidR="00D96396" w:rsidRDefault="00D96396" w:rsidP="003A1467">
      <w:pPr>
        <w:pStyle w:val="ListBullet"/>
        <w:numPr>
          <w:ilvl w:val="0"/>
          <w:numId w:val="0"/>
        </w:numPr>
        <w:rPr>
          <w:lang w:val="en-AU"/>
        </w:rPr>
      </w:pPr>
      <w:r>
        <w:rPr>
          <w:noProof/>
          <w:lang w:val="en-AU"/>
          <w14:ligatures w14:val="standardContextual"/>
        </w:rPr>
        <w:lastRenderedPageBreak/>
        <w:drawing>
          <wp:inline distT="0" distB="0" distL="0" distR="0" wp14:anchorId="6BDD7143" wp14:editId="63F585A5">
            <wp:extent cx="6309360" cy="3239770"/>
            <wp:effectExtent l="0" t="0" r="0" b="0"/>
            <wp:docPr id="156973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3149" name="Picture 156973149"/>
                    <pic:cNvPicPr/>
                  </pic:nvPicPr>
                  <pic:blipFill>
                    <a:blip r:embed="rId15">
                      <a:extLst>
                        <a:ext uri="{28A0092B-C50C-407E-A947-70E740481C1C}">
                          <a14:useLocalDpi xmlns:a14="http://schemas.microsoft.com/office/drawing/2010/main" val="0"/>
                        </a:ext>
                      </a:extLst>
                    </a:blip>
                    <a:stretch>
                      <a:fillRect/>
                    </a:stretch>
                  </pic:blipFill>
                  <pic:spPr>
                    <a:xfrm>
                      <a:off x="0" y="0"/>
                      <a:ext cx="6309360" cy="3239770"/>
                    </a:xfrm>
                    <a:prstGeom prst="rect">
                      <a:avLst/>
                    </a:prstGeom>
                  </pic:spPr>
                </pic:pic>
              </a:graphicData>
            </a:graphic>
          </wp:inline>
        </w:drawing>
      </w:r>
    </w:p>
    <w:p w14:paraId="0766914D" w14:textId="152D0603" w:rsidR="00D96396" w:rsidRDefault="00D96396" w:rsidP="003A1467">
      <w:pPr>
        <w:pStyle w:val="ListBullet"/>
        <w:numPr>
          <w:ilvl w:val="0"/>
          <w:numId w:val="0"/>
        </w:numPr>
        <w:rPr>
          <w:lang w:val="en-AU"/>
        </w:rPr>
      </w:pPr>
      <w:r>
        <w:rPr>
          <w:lang w:val="en-AU"/>
        </w:rPr>
        <w:t>This chart shows the raw solar capacity (kW) in 2021 standardized against both total dwellings and human population, normalized to a 0 to 1 scale to ensure fairness</w:t>
      </w:r>
      <w:r w:rsidR="00E9289F">
        <w:rPr>
          <w:lang w:val="en-AU"/>
        </w:rPr>
        <w:t xml:space="preserve"> in bar-to-bar comparisons. </w:t>
      </w:r>
    </w:p>
    <w:p w14:paraId="70B634C5" w14:textId="4C543B4F" w:rsidR="00E9289F" w:rsidRDefault="00E9289F" w:rsidP="003A1467">
      <w:pPr>
        <w:pStyle w:val="ListBullet"/>
        <w:numPr>
          <w:ilvl w:val="0"/>
          <w:numId w:val="0"/>
        </w:numPr>
        <w:rPr>
          <w:lang w:val="en-AU"/>
        </w:rPr>
      </w:pPr>
      <w:r>
        <w:rPr>
          <w:lang w:val="en-AU"/>
        </w:rPr>
        <w:t>Because solar systems are installed on physical roofs rather than individuals (human)</w:t>
      </w:r>
      <w:r>
        <w:rPr>
          <w:lang w:val="en-AU"/>
        </w:rPr>
        <w:t xml:space="preserve">, when using human population and not dwellings (buildings) as a metric, it introduces a distortion in the results. States with larger family sizes suffer a depress in solar adoption metrics (lower red bars) compared to their actual rood infrastructure saturation (higher blue bars). </w:t>
      </w:r>
    </w:p>
    <w:p w14:paraId="1A780A9E" w14:textId="0A33FC66" w:rsidR="00B009DD" w:rsidRDefault="003A1467" w:rsidP="003A1467">
      <w:pPr>
        <w:pStyle w:val="ListBullet"/>
        <w:numPr>
          <w:ilvl w:val="0"/>
          <w:numId w:val="0"/>
        </w:numPr>
        <w:rPr>
          <w:lang w:val="en-AU"/>
        </w:rPr>
      </w:pPr>
      <w:r w:rsidRPr="003A1467">
        <w:rPr>
          <w:lang w:val="en-AU"/>
        </w:rPr>
        <w:t xml:space="preserve">Consequently, the human population dataset was deliberately excluded from the </w:t>
      </w:r>
      <w:r w:rsidR="00B009DD" w:rsidRPr="003A1467">
        <w:rPr>
          <w:lang w:val="en-AU"/>
        </w:rPr>
        <w:t>results</w:t>
      </w:r>
      <w:r w:rsidRPr="003A1467">
        <w:rPr>
          <w:lang w:val="en-AU"/>
        </w:rPr>
        <w:t xml:space="preserve">. </w:t>
      </w:r>
    </w:p>
    <w:p w14:paraId="2274FA39" w14:textId="7CB023A9" w:rsidR="00BA7FA2" w:rsidRDefault="003A1467" w:rsidP="00B009DD">
      <w:pPr>
        <w:pStyle w:val="ListBullet"/>
        <w:numPr>
          <w:ilvl w:val="0"/>
          <w:numId w:val="0"/>
        </w:numPr>
        <w:rPr>
          <w:lang w:val="en-AU"/>
        </w:rPr>
      </w:pPr>
      <w:r w:rsidRPr="003A1467">
        <w:rPr>
          <w:lang w:val="en-AU"/>
        </w:rPr>
        <w:t>All solar metrics were standardised against total dwelling</w:t>
      </w:r>
      <w:r w:rsidR="00B009DD">
        <w:rPr>
          <w:lang w:val="en-AU"/>
        </w:rPr>
        <w:t>s</w:t>
      </w:r>
      <w:r w:rsidRPr="003A1467">
        <w:rPr>
          <w:lang w:val="en-AU"/>
        </w:rPr>
        <w:t xml:space="preserve"> to reflect actual available roof infrastructure. </w:t>
      </w:r>
    </w:p>
    <w:p w14:paraId="6D490F5A" w14:textId="77777777" w:rsidR="00485DB8" w:rsidRPr="00B009DD" w:rsidRDefault="00485DB8" w:rsidP="00B009DD">
      <w:pPr>
        <w:pStyle w:val="ListBullet"/>
        <w:numPr>
          <w:ilvl w:val="0"/>
          <w:numId w:val="0"/>
        </w:numPr>
        <w:rPr>
          <w:lang w:val="en-AU"/>
        </w:rPr>
      </w:pPr>
    </w:p>
    <w:p w14:paraId="4F5130C2" w14:textId="2F169C1E" w:rsidR="00E14577" w:rsidRDefault="00B009DD" w:rsidP="00D41196">
      <w:pPr>
        <w:pStyle w:val="Heading2"/>
        <w:rPr>
          <w:color w:val="C00000"/>
        </w:rPr>
      </w:pPr>
      <w:r w:rsidRPr="00B009DD">
        <w:rPr>
          <w:color w:val="C00000"/>
        </w:rPr>
        <w:t>ANALYSIS AND FINDINGS</w:t>
      </w:r>
    </w:p>
    <w:p w14:paraId="1B4B8055" w14:textId="4E2F4838" w:rsidR="00B009DD" w:rsidRPr="00B009DD" w:rsidRDefault="00B009DD" w:rsidP="00B009DD">
      <w:r w:rsidRPr="00B009DD">
        <w:t>The integrated data reveals two critical insights that dis</w:t>
      </w:r>
      <w:r>
        <w:t>prove</w:t>
      </w:r>
      <w:r w:rsidRPr="00B009DD">
        <w:t xml:space="preserve"> the </w:t>
      </w:r>
      <w:r>
        <w:t>proposed</w:t>
      </w:r>
      <w:r w:rsidRPr="00B009DD">
        <w:t xml:space="preserve"> hypothesis:</w:t>
      </w:r>
    </w:p>
    <w:p w14:paraId="7A7C81F8" w14:textId="77777777" w:rsidR="00B009DD" w:rsidRPr="00390209" w:rsidRDefault="00B009DD" w:rsidP="00B009DD">
      <w:pPr>
        <w:pStyle w:val="Bold"/>
        <w:rPr>
          <w:rFonts w:asciiTheme="minorHAnsi" w:hAnsiTheme="minorHAnsi"/>
        </w:rPr>
      </w:pPr>
      <w:r w:rsidRPr="00390209">
        <w:rPr>
          <w:rFonts w:asciiTheme="minorHAnsi" w:hAnsiTheme="minorHAnsi"/>
        </w:rPr>
        <w:t>1. The Decoupling of Tenure and Adoption</w:t>
      </w:r>
    </w:p>
    <w:p w14:paraId="0D96DEDC" w14:textId="1D7B0EB2" w:rsidR="00390209" w:rsidRDefault="00343286" w:rsidP="00D41196">
      <w:pPr>
        <w:pStyle w:val="Heading2"/>
        <w:rPr>
          <w:rFonts w:asciiTheme="minorHAnsi" w:hAnsiTheme="minorHAnsi"/>
          <w:b w:val="0"/>
          <w:bCs w:val="0"/>
          <w:noProof w:val="0"/>
          <w:szCs w:val="22"/>
        </w:rPr>
      </w:pPr>
      <w:r>
        <w:rPr>
          <w:rFonts w:asciiTheme="minorHAnsi" w:hAnsiTheme="minorHAnsi"/>
          <w:b w:val="0"/>
          <w:bCs w:val="0"/>
          <w:noProof w:val="0"/>
          <w:szCs w:val="22"/>
        </w:rPr>
        <w:t>This</w:t>
      </w:r>
      <w:r w:rsidR="00390209" w:rsidRPr="00390209">
        <w:rPr>
          <w:rFonts w:asciiTheme="minorHAnsi" w:hAnsiTheme="minorHAnsi"/>
          <w:b w:val="0"/>
          <w:bCs w:val="0"/>
          <w:noProof w:val="0"/>
          <w:szCs w:val="22"/>
        </w:rPr>
        <w:t xml:space="preserve"> multi</w:t>
      </w:r>
      <w:r w:rsidR="00390209">
        <w:rPr>
          <w:rFonts w:asciiTheme="minorHAnsi" w:hAnsiTheme="minorHAnsi"/>
          <w:b w:val="0"/>
          <w:bCs w:val="0"/>
          <w:noProof w:val="0"/>
          <w:szCs w:val="22"/>
        </w:rPr>
        <w:t xml:space="preserve"> </w:t>
      </w:r>
      <w:r w:rsidR="00390209" w:rsidRPr="00390209">
        <w:rPr>
          <w:rFonts w:asciiTheme="minorHAnsi" w:hAnsiTheme="minorHAnsi"/>
          <w:b w:val="0"/>
          <w:bCs w:val="0"/>
          <w:noProof w:val="0"/>
          <w:szCs w:val="22"/>
        </w:rPr>
        <w:t>variable analysis (</w:t>
      </w:r>
      <w:r w:rsidR="00390209">
        <w:rPr>
          <w:rFonts w:asciiTheme="minorHAnsi" w:hAnsiTheme="minorHAnsi"/>
          <w:b w:val="0"/>
          <w:bCs w:val="0"/>
          <w:noProof w:val="0"/>
          <w:szCs w:val="22"/>
        </w:rPr>
        <w:t>see bubble chart</w:t>
      </w:r>
      <w:r w:rsidR="00390209" w:rsidRPr="00390209">
        <w:rPr>
          <w:rFonts w:asciiTheme="minorHAnsi" w:hAnsiTheme="minorHAnsi"/>
          <w:b w:val="0"/>
          <w:bCs w:val="0"/>
          <w:noProof w:val="0"/>
          <w:szCs w:val="22"/>
        </w:rPr>
        <w:t xml:space="preserve">) </w:t>
      </w:r>
      <w:r>
        <w:rPr>
          <w:rFonts w:asciiTheme="minorHAnsi" w:hAnsiTheme="minorHAnsi"/>
          <w:b w:val="0"/>
          <w:bCs w:val="0"/>
          <w:noProof w:val="0"/>
          <w:szCs w:val="22"/>
        </w:rPr>
        <w:t>shows</w:t>
      </w:r>
      <w:r w:rsidR="00390209" w:rsidRPr="00390209">
        <w:rPr>
          <w:rFonts w:asciiTheme="minorHAnsi" w:hAnsiTheme="minorHAnsi"/>
          <w:b w:val="0"/>
          <w:bCs w:val="0"/>
          <w:noProof w:val="0"/>
          <w:szCs w:val="22"/>
        </w:rPr>
        <w:t xml:space="preserve"> ownership percentage against installations per dwelling</w:t>
      </w:r>
      <w:r w:rsidR="001040D4">
        <w:rPr>
          <w:rFonts w:asciiTheme="minorHAnsi" w:hAnsiTheme="minorHAnsi"/>
          <w:b w:val="0"/>
          <w:bCs w:val="0"/>
          <w:noProof w:val="0"/>
          <w:szCs w:val="22"/>
        </w:rPr>
        <w:t xml:space="preserve"> and kW per dwelling</w:t>
      </w:r>
      <w:r w:rsidR="00390209" w:rsidRPr="00390209">
        <w:rPr>
          <w:rFonts w:asciiTheme="minorHAnsi" w:hAnsiTheme="minorHAnsi"/>
          <w:b w:val="0"/>
          <w:bCs w:val="0"/>
          <w:noProof w:val="0"/>
          <w:szCs w:val="22"/>
        </w:rPr>
        <w:t xml:space="preserve"> reveals no meaningful correlation.</w:t>
      </w:r>
    </w:p>
    <w:p w14:paraId="0DF8D786" w14:textId="6EFA8258" w:rsidR="001040D4" w:rsidRDefault="001040D4" w:rsidP="001040D4">
      <w:r>
        <w:rPr>
          <w:noProof/>
          <w14:ligatures w14:val="standardContextual"/>
        </w:rPr>
        <w:lastRenderedPageBreak/>
        <w:drawing>
          <wp:inline distT="0" distB="0" distL="0" distR="0" wp14:anchorId="1B67521F" wp14:editId="4DE443A7">
            <wp:extent cx="6309360" cy="3557905"/>
            <wp:effectExtent l="0" t="0" r="0" b="4445"/>
            <wp:docPr id="110851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7662" name="Picture 1108517662"/>
                    <pic:cNvPicPr/>
                  </pic:nvPicPr>
                  <pic:blipFill>
                    <a:blip r:embed="rId16">
                      <a:extLst>
                        <a:ext uri="{28A0092B-C50C-407E-A947-70E740481C1C}">
                          <a14:useLocalDpi xmlns:a14="http://schemas.microsoft.com/office/drawing/2010/main" val="0"/>
                        </a:ext>
                      </a:extLst>
                    </a:blip>
                    <a:stretch>
                      <a:fillRect/>
                    </a:stretch>
                  </pic:blipFill>
                  <pic:spPr>
                    <a:xfrm>
                      <a:off x="0" y="0"/>
                      <a:ext cx="6309360" cy="3557905"/>
                    </a:xfrm>
                    <a:prstGeom prst="rect">
                      <a:avLst/>
                    </a:prstGeom>
                  </pic:spPr>
                </pic:pic>
              </a:graphicData>
            </a:graphic>
          </wp:inline>
        </w:drawing>
      </w:r>
    </w:p>
    <w:p w14:paraId="421D0489" w14:textId="253A8AAA" w:rsidR="001040D4" w:rsidRDefault="001040D4" w:rsidP="001040D4">
      <w:r w:rsidRPr="001040D4">
        <w:t>Between 2011 and 2021, homeownership rates remained nearly static</w:t>
      </w:r>
      <w:r w:rsidR="00343286">
        <w:t xml:space="preserve"> across all states</w:t>
      </w:r>
      <w:r w:rsidRPr="001040D4">
        <w:t xml:space="preserve">. However, over the exact same period, standard solar capacity (kW per dwelling) exploded. If </w:t>
      </w:r>
      <w:r>
        <w:t>the hypothesis</w:t>
      </w:r>
      <w:r w:rsidRPr="001040D4">
        <w:t xml:space="preserve"> was </w:t>
      </w:r>
      <w:r>
        <w:t xml:space="preserve">correct, </w:t>
      </w:r>
      <w:r w:rsidRPr="001040D4">
        <w:t>the massive surge in solar capacity could not have occurred within a flat homeownership market.</w:t>
      </w:r>
    </w:p>
    <w:p w14:paraId="5A905DE5" w14:textId="77777777" w:rsidR="001040D4" w:rsidRDefault="001040D4" w:rsidP="001040D4"/>
    <w:p w14:paraId="447574F0" w14:textId="77777777" w:rsidR="001040D4" w:rsidRPr="001040D4" w:rsidRDefault="001040D4" w:rsidP="001040D4">
      <w:pPr>
        <w:rPr>
          <w:b/>
          <w:bCs/>
        </w:rPr>
      </w:pPr>
      <w:r w:rsidRPr="001040D4">
        <w:rPr>
          <w:b/>
          <w:bCs/>
        </w:rPr>
        <w:t>2. The Shift from Volume to Capacity</w:t>
      </w:r>
    </w:p>
    <w:p w14:paraId="5B202A7D" w14:textId="77777777" w:rsidR="001040D4" w:rsidRDefault="001040D4" w:rsidP="001040D4">
      <w:r>
        <w:t xml:space="preserve">Standardized analysis reveals a distinct market growth. </w:t>
      </w:r>
    </w:p>
    <w:p w14:paraId="01AEF32C" w14:textId="13F5A188" w:rsidR="001040D4" w:rsidRDefault="001040D4" w:rsidP="001040D4">
      <w:r>
        <w:t xml:space="preserve">The volume of new installations per dwelling peaked during 2011 and declined or plateaued in markets like South Australia and Queensland. </w:t>
      </w:r>
    </w:p>
    <w:p w14:paraId="4D0E7145" w14:textId="738175FC" w:rsidR="00485DB8" w:rsidRPr="00485DB8" w:rsidRDefault="001040D4" w:rsidP="00485DB8">
      <w:pPr>
        <w:pStyle w:val="Heading2"/>
        <w:rPr>
          <w:rFonts w:asciiTheme="minorHAnsi" w:hAnsiTheme="minorHAnsi"/>
          <w:b w:val="0"/>
          <w:bCs w:val="0"/>
          <w:noProof w:val="0"/>
          <w:szCs w:val="22"/>
        </w:rPr>
      </w:pPr>
      <w:r w:rsidRPr="001040D4">
        <w:rPr>
          <w:rFonts w:asciiTheme="minorHAnsi" w:hAnsiTheme="minorHAnsi"/>
          <w:b w:val="0"/>
          <w:bCs w:val="0"/>
          <w:noProof w:val="0"/>
          <w:szCs w:val="22"/>
        </w:rPr>
        <w:t xml:space="preserve">However, the capacity of the systems being installed increased dramatically by 2021. This suggests that although fewer individual roofs </w:t>
      </w:r>
      <w:r w:rsidR="00D21B1E">
        <w:rPr>
          <w:rFonts w:asciiTheme="minorHAnsi" w:hAnsiTheme="minorHAnsi"/>
          <w:b w:val="0"/>
          <w:bCs w:val="0"/>
          <w:noProof w:val="0"/>
          <w:szCs w:val="22"/>
        </w:rPr>
        <w:t>were installed with solar panels</w:t>
      </w:r>
      <w:r w:rsidRPr="001040D4">
        <w:rPr>
          <w:rFonts w:asciiTheme="minorHAnsi" w:hAnsiTheme="minorHAnsi"/>
          <w:b w:val="0"/>
          <w:bCs w:val="0"/>
          <w:noProof w:val="0"/>
          <w:szCs w:val="22"/>
        </w:rPr>
        <w:t xml:space="preserve"> in 2021 than in 2011, the </w:t>
      </w:r>
      <w:r w:rsidR="00D21B1E">
        <w:rPr>
          <w:rFonts w:asciiTheme="minorHAnsi" w:hAnsiTheme="minorHAnsi"/>
          <w:b w:val="0"/>
          <w:bCs w:val="0"/>
          <w:noProof w:val="0"/>
          <w:szCs w:val="22"/>
        </w:rPr>
        <w:t>panels</w:t>
      </w:r>
      <w:r w:rsidRPr="001040D4">
        <w:rPr>
          <w:rFonts w:asciiTheme="minorHAnsi" w:hAnsiTheme="minorHAnsi"/>
          <w:b w:val="0"/>
          <w:bCs w:val="0"/>
          <w:noProof w:val="0"/>
          <w:szCs w:val="22"/>
        </w:rPr>
        <w:t xml:space="preserve"> installed were larger</w:t>
      </w:r>
      <w:r w:rsidR="00D21B1E">
        <w:rPr>
          <w:rFonts w:asciiTheme="minorHAnsi" w:hAnsiTheme="minorHAnsi"/>
          <w:b w:val="0"/>
          <w:bCs w:val="0"/>
          <w:noProof w:val="0"/>
          <w:szCs w:val="22"/>
        </w:rPr>
        <w:t xml:space="preserve"> or more capable. </w:t>
      </w:r>
    </w:p>
    <w:p w14:paraId="0DC6CC63" w14:textId="77777777" w:rsidR="001040D4" w:rsidRDefault="001040D4" w:rsidP="00D41196">
      <w:pPr>
        <w:pStyle w:val="Heading2"/>
        <w:rPr>
          <w:rFonts w:asciiTheme="minorHAnsi" w:hAnsiTheme="minorHAnsi"/>
          <w:b w:val="0"/>
          <w:bCs w:val="0"/>
          <w:noProof w:val="0"/>
          <w:szCs w:val="22"/>
        </w:rPr>
      </w:pPr>
      <w:r w:rsidRPr="001040D4">
        <w:rPr>
          <w:rFonts w:asciiTheme="minorHAnsi" w:hAnsiTheme="minorHAnsi"/>
          <w:b w:val="0"/>
          <w:bCs w:val="0"/>
          <w:noProof w:val="0"/>
          <w:szCs w:val="22"/>
        </w:rPr>
        <w:t xml:space="preserve">While the reasons for this increase are unclear, technological advancements, declining hardware costs, and other factors may have contributed to this trend. </w:t>
      </w:r>
    </w:p>
    <w:p w14:paraId="700B17C3" w14:textId="026B6EAD" w:rsidR="00390209" w:rsidRDefault="001040D4" w:rsidP="00D41196">
      <w:pPr>
        <w:pStyle w:val="Heading2"/>
        <w:rPr>
          <w:rFonts w:asciiTheme="minorHAnsi" w:hAnsiTheme="minorHAnsi"/>
          <w:b w:val="0"/>
          <w:bCs w:val="0"/>
          <w:noProof w:val="0"/>
          <w:szCs w:val="22"/>
        </w:rPr>
      </w:pPr>
      <w:r w:rsidRPr="001040D4">
        <w:rPr>
          <w:rFonts w:asciiTheme="minorHAnsi" w:hAnsiTheme="minorHAnsi"/>
          <w:b w:val="0"/>
          <w:bCs w:val="0"/>
          <w:noProof w:val="0"/>
          <w:szCs w:val="22"/>
        </w:rPr>
        <w:t>This increase in</w:t>
      </w:r>
      <w:r>
        <w:rPr>
          <w:rFonts w:asciiTheme="minorHAnsi" w:hAnsiTheme="minorHAnsi"/>
          <w:b w:val="0"/>
          <w:bCs w:val="0"/>
          <w:noProof w:val="0"/>
          <w:szCs w:val="22"/>
        </w:rPr>
        <w:t xml:space="preserve"> solar</w:t>
      </w:r>
      <w:r w:rsidRPr="001040D4">
        <w:rPr>
          <w:rFonts w:asciiTheme="minorHAnsi" w:hAnsiTheme="minorHAnsi"/>
          <w:b w:val="0"/>
          <w:bCs w:val="0"/>
          <w:noProof w:val="0"/>
          <w:szCs w:val="22"/>
        </w:rPr>
        <w:t xml:space="preserve"> capacity suggests that </w:t>
      </w:r>
      <w:r w:rsidR="00C865DF">
        <w:rPr>
          <w:rFonts w:asciiTheme="minorHAnsi" w:hAnsiTheme="minorHAnsi"/>
          <w:b w:val="0"/>
          <w:bCs w:val="0"/>
          <w:noProof w:val="0"/>
          <w:szCs w:val="22"/>
        </w:rPr>
        <w:t xml:space="preserve">solar adoption rate may be </w:t>
      </w:r>
      <w:r w:rsidRPr="001040D4">
        <w:rPr>
          <w:rFonts w:asciiTheme="minorHAnsi" w:hAnsiTheme="minorHAnsi"/>
          <w:b w:val="0"/>
          <w:bCs w:val="0"/>
          <w:noProof w:val="0"/>
          <w:szCs w:val="22"/>
        </w:rPr>
        <w:t xml:space="preserve">independent </w:t>
      </w:r>
      <w:r w:rsidR="00C865DF">
        <w:rPr>
          <w:rFonts w:asciiTheme="minorHAnsi" w:hAnsiTheme="minorHAnsi"/>
          <w:b w:val="0"/>
          <w:bCs w:val="0"/>
          <w:noProof w:val="0"/>
          <w:szCs w:val="22"/>
        </w:rPr>
        <w:t>from</w:t>
      </w:r>
      <w:r w:rsidRPr="001040D4">
        <w:rPr>
          <w:rFonts w:asciiTheme="minorHAnsi" w:hAnsiTheme="minorHAnsi"/>
          <w:b w:val="0"/>
          <w:bCs w:val="0"/>
          <w:noProof w:val="0"/>
          <w:szCs w:val="22"/>
        </w:rPr>
        <w:t xml:space="preserve"> the renting-versus-owning </w:t>
      </w:r>
      <w:r>
        <w:rPr>
          <w:rFonts w:asciiTheme="minorHAnsi" w:hAnsiTheme="minorHAnsi"/>
          <w:b w:val="0"/>
          <w:bCs w:val="0"/>
          <w:noProof w:val="0"/>
          <w:szCs w:val="22"/>
        </w:rPr>
        <w:t xml:space="preserve">hypothesis. </w:t>
      </w:r>
    </w:p>
    <w:p w14:paraId="128CE2C7" w14:textId="77777777" w:rsidR="00485DB8" w:rsidRDefault="00485DB8" w:rsidP="00485DB8"/>
    <w:p w14:paraId="7DBA98BD" w14:textId="77777777" w:rsidR="00485DB8" w:rsidRPr="00485DB8" w:rsidRDefault="00485DB8" w:rsidP="00485DB8"/>
    <w:p w14:paraId="0B976945" w14:textId="77777777" w:rsidR="00390209" w:rsidRDefault="00390209" w:rsidP="00D41196">
      <w:pPr>
        <w:pStyle w:val="Heading2"/>
        <w:rPr>
          <w:rFonts w:asciiTheme="minorHAnsi" w:hAnsiTheme="minorHAnsi"/>
          <w:b w:val="0"/>
          <w:bCs w:val="0"/>
          <w:noProof w:val="0"/>
          <w:szCs w:val="22"/>
        </w:rPr>
      </w:pPr>
    </w:p>
    <w:p w14:paraId="756B4E7D" w14:textId="07583025" w:rsidR="008E5020" w:rsidRDefault="00C26E10" w:rsidP="00C26E10">
      <w:pPr>
        <w:pStyle w:val="Heading2"/>
        <w:rPr>
          <w:color w:val="C00000"/>
        </w:rPr>
      </w:pPr>
      <w:r w:rsidRPr="00C26E10">
        <w:rPr>
          <w:color w:val="C00000"/>
        </w:rPr>
        <w:lastRenderedPageBreak/>
        <w:t>DISCUSSION</w:t>
      </w:r>
      <w:r w:rsidR="00BE716F">
        <w:rPr>
          <w:color w:val="C00000"/>
        </w:rPr>
        <w:t>S</w:t>
      </w:r>
    </w:p>
    <w:p w14:paraId="689DEC0B" w14:textId="3FBC2692" w:rsidR="00930E1D" w:rsidRDefault="00244F6E" w:rsidP="00930E1D">
      <w:r>
        <w:t xml:space="preserve">The findings suggest that although renting is a real challenge for </w:t>
      </w:r>
      <w:r w:rsidR="005639C4">
        <w:t>tenants</w:t>
      </w:r>
      <w:r>
        <w:t xml:space="preserve"> to adopt solar systems in their homes, they are not the main factor affecting the state-wide solar adoption rate. Between 2011 and 2021, the market shifted from many smaller installations to fewer but larger or more capable ones without any major changes in homeownership demographics. </w:t>
      </w:r>
    </w:p>
    <w:p w14:paraId="5293021B" w14:textId="07894F46" w:rsidR="008009A7" w:rsidRDefault="008009A7" w:rsidP="00930E1D">
      <w:r>
        <w:t xml:space="preserve">For ARENA stakeholders, this indicates that demographic profiling for making future strategies or policies based on housing tenure is an inefficient method. The data suggests that other factors – including technical, environmental or social factors – are overriding the friction of housing tenure. </w:t>
      </w:r>
    </w:p>
    <w:p w14:paraId="5C7EB776" w14:textId="77777777" w:rsidR="008009A7" w:rsidRDefault="008009A7" w:rsidP="00930E1D"/>
    <w:p w14:paraId="5F07B5A3" w14:textId="15DC83EE" w:rsidR="008009A7" w:rsidRDefault="008009A7" w:rsidP="008009A7">
      <w:pPr>
        <w:pStyle w:val="Heading2"/>
        <w:rPr>
          <w:color w:val="C00000"/>
        </w:rPr>
      </w:pPr>
      <w:r>
        <w:rPr>
          <w:color w:val="C00000"/>
        </w:rPr>
        <w:t>RECOMMENDATIONS</w:t>
      </w:r>
    </w:p>
    <w:p w14:paraId="15F5D255" w14:textId="751C9495" w:rsidR="00670805" w:rsidRPr="00670805" w:rsidRDefault="00F645B5" w:rsidP="00670805">
      <w:pPr>
        <w:pStyle w:val="ListBullet"/>
        <w:rPr>
          <w:lang w:val="en-AU"/>
        </w:rPr>
      </w:pPr>
      <w:r>
        <w:rPr>
          <w:rStyle w:val="Emphasis"/>
        </w:rPr>
        <w:t>Update Planning Metrics</w:t>
      </w:r>
      <w:r w:rsidR="00670805">
        <w:rPr>
          <w:rStyle w:val="Emphasis"/>
        </w:rPr>
        <w:t>:</w:t>
      </w:r>
      <w:r w:rsidR="00670805">
        <w:rPr>
          <w:rStyle w:val="Emphasis"/>
        </w:rPr>
        <w:t xml:space="preserve"> </w:t>
      </w:r>
      <w:r w:rsidRPr="00F645B5">
        <w:t xml:space="preserve">ARENA should </w:t>
      </w:r>
      <w:r>
        <w:t>change</w:t>
      </w:r>
      <w:r w:rsidRPr="00F645B5">
        <w:t xml:space="preserve"> its focus away from homeownership rates when</w:t>
      </w:r>
      <w:r>
        <w:t xml:space="preserve"> making</w:t>
      </w:r>
      <w:r w:rsidRPr="00F645B5">
        <w:t xml:space="preserve"> future solar adoption</w:t>
      </w:r>
      <w:r>
        <w:t xml:space="preserve"> strategies and policies. </w:t>
      </w:r>
    </w:p>
    <w:p w14:paraId="1292CB84" w14:textId="5E3C1060" w:rsidR="00670805" w:rsidRDefault="00F645B5" w:rsidP="00670805">
      <w:pPr>
        <w:pStyle w:val="ListBullet"/>
      </w:pPr>
      <w:r w:rsidRPr="00F645B5">
        <w:rPr>
          <w:b/>
          <w:bCs/>
          <w:iCs/>
        </w:rPr>
        <w:t>Prioritize</w:t>
      </w:r>
      <w:r w:rsidRPr="00F645B5">
        <w:rPr>
          <w:b/>
          <w:bCs/>
          <w:iCs/>
        </w:rPr>
        <w:t xml:space="preserve"> Capacity over Volume:</w:t>
      </w:r>
      <w:r w:rsidR="00670805" w:rsidRPr="00704665">
        <w:t xml:space="preserve"> </w:t>
      </w:r>
      <w:r w:rsidRPr="00F645B5">
        <w:t>The market is naturally moving toward larger solar systems. Future policies should focus on battery storage and grid integration for these larger systems, rather than just trying to increase the total number of new installations.</w:t>
      </w:r>
    </w:p>
    <w:p w14:paraId="2496491E" w14:textId="6D6D2C6B" w:rsidR="00670805" w:rsidRPr="00F645B5" w:rsidRDefault="00F645B5" w:rsidP="00670805">
      <w:pPr>
        <w:pStyle w:val="ListBullet"/>
        <w:rPr>
          <w:iCs/>
        </w:rPr>
      </w:pPr>
      <w:r w:rsidRPr="00F645B5">
        <w:rPr>
          <w:rStyle w:val="Emphasis"/>
        </w:rPr>
        <w:t>Further Research</w:t>
      </w:r>
      <w:r>
        <w:rPr>
          <w:rStyle w:val="Emphasis"/>
        </w:rPr>
        <w:t xml:space="preserve">: </w:t>
      </w:r>
      <w:r w:rsidRPr="00F645B5">
        <w:rPr>
          <w:iCs/>
        </w:rPr>
        <w:t>Future analysis should test environmental</w:t>
      </w:r>
      <w:r>
        <w:rPr>
          <w:iCs/>
        </w:rPr>
        <w:t xml:space="preserve"> and social</w:t>
      </w:r>
      <w:r w:rsidRPr="00F645B5">
        <w:rPr>
          <w:iCs/>
        </w:rPr>
        <w:t xml:space="preserve"> factors. Combining this dwelling data with weather data (such as sunlight hours from the Open-</w:t>
      </w:r>
      <w:proofErr w:type="spellStart"/>
      <w:r w:rsidRPr="00F645B5">
        <w:rPr>
          <w:iCs/>
        </w:rPr>
        <w:t>Meteo</w:t>
      </w:r>
      <w:proofErr w:type="spellEnd"/>
      <w:r w:rsidRPr="00F645B5">
        <w:rPr>
          <w:iCs/>
        </w:rPr>
        <w:t xml:space="preserve"> API) will likely explain the state-by-state differences much better than housing</w:t>
      </w:r>
      <w:r>
        <w:rPr>
          <w:iCs/>
        </w:rPr>
        <w:t xml:space="preserve"> tenure</w:t>
      </w:r>
      <w:r w:rsidRPr="00F645B5">
        <w:rPr>
          <w:iCs/>
        </w:rPr>
        <w:t xml:space="preserve"> </w:t>
      </w:r>
      <w:r>
        <w:rPr>
          <w:iCs/>
        </w:rPr>
        <w:t xml:space="preserve">data. </w:t>
      </w:r>
    </w:p>
    <w:p w14:paraId="347FC649" w14:textId="77777777" w:rsidR="00670805" w:rsidRPr="00F645B5" w:rsidRDefault="00670805" w:rsidP="00670805">
      <w:pPr>
        <w:pStyle w:val="ListBullet"/>
        <w:numPr>
          <w:ilvl w:val="0"/>
          <w:numId w:val="0"/>
        </w:numPr>
        <w:ind w:left="720" w:hanging="360"/>
        <w:rPr>
          <w:b/>
          <w:bCs/>
          <w:iCs/>
        </w:rPr>
      </w:pPr>
    </w:p>
    <w:p w14:paraId="4D4DA2EC" w14:textId="2F552AE6" w:rsidR="00670805" w:rsidRDefault="00670805" w:rsidP="00670805">
      <w:pPr>
        <w:pStyle w:val="Heading2"/>
        <w:rPr>
          <w:color w:val="C00000"/>
        </w:rPr>
      </w:pPr>
      <w:r>
        <w:rPr>
          <w:color w:val="C00000"/>
        </w:rPr>
        <w:t>REFERENCES</w:t>
      </w:r>
    </w:p>
    <w:p w14:paraId="699B8EF6" w14:textId="771C09BE" w:rsidR="00F645B5" w:rsidRDefault="00F645B5" w:rsidP="00F645B5">
      <w:pPr>
        <w:pStyle w:val="ListBullet"/>
        <w:numPr>
          <w:ilvl w:val="0"/>
          <w:numId w:val="0"/>
        </w:numPr>
        <w:ind w:left="360" w:hanging="360"/>
        <w:rPr>
          <w:bCs/>
          <w:iCs/>
        </w:rPr>
      </w:pPr>
      <w:r w:rsidRPr="00F645B5">
        <w:rPr>
          <w:bCs/>
          <w:iCs/>
        </w:rPr>
        <w:t xml:space="preserve">Australian Bureau of Statistics (ABS). (2011, 2016, 2021). </w:t>
      </w:r>
      <w:r w:rsidRPr="00F645B5">
        <w:rPr>
          <w:bCs/>
          <w:i/>
          <w:iCs/>
        </w:rPr>
        <w:t>Census of Population and Housing</w:t>
      </w:r>
      <w:r w:rsidRPr="00F645B5">
        <w:rPr>
          <w:bCs/>
          <w:iCs/>
        </w:rPr>
        <w:t>.</w:t>
      </w:r>
    </w:p>
    <w:p w14:paraId="0FC875E5" w14:textId="4468C12A" w:rsidR="00F645B5" w:rsidRDefault="00F645B5" w:rsidP="00F645B5">
      <w:pPr>
        <w:pStyle w:val="ListBullet"/>
        <w:numPr>
          <w:ilvl w:val="0"/>
          <w:numId w:val="0"/>
        </w:numPr>
        <w:ind w:left="360" w:hanging="360"/>
        <w:rPr>
          <w:bCs/>
          <w:iCs/>
        </w:rPr>
      </w:pPr>
      <w:hyperlink r:id="rId17" w:history="1">
        <w:r w:rsidRPr="00F42DCA">
          <w:rPr>
            <w:rStyle w:val="Hyperlink"/>
            <w:bCs/>
            <w:iCs/>
          </w:rPr>
          <w:t>https://www.abs.gov.au/census/find-census-data/datapacks</w:t>
        </w:r>
      </w:hyperlink>
    </w:p>
    <w:p w14:paraId="23323745" w14:textId="77777777" w:rsidR="00F645B5" w:rsidRPr="00F645B5" w:rsidRDefault="00F645B5" w:rsidP="00F645B5"/>
    <w:p w14:paraId="5A474A0E" w14:textId="77777777" w:rsidR="00670805" w:rsidRPr="00670805" w:rsidRDefault="00670805" w:rsidP="00670805"/>
    <w:p w14:paraId="201D1E9A" w14:textId="77777777" w:rsidR="008009A7" w:rsidRDefault="008009A7" w:rsidP="00930E1D"/>
    <w:p w14:paraId="685C91B1" w14:textId="77777777" w:rsidR="00930E1D" w:rsidRPr="00930E1D" w:rsidRDefault="00930E1D" w:rsidP="00930E1D"/>
    <w:p w14:paraId="16E3D529" w14:textId="77777777" w:rsidR="00B452EA" w:rsidRPr="00B452EA" w:rsidRDefault="00B452EA" w:rsidP="00B452EA"/>
    <w:sectPr w:rsidR="00B452EA" w:rsidRPr="00B452EA"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0065" w14:textId="77777777" w:rsidR="00F35410" w:rsidRDefault="00F35410" w:rsidP="00E14577">
      <w:pPr>
        <w:spacing w:before="0" w:line="240" w:lineRule="auto"/>
      </w:pPr>
      <w:r>
        <w:separator/>
      </w:r>
    </w:p>
  </w:endnote>
  <w:endnote w:type="continuationSeparator" w:id="0">
    <w:p w14:paraId="18033FC9" w14:textId="77777777" w:rsidR="00F35410" w:rsidRDefault="00F35410"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4991"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64726DE7" wp14:editId="59D9178A">
              <wp:simplePos x="0" y="0"/>
              <wp:positionH relativeFrom="column">
                <wp:posOffset>-731520</wp:posOffset>
              </wp:positionH>
              <wp:positionV relativeFrom="page">
                <wp:posOffset>9420225</wp:posOffset>
              </wp:positionV>
              <wp:extent cx="7772400" cy="64008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84FE3AE" id="Rectangle 1" o:spid="_x0000_s1026" alt="&quot;&quot;" style="position:absolute;margin-left:-57.6pt;margin-top:741.75pt;width:612pt;height:50.4pt;z-index:-251655168;visibility:visible;mso-wrap-style:square;mso-width-percent:1000;mso-height-percent:0;mso-wrap-distance-left:9pt;mso-wrap-distance-top:0;mso-wrap-distance-right:9pt;mso-wrap-distance-bottom:0;mso-position-horizontal:absolute;mso-position-horizontal-relative:text;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" fillcolor="#fde700 [3206]" stroked="f" strokeweight="1pt">
              <w10:wrap anchory="page"/>
              <w10:anchorlock/>
            </v:rect>
          </w:pict>
        </mc:Fallback>
      </mc:AlternateContent>
    </w:r>
  </w:p>
  <w:p w14:paraId="270E1327" w14:textId="77777777" w:rsidR="00E14577" w:rsidRDefault="00E14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A726" w14:textId="77777777" w:rsidR="00F35410" w:rsidRDefault="00F35410" w:rsidP="00E14577">
      <w:pPr>
        <w:spacing w:before="0" w:line="240" w:lineRule="auto"/>
      </w:pPr>
      <w:r>
        <w:separator/>
      </w:r>
    </w:p>
  </w:footnote>
  <w:footnote w:type="continuationSeparator" w:id="0">
    <w:p w14:paraId="4AFCA0C3" w14:textId="77777777" w:rsidR="00F35410" w:rsidRDefault="00F35410"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14:paraId="75B76F0D"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2C3A17"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Content>
      <w:p w14:paraId="0697F21B"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0D134CDB" wp14:editId="031DAECE">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F9134"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" fillcolor="#fde700 [3206]"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2FAB16"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C7F63E7"/>
    <w:multiLevelType w:val="hybridMultilevel"/>
    <w:tmpl w:val="697AEE06"/>
    <w:lvl w:ilvl="0" w:tplc="CD8A9DB4">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323ED"/>
    <w:multiLevelType w:val="hybridMultilevel"/>
    <w:tmpl w:val="9FCAA4B8"/>
    <w:lvl w:ilvl="0" w:tplc="F66AEABA">
      <w:numFmt w:val="bullet"/>
      <w:lvlText w:val="-"/>
      <w:lvlJc w:val="left"/>
      <w:pPr>
        <w:ind w:left="720" w:hanging="360"/>
      </w:pPr>
      <w:rPr>
        <w:rFonts w:ascii="Franklin Gothic Book" w:eastAsiaTheme="minorEastAsia" w:hAnsi="Franklin Gothic Book"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742C33"/>
    <w:multiLevelType w:val="hybridMultilevel"/>
    <w:tmpl w:val="C680986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507405310">
    <w:abstractNumId w:val="2"/>
  </w:num>
  <w:num w:numId="2" w16cid:durableId="1276593716">
    <w:abstractNumId w:val="0"/>
  </w:num>
  <w:num w:numId="3" w16cid:durableId="339234800">
    <w:abstractNumId w:val="3"/>
  </w:num>
  <w:num w:numId="4" w16cid:durableId="1855025238">
    <w:abstractNumId w:val="4"/>
  </w:num>
  <w:num w:numId="5" w16cid:durableId="2140881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99"/>
    <w:rsid w:val="000B4D3B"/>
    <w:rsid w:val="001040D4"/>
    <w:rsid w:val="00113F44"/>
    <w:rsid w:val="00187C41"/>
    <w:rsid w:val="00244F6E"/>
    <w:rsid w:val="0025158E"/>
    <w:rsid w:val="002A1D15"/>
    <w:rsid w:val="0031402F"/>
    <w:rsid w:val="00343286"/>
    <w:rsid w:val="003720F4"/>
    <w:rsid w:val="00380DD3"/>
    <w:rsid w:val="00390209"/>
    <w:rsid w:val="003A1467"/>
    <w:rsid w:val="003A2598"/>
    <w:rsid w:val="003C44A7"/>
    <w:rsid w:val="00421A37"/>
    <w:rsid w:val="00436ED6"/>
    <w:rsid w:val="00485DB8"/>
    <w:rsid w:val="004C6124"/>
    <w:rsid w:val="004C774D"/>
    <w:rsid w:val="0052119A"/>
    <w:rsid w:val="00523A54"/>
    <w:rsid w:val="00542955"/>
    <w:rsid w:val="005639C4"/>
    <w:rsid w:val="006256E2"/>
    <w:rsid w:val="00670805"/>
    <w:rsid w:val="006843C8"/>
    <w:rsid w:val="006B1ECB"/>
    <w:rsid w:val="00736C40"/>
    <w:rsid w:val="0077342D"/>
    <w:rsid w:val="00777C1A"/>
    <w:rsid w:val="00797982"/>
    <w:rsid w:val="007B7736"/>
    <w:rsid w:val="007F2A50"/>
    <w:rsid w:val="008009A7"/>
    <w:rsid w:val="008628A3"/>
    <w:rsid w:val="008927C0"/>
    <w:rsid w:val="008A5444"/>
    <w:rsid w:val="008A6801"/>
    <w:rsid w:val="008D3879"/>
    <w:rsid w:val="008D64AD"/>
    <w:rsid w:val="008E5020"/>
    <w:rsid w:val="00930E1D"/>
    <w:rsid w:val="00931508"/>
    <w:rsid w:val="00983B2E"/>
    <w:rsid w:val="009B07AD"/>
    <w:rsid w:val="009C36B2"/>
    <w:rsid w:val="009D6230"/>
    <w:rsid w:val="00A33B91"/>
    <w:rsid w:val="00A73656"/>
    <w:rsid w:val="00AC2723"/>
    <w:rsid w:val="00AC4272"/>
    <w:rsid w:val="00AD2E99"/>
    <w:rsid w:val="00B009DD"/>
    <w:rsid w:val="00B452EA"/>
    <w:rsid w:val="00B561B6"/>
    <w:rsid w:val="00B62D04"/>
    <w:rsid w:val="00BA7FA2"/>
    <w:rsid w:val="00BB0DB8"/>
    <w:rsid w:val="00BD267F"/>
    <w:rsid w:val="00BE716F"/>
    <w:rsid w:val="00C26E10"/>
    <w:rsid w:val="00C865DF"/>
    <w:rsid w:val="00CE7254"/>
    <w:rsid w:val="00CF1539"/>
    <w:rsid w:val="00D21B1E"/>
    <w:rsid w:val="00D30526"/>
    <w:rsid w:val="00D41196"/>
    <w:rsid w:val="00D81EA7"/>
    <w:rsid w:val="00D96396"/>
    <w:rsid w:val="00DB7B3F"/>
    <w:rsid w:val="00E14577"/>
    <w:rsid w:val="00E14EAE"/>
    <w:rsid w:val="00E9289F"/>
    <w:rsid w:val="00EA5E9E"/>
    <w:rsid w:val="00EE3FD7"/>
    <w:rsid w:val="00F35410"/>
    <w:rsid w:val="00F645B5"/>
    <w:rsid w:val="00F944C0"/>
    <w:rsid w:val="00FB0D9C"/>
    <w:rsid w:val="00FD017A"/>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85CED"/>
  <w15:chartTrackingRefBased/>
  <w15:docId w15:val="{8D87490E-AA69-437C-9FD5-59DE1BF3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EE3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s://www.abs.gov.au/census/find-census-data/datapacks" TargetMode="Externa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bs.gov.au/census/find-census-data/datap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nhq\AppData\Roaming\Microsoft\Templates\Business%20report%20(professional%20design).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report (professional design).dotx</Template>
  <TotalTime>180</TotalTime>
  <Pages>6</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Mai</dc:creator>
  <cp:keywords/>
  <dc:description/>
  <cp:lastModifiedBy>Quan Mai</cp:lastModifiedBy>
  <cp:revision>233</cp:revision>
  <cp:lastPrinted>2025-05-01T20:47:00Z</cp:lastPrinted>
  <dcterms:created xsi:type="dcterms:W3CDTF">2026-10-09T03:10:00Z</dcterms:created>
  <dcterms:modified xsi:type="dcterms:W3CDTF">2026-10-09T15:31:00Z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