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3519B" w14:textId="77777777" w:rsidR="00E14577" w:rsidRDefault="00E14577">
      <w:r w:rsidRPr="00465AC6">
        <w:rPr>
          <w:noProof/>
        </w:rPr>
        <w:drawing>
          <wp:anchor distT="0" distB="0" distL="114300" distR="114300" simplePos="0" relativeHeight="251659264" behindDoc="1" locked="1" layoutInCell="1" allowOverlap="1" wp14:anchorId="0CB72612" wp14:editId="397EFEA7">
            <wp:simplePos x="0" y="0"/>
            <wp:positionH relativeFrom="column">
              <wp:posOffset>-733425</wp:posOffset>
            </wp:positionH>
            <wp:positionV relativeFrom="paragraph">
              <wp:posOffset>-2746375</wp:posOffset>
            </wp:positionV>
            <wp:extent cx="7772400" cy="10058400"/>
            <wp:effectExtent l="0" t="0" r="0" b="0"/>
            <wp:wrapNone/>
            <wp:docPr id="1" name="Picture 1" descr="detail of city buildings in black&amp;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-13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" r="11"/>
                    <a:stretch/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5AC6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1" layoutInCell="1" allowOverlap="1" wp14:anchorId="45737153" wp14:editId="51F8BA2B">
                <wp:simplePos x="0" y="0"/>
                <wp:positionH relativeFrom="column">
                  <wp:posOffset>-731520</wp:posOffset>
                </wp:positionH>
                <wp:positionV relativeFrom="paragraph">
                  <wp:posOffset>273050</wp:posOffset>
                </wp:positionV>
                <wp:extent cx="6702425" cy="4023360"/>
                <wp:effectExtent l="0" t="0" r="3175" b="0"/>
                <wp:wrapNone/>
                <wp:docPr id="2" name="Rectangle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2425" cy="402336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61822D" id="Rectangle 2" o:spid="_x0000_s1026" alt="&quot;&quot;" style="position:absolute;margin-left:-57.6pt;margin-top:21.5pt;width:527.75pt;height:316.8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" fillcolor="#fde700 [3206]" stroked="f" strokeweight="1pt">
                <w10:anchorlock/>
              </v:rect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6"/>
        <w:gridCol w:w="3005"/>
      </w:tblGrid>
      <w:tr w:rsidR="00A73656" w14:paraId="6DCDCE93" w14:textId="77777777" w:rsidTr="00931508">
        <w:trPr>
          <w:trHeight w:val="2106"/>
        </w:trPr>
        <w:tc>
          <w:tcPr>
            <w:tcW w:w="6011" w:type="dxa"/>
            <w:gridSpan w:val="2"/>
            <w:tcMar>
              <w:top w:w="576" w:type="dxa"/>
              <w:left w:w="115" w:type="dxa"/>
              <w:right w:w="115" w:type="dxa"/>
            </w:tcMar>
          </w:tcPr>
          <w:p w14:paraId="2D178959" w14:textId="6E0D26E3" w:rsidR="00A73656" w:rsidRPr="00AD2E99" w:rsidRDefault="00AD2E99" w:rsidP="00931508">
            <w:pPr>
              <w:pStyle w:val="Title"/>
              <w:rPr>
                <w:sz w:val="72"/>
                <w:szCs w:val="72"/>
              </w:rPr>
            </w:pPr>
            <w:r w:rsidRPr="00AD2E99">
              <w:rPr>
                <w:sz w:val="72"/>
                <w:szCs w:val="72"/>
              </w:rPr>
              <w:t xml:space="preserve">AN ANALYSIS ON SOLAR ADOPTION RATE across AUSTRALIA </w:t>
            </w:r>
          </w:p>
          <w:p w14:paraId="0C755CEE" w14:textId="14777D36" w:rsidR="00AD2E99" w:rsidRPr="00AD2E99" w:rsidRDefault="00AD2E99" w:rsidP="00AD2E99"/>
          <w:p w14:paraId="028E6D5F" w14:textId="27C0A2B4" w:rsidR="00AD2E99" w:rsidRPr="00AD2E99" w:rsidRDefault="00AD2E99" w:rsidP="00AD2E99"/>
        </w:tc>
        <w:tc>
          <w:tcPr>
            <w:tcW w:w="3005" w:type="dxa"/>
            <w:tcMar>
              <w:top w:w="576" w:type="dxa"/>
            </w:tcMar>
          </w:tcPr>
          <w:p w14:paraId="2D06829F" w14:textId="77777777" w:rsidR="00A73656" w:rsidRDefault="00A73656" w:rsidP="00F85F7C">
            <w:pPr>
              <w:spacing w:after="200"/>
            </w:pPr>
          </w:p>
        </w:tc>
      </w:tr>
      <w:tr w:rsidR="00A73656" w14:paraId="0ACEF453" w14:textId="77777777" w:rsidTr="00931508">
        <w:trPr>
          <w:trHeight w:val="891"/>
        </w:trPr>
        <w:tc>
          <w:tcPr>
            <w:tcW w:w="6011" w:type="dxa"/>
            <w:gridSpan w:val="2"/>
            <w:tcMar>
              <w:top w:w="1080" w:type="dxa"/>
              <w:left w:w="115" w:type="dxa"/>
              <w:right w:w="115" w:type="dxa"/>
            </w:tcMar>
          </w:tcPr>
          <w:p w14:paraId="2AD06F0A" w14:textId="27E2DF6C" w:rsidR="00AD2E99" w:rsidRPr="00D41196" w:rsidRDefault="00AD2E99" w:rsidP="00931508">
            <w:pPr>
              <w:pStyle w:val="Bold"/>
            </w:pPr>
            <w:r>
              <w:t>QUAN MAI</w:t>
            </w:r>
          </w:p>
          <w:p w14:paraId="01F667AF" w14:textId="77777777" w:rsidR="00A73656" w:rsidRDefault="00A73656" w:rsidP="00931508">
            <w:pPr>
              <w:pStyle w:val="Bold"/>
            </w:pPr>
          </w:p>
        </w:tc>
        <w:tc>
          <w:tcPr>
            <w:tcW w:w="3005" w:type="dxa"/>
            <w:tcMar>
              <w:top w:w="1080" w:type="dxa"/>
              <w:left w:w="115" w:type="dxa"/>
              <w:right w:w="115" w:type="dxa"/>
            </w:tcMar>
          </w:tcPr>
          <w:p w14:paraId="64F44A30" w14:textId="77777777" w:rsidR="00A73656" w:rsidRDefault="00A73656" w:rsidP="00931508">
            <w:pPr>
              <w:spacing w:after="200"/>
            </w:pPr>
          </w:p>
        </w:tc>
      </w:tr>
      <w:tr w:rsidR="00A73656" w:rsidRPr="00C96056" w14:paraId="5D780C52" w14:textId="77777777" w:rsidTr="00F85F7C">
        <w:trPr>
          <w:trHeight w:val="2207"/>
        </w:trPr>
        <w:tc>
          <w:tcPr>
            <w:tcW w:w="3005" w:type="dxa"/>
          </w:tcPr>
          <w:p w14:paraId="407FD950" w14:textId="77777777" w:rsidR="00A73656" w:rsidRPr="007B7736" w:rsidRDefault="00A73656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  <w:r w:rsidRPr="007B7736">
              <w:rPr>
                <w:sz w:val="24"/>
              </w:rPr>
              <w:t>Prepared by </w:t>
            </w:r>
          </w:p>
          <w:p w14:paraId="03C09EA5" w14:textId="77777777" w:rsidR="00A73656" w:rsidRDefault="00A73656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  <w:r w:rsidRPr="007B7736">
              <w:rPr>
                <w:sz w:val="24"/>
              </w:rPr>
              <w:t>Seyhan Can</w:t>
            </w:r>
          </w:p>
          <w:p w14:paraId="0F92C57C" w14:textId="77777777" w:rsidR="00DB7B3F" w:rsidRDefault="00DB7B3F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</w:p>
          <w:p w14:paraId="0CAED99A" w14:textId="77777777" w:rsidR="00DB7B3F" w:rsidRDefault="00DB7B3F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</w:p>
          <w:p w14:paraId="2ADE9B39" w14:textId="77777777" w:rsidR="00DB7B3F" w:rsidRDefault="00DB7B3F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</w:p>
          <w:p w14:paraId="38F5AEFA" w14:textId="77777777" w:rsidR="00DB7B3F" w:rsidRPr="007B7736" w:rsidRDefault="00DB7B3F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</w:p>
        </w:tc>
        <w:tc>
          <w:tcPr>
            <w:tcW w:w="3006" w:type="dxa"/>
          </w:tcPr>
          <w:p w14:paraId="44467B6C" w14:textId="77777777" w:rsidR="00A73656" w:rsidRPr="007B7736" w:rsidRDefault="00A73656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  <w:r w:rsidRPr="007B7736">
              <w:rPr>
                <w:sz w:val="24"/>
              </w:rPr>
              <w:t>5678 Mountain Drive, </w:t>
            </w:r>
          </w:p>
          <w:p w14:paraId="5EF9A677" w14:textId="77777777" w:rsidR="00A73656" w:rsidRPr="007B7736" w:rsidRDefault="00A73656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  <w:r w:rsidRPr="007B7736">
              <w:rPr>
                <w:sz w:val="24"/>
              </w:rPr>
              <w:t>Denver, CO 12345  </w:t>
            </w:r>
          </w:p>
        </w:tc>
        <w:tc>
          <w:tcPr>
            <w:tcW w:w="3005" w:type="dxa"/>
          </w:tcPr>
          <w:p w14:paraId="2A7400F8" w14:textId="77777777" w:rsidR="00A73656" w:rsidRPr="007B7736" w:rsidRDefault="00A73656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  <w:r w:rsidRPr="007B7736">
              <w:rPr>
                <w:sz w:val="24"/>
              </w:rPr>
              <w:t>219-555-0148</w:t>
            </w:r>
          </w:p>
          <w:p w14:paraId="3F55E67C" w14:textId="77777777" w:rsidR="00A73656" w:rsidRPr="007B7736" w:rsidRDefault="00A73656" w:rsidP="00F85F7C">
            <w:pPr>
              <w:pStyle w:val="Info"/>
              <w:framePr w:hSpace="0" w:wrap="auto" w:vAnchor="margin" w:hAnchor="text" w:yAlign="inline"/>
              <w:rPr>
                <w:sz w:val="24"/>
              </w:rPr>
            </w:pPr>
            <w:r w:rsidRPr="007B7736">
              <w:rPr>
                <w:sz w:val="24"/>
              </w:rPr>
              <w:t>www.vanarsdelltd.com</w:t>
            </w:r>
          </w:p>
        </w:tc>
      </w:tr>
      <w:tr w:rsidR="00A73656" w:rsidRPr="00C96056" w14:paraId="27C3E795" w14:textId="77777777" w:rsidTr="00F85F7C">
        <w:trPr>
          <w:trHeight w:val="1607"/>
        </w:trPr>
        <w:tc>
          <w:tcPr>
            <w:tcW w:w="9016" w:type="dxa"/>
            <w:gridSpan w:val="3"/>
          </w:tcPr>
          <w:p w14:paraId="617D877E" w14:textId="1AEA834A" w:rsidR="00A73656" w:rsidRPr="00C96056" w:rsidRDefault="00A73656" w:rsidP="00F85F7C">
            <w:pPr>
              <w:pStyle w:val="Heading1"/>
              <w:framePr w:hSpace="0" w:wrap="auto" w:vAnchor="margin" w:hAnchor="text" w:yAlign="inline"/>
            </w:pPr>
            <w:r w:rsidRPr="00CF1539">
              <w:t>20</w:t>
            </w:r>
            <w:r w:rsidR="00AD2E99">
              <w:t>26</w:t>
            </w:r>
          </w:p>
        </w:tc>
      </w:tr>
    </w:tbl>
    <w:p w14:paraId="61566709" w14:textId="77777777" w:rsidR="00A73656" w:rsidRDefault="00A73656" w:rsidP="00D41196">
      <w:pPr>
        <w:pStyle w:val="Heading2"/>
        <w:sectPr w:rsidR="00A73656" w:rsidSect="00A73656">
          <w:headerReference w:type="even" r:id="rId11"/>
          <w:headerReference w:type="default" r:id="rId12"/>
          <w:footerReference w:type="default" r:id="rId13"/>
          <w:pgSz w:w="12240" w:h="15840" w:code="1"/>
          <w:pgMar w:top="4320" w:right="1152" w:bottom="720" w:left="1152" w:header="432" w:footer="144" w:gutter="0"/>
          <w:cols w:space="720"/>
          <w:docGrid w:linePitch="360"/>
        </w:sectPr>
      </w:pPr>
    </w:p>
    <w:p w14:paraId="4ABB9DE2" w14:textId="0275A85D" w:rsidR="00E14577" w:rsidRPr="00EE3FD7" w:rsidRDefault="00BB0DB8" w:rsidP="00D41196">
      <w:pPr>
        <w:pStyle w:val="Heading2"/>
        <w:rPr>
          <w:color w:val="C00000"/>
        </w:rPr>
      </w:pPr>
      <w:r w:rsidRPr="00EE3FD7">
        <w:rPr>
          <w:color w:val="C00000"/>
        </w:rPr>
        <w:lastRenderedPageBreak/>
        <w:t>EXECUTIVE SUMMARY</w:t>
      </w:r>
    </w:p>
    <w:p w14:paraId="0B394C4E" w14:textId="5BA506C5" w:rsidR="00AD2E99" w:rsidRPr="00AD2E99" w:rsidRDefault="00AD2E99" w:rsidP="00AD2E99">
      <w:pPr>
        <w:pStyle w:val="Heading2"/>
        <w:rPr>
          <w:rFonts w:asciiTheme="minorHAnsi" w:hAnsiTheme="minorHAnsi"/>
          <w:b w:val="0"/>
          <w:bCs w:val="0"/>
          <w:noProof w:val="0"/>
          <w:szCs w:val="22"/>
        </w:rPr>
      </w:pPr>
      <w:r w:rsidRPr="00AD2E99">
        <w:rPr>
          <w:rFonts w:asciiTheme="minorHAnsi" w:hAnsiTheme="minorHAnsi"/>
          <w:b w:val="0"/>
          <w:bCs w:val="0"/>
          <w:noProof w:val="0"/>
          <w:szCs w:val="22"/>
        </w:rPr>
        <w:t xml:space="preserve">This analysis investigates the hypothesis regarding Australian solar adoption, specifically testing whether </w:t>
      </w:r>
      <w:r>
        <w:rPr>
          <w:rFonts w:asciiTheme="minorHAnsi" w:hAnsiTheme="minorHAnsi"/>
          <w:b w:val="0"/>
          <w:bCs w:val="0"/>
          <w:noProof w:val="0"/>
          <w:szCs w:val="22"/>
        </w:rPr>
        <w:t>housing</w:t>
      </w:r>
      <w:r w:rsidRPr="00AD2E99">
        <w:rPr>
          <w:rFonts w:asciiTheme="minorHAnsi" w:hAnsiTheme="minorHAnsi"/>
          <w:b w:val="0"/>
          <w:bCs w:val="0"/>
          <w:noProof w:val="0"/>
          <w:szCs w:val="22"/>
        </w:rPr>
        <w:t xml:space="preserve"> tenure (homeownership versus renting) acts as the primary</w:t>
      </w:r>
      <w:r>
        <w:rPr>
          <w:rFonts w:asciiTheme="minorHAnsi" w:hAnsiTheme="minorHAnsi"/>
          <w:b w:val="0"/>
          <w:bCs w:val="0"/>
          <w:noProof w:val="0"/>
          <w:szCs w:val="22"/>
        </w:rPr>
        <w:t xml:space="preserve"> barrier or</w:t>
      </w:r>
      <w:r w:rsidRPr="00AD2E99">
        <w:rPr>
          <w:rFonts w:asciiTheme="minorHAnsi" w:hAnsiTheme="minorHAnsi"/>
          <w:b w:val="0"/>
          <w:bCs w:val="0"/>
          <w:noProof w:val="0"/>
          <w:szCs w:val="22"/>
        </w:rPr>
        <w:t xml:space="preserve"> driver for residential solar installations</w:t>
      </w:r>
      <w:r>
        <w:rPr>
          <w:rFonts w:asciiTheme="minorHAnsi" w:hAnsiTheme="minorHAnsi"/>
          <w:b w:val="0"/>
          <w:bCs w:val="0"/>
          <w:noProof w:val="0"/>
          <w:szCs w:val="22"/>
        </w:rPr>
        <w:t xml:space="preserve"> and consumptions. </w:t>
      </w:r>
    </w:p>
    <w:p w14:paraId="0B04E5FD" w14:textId="1A36030D" w:rsidR="00AD2E99" w:rsidRDefault="00AD2E99" w:rsidP="00AD2E99">
      <w:r w:rsidRPr="00AD2E99">
        <w:t xml:space="preserve">By </w:t>
      </w:r>
      <w:r>
        <w:t>including</w:t>
      </w:r>
      <w:r w:rsidRPr="00AD2E99">
        <w:t xml:space="preserve"> decade-spanning data from the ABS Census (2011, 2016, 2021), this report evaluated state-by-state installation volumes </w:t>
      </w:r>
      <w:r>
        <w:t>solar</w:t>
      </w:r>
      <w:r w:rsidRPr="00AD2E99">
        <w:t xml:space="preserve"> capacities</w:t>
      </w:r>
      <w:r>
        <w:t>.</w:t>
      </w:r>
    </w:p>
    <w:p w14:paraId="0E74A0B9" w14:textId="65019293" w:rsidR="00AD2E99" w:rsidRDefault="00AD2E99" w:rsidP="00AD2E99">
      <w:pPr>
        <w:rPr>
          <w:lang w:val="en-AU"/>
        </w:rPr>
      </w:pPr>
      <w:r w:rsidRPr="00AD2E99">
        <w:rPr>
          <w:lang w:val="en-AU"/>
        </w:rPr>
        <w:t xml:space="preserve">The </w:t>
      </w:r>
      <w:r>
        <w:rPr>
          <w:lang w:val="en-AU"/>
        </w:rPr>
        <w:t>results</w:t>
      </w:r>
      <w:r w:rsidRPr="00AD2E99">
        <w:rPr>
          <w:lang w:val="en-AU"/>
        </w:rPr>
        <w:t xml:space="preserve"> mathematically invalidate the hypothesis that housing tenure is the primary market driver. </w:t>
      </w:r>
    </w:p>
    <w:p w14:paraId="5AFFAB4E" w14:textId="77777777" w:rsidR="00AD2E99" w:rsidRDefault="00AD2E99" w:rsidP="00AD2E99">
      <w:pPr>
        <w:rPr>
          <w:lang w:val="en-AU"/>
        </w:rPr>
      </w:pPr>
      <w:r>
        <w:rPr>
          <w:lang w:val="en-AU"/>
        </w:rPr>
        <w:t>Despite</w:t>
      </w:r>
      <w:r w:rsidRPr="00AD2E99">
        <w:rPr>
          <w:lang w:val="en-AU"/>
        </w:rPr>
        <w:t xml:space="preserve"> homeownership rates remained static across the decade, solar capacity per dwelling experienced exponential growth. Furthermore, the market underwent a structural shift where the sheer volume of new installations decreased after 2011, but the physical capacity of installed system</w:t>
      </w:r>
      <w:r>
        <w:rPr>
          <w:lang w:val="en-AU"/>
        </w:rPr>
        <w:t>s increased</w:t>
      </w:r>
      <w:r w:rsidRPr="00AD2E99">
        <w:rPr>
          <w:lang w:val="en-AU"/>
        </w:rPr>
        <w:t xml:space="preserve">. </w:t>
      </w:r>
    </w:p>
    <w:p w14:paraId="38847B60" w14:textId="78EC60E0" w:rsidR="00AD2E99" w:rsidRPr="00AD2E99" w:rsidRDefault="00AD2E99" w:rsidP="00AD2E99">
      <w:pPr>
        <w:rPr>
          <w:lang w:val="en-AU"/>
        </w:rPr>
      </w:pPr>
      <w:r w:rsidRPr="00AD2E99">
        <w:rPr>
          <w:lang w:val="en-AU"/>
        </w:rPr>
        <w:t>Consequently,</w:t>
      </w:r>
      <w:r w:rsidR="00BB0DB8">
        <w:rPr>
          <w:lang w:val="en-AU"/>
        </w:rPr>
        <w:t xml:space="preserve"> strategies and policies </w:t>
      </w:r>
      <w:r w:rsidRPr="00AD2E99">
        <w:rPr>
          <w:lang w:val="en-AU"/>
        </w:rPr>
        <w:t>based on property ownership is not recommended for future ARENA initiatives</w:t>
      </w:r>
      <w:r>
        <w:rPr>
          <w:lang w:val="en-AU"/>
        </w:rPr>
        <w:t xml:space="preserve">, </w:t>
      </w:r>
      <w:r w:rsidRPr="00AD2E99">
        <w:rPr>
          <w:lang w:val="en-AU"/>
        </w:rPr>
        <w:t xml:space="preserve">instead, structural, technological, or environmental factors must be prioritised. </w:t>
      </w:r>
    </w:p>
    <w:p w14:paraId="02E4B051" w14:textId="77777777" w:rsidR="00AD2E99" w:rsidRPr="00AD2E99" w:rsidRDefault="00AD2E99" w:rsidP="00AD2E99"/>
    <w:p w14:paraId="768C4189" w14:textId="1ED31DC8" w:rsidR="00E14577" w:rsidRPr="00EE3FD7" w:rsidRDefault="00BB0DB8" w:rsidP="00D41196">
      <w:pPr>
        <w:pStyle w:val="Heading2"/>
        <w:rPr>
          <w:color w:val="C00000"/>
        </w:rPr>
      </w:pPr>
      <w:r w:rsidRPr="00EE3FD7">
        <w:rPr>
          <w:color w:val="C00000"/>
        </w:rPr>
        <w:t>INTRODUCTION</w:t>
      </w:r>
    </w:p>
    <w:p w14:paraId="7DBB2172" w14:textId="5C70D965" w:rsidR="00E14577" w:rsidRPr="00BB0DB8" w:rsidRDefault="00BB0DB8" w:rsidP="00D41196">
      <w:pPr>
        <w:pStyle w:val="ListBullet"/>
        <w:rPr>
          <w:lang w:val="en-AU"/>
        </w:rPr>
      </w:pPr>
      <w:r>
        <w:rPr>
          <w:rStyle w:val="Emphasis"/>
        </w:rPr>
        <w:t xml:space="preserve">Objectives: </w:t>
      </w:r>
      <w:r w:rsidRPr="00BB0DB8">
        <w:rPr>
          <w:iCs/>
          <w:lang w:val="en-AU"/>
        </w:rPr>
        <w:t xml:space="preserve">The primary goal is to test the hypothesis that state-level solar adoption is influenced by housing tenure. </w:t>
      </w:r>
      <w:r w:rsidRPr="00BB0DB8">
        <w:rPr>
          <w:iCs/>
          <w:lang w:val="en-AU"/>
        </w:rPr>
        <w:t>Specifically, renters are less likely to install solar energy systems, resulting in lower overall household solar energy consumption compared with owner-occupied households, whether the property is owned outright or financed through a mortgage</w:t>
      </w:r>
      <w:r>
        <w:rPr>
          <w:iCs/>
          <w:lang w:val="en-AU"/>
        </w:rPr>
        <w:t xml:space="preserve">. </w:t>
      </w:r>
      <w:r w:rsidRPr="00BB0DB8">
        <w:rPr>
          <w:lang w:val="en-AU"/>
        </w:rPr>
        <w:t>T</w:t>
      </w:r>
      <w:r w:rsidRPr="00BB0DB8">
        <w:rPr>
          <w:lang w:val="en-AU"/>
        </w:rPr>
        <w:t>he analysis aims to determine whether states with higher homeownership rates tend to exhibit higher rates of solar adoption.</w:t>
      </w:r>
    </w:p>
    <w:p w14:paraId="4E58BD9B" w14:textId="555985CB" w:rsidR="0031402F" w:rsidRDefault="00BB0DB8" w:rsidP="00D41196">
      <w:pPr>
        <w:pStyle w:val="ListBullet"/>
      </w:pPr>
      <w:r>
        <w:rPr>
          <w:rStyle w:val="Emphasis"/>
        </w:rPr>
        <w:t>Approach</w:t>
      </w:r>
      <w:r w:rsidR="00E14577" w:rsidRPr="00704665">
        <w:t xml:space="preserve">: </w:t>
      </w:r>
      <w:r w:rsidR="0031402F" w:rsidRPr="0031402F">
        <w:t>The study tracks three distinct ABS Census periods (2011, 2016, 2021) against corresponding solar installation</w:t>
      </w:r>
      <w:r w:rsidR="0031402F">
        <w:t xml:space="preserve"> and capacity</w:t>
      </w:r>
      <w:r w:rsidR="0031402F" w:rsidRPr="0031402F">
        <w:t xml:space="preserve"> data. By </w:t>
      </w:r>
      <w:r w:rsidR="0031402F" w:rsidRPr="0031402F">
        <w:t>standardizing</w:t>
      </w:r>
      <w:r w:rsidR="0031402F" w:rsidRPr="0031402F">
        <w:t xml:space="preserve"> raw solar output </w:t>
      </w:r>
      <w:r w:rsidR="0031402F">
        <w:t xml:space="preserve">and installation volumes </w:t>
      </w:r>
      <w:r w:rsidR="0031402F" w:rsidRPr="0031402F">
        <w:t xml:space="preserve">against dwelling counts and mapping it against </w:t>
      </w:r>
      <w:r w:rsidR="0031402F">
        <w:t>housing</w:t>
      </w:r>
      <w:r w:rsidR="0031402F" w:rsidRPr="0031402F">
        <w:t xml:space="preserve"> tenure profiles, the analysis evaluates trends independent of</w:t>
      </w:r>
      <w:r w:rsidR="0031402F">
        <w:t xml:space="preserve"> human</w:t>
      </w:r>
      <w:r w:rsidR="0031402F" w:rsidRPr="0031402F">
        <w:t xml:space="preserve"> population sizes</w:t>
      </w:r>
      <w:r w:rsidR="0031402F">
        <w:t xml:space="preserve">. </w:t>
      </w:r>
    </w:p>
    <w:p w14:paraId="6BE9F897" w14:textId="28DF4C37" w:rsidR="003C44A7" w:rsidRDefault="0031402F" w:rsidP="00D41196">
      <w:pPr>
        <w:pStyle w:val="ListBullet"/>
      </w:pPr>
      <w:r w:rsidRPr="0031402F">
        <w:t xml:space="preserve"> </w:t>
      </w:r>
      <w:r>
        <w:rPr>
          <w:rStyle w:val="Emphasis"/>
        </w:rPr>
        <w:t>Scope and restrictions</w:t>
      </w:r>
      <w:r w:rsidR="00E14577" w:rsidRPr="00704665">
        <w:t xml:space="preserve">: </w:t>
      </w:r>
      <w:r w:rsidRPr="0031402F">
        <w:t>The analysis is restricted to aggregated state</w:t>
      </w:r>
      <w:r>
        <w:t xml:space="preserve"> </w:t>
      </w:r>
      <w:r w:rsidRPr="0031402F">
        <w:t xml:space="preserve">level data. It does not account for </w:t>
      </w:r>
      <w:r>
        <w:t xml:space="preserve">other </w:t>
      </w:r>
      <w:r w:rsidRPr="0031402F">
        <w:t xml:space="preserve">variables such as local council rebates, household income, or specific property types (apartments </w:t>
      </w:r>
      <w:r>
        <w:t>or</w:t>
      </w:r>
      <w:r w:rsidRPr="0031402F">
        <w:t xml:space="preserve"> detached housing) which may also influence adoption rates.</w:t>
      </w:r>
    </w:p>
    <w:p w14:paraId="366416DB" w14:textId="77777777" w:rsidR="0031402F" w:rsidRDefault="0031402F" w:rsidP="0031402F">
      <w:pPr>
        <w:pStyle w:val="ListBullet"/>
        <w:numPr>
          <w:ilvl w:val="0"/>
          <w:numId w:val="0"/>
        </w:numPr>
        <w:ind w:left="720" w:hanging="360"/>
      </w:pPr>
    </w:p>
    <w:p w14:paraId="41D2034B" w14:textId="77777777" w:rsidR="0031402F" w:rsidRDefault="0031402F" w:rsidP="0031402F">
      <w:pPr>
        <w:pStyle w:val="ListBullet"/>
        <w:numPr>
          <w:ilvl w:val="0"/>
          <w:numId w:val="0"/>
        </w:numPr>
        <w:ind w:left="720" w:hanging="360"/>
      </w:pPr>
    </w:p>
    <w:p w14:paraId="09F2A2CF" w14:textId="77777777" w:rsidR="003C44A7" w:rsidRDefault="003C44A7" w:rsidP="003C44A7">
      <w:pPr>
        <w:pStyle w:val="Bold"/>
      </w:pPr>
    </w:p>
    <w:p w14:paraId="613ECAEB" w14:textId="77777777" w:rsidR="0031402F" w:rsidRDefault="0031402F" w:rsidP="003C44A7">
      <w:pPr>
        <w:pStyle w:val="Bold"/>
      </w:pPr>
    </w:p>
    <w:p w14:paraId="07F82639" w14:textId="6FCB9DB1" w:rsidR="0031402F" w:rsidRPr="00EE3FD7" w:rsidRDefault="0031402F" w:rsidP="0031402F">
      <w:pPr>
        <w:pStyle w:val="Heading2"/>
        <w:rPr>
          <w:color w:val="C00000"/>
        </w:rPr>
      </w:pPr>
      <w:r w:rsidRPr="00EE3FD7">
        <w:rPr>
          <w:color w:val="C00000"/>
        </w:rPr>
        <w:lastRenderedPageBreak/>
        <w:t>METHODOLOGY</w:t>
      </w:r>
    </w:p>
    <w:p w14:paraId="2F86D448" w14:textId="78E0F179" w:rsidR="0031402F" w:rsidRPr="00EE3FD7" w:rsidRDefault="0031402F" w:rsidP="0031402F">
      <w:pPr>
        <w:pStyle w:val="ListBullet"/>
        <w:rPr>
          <w:bCs/>
          <w:lang w:val="en-AU"/>
        </w:rPr>
      </w:pPr>
      <w:r w:rsidRPr="00EE3FD7">
        <w:rPr>
          <w:rStyle w:val="Emphasis"/>
        </w:rPr>
        <w:t>Data Sources</w:t>
      </w:r>
      <w:r>
        <w:rPr>
          <w:rStyle w:val="Emphasis"/>
        </w:rPr>
        <w:t xml:space="preserve">: </w:t>
      </w:r>
    </w:p>
    <w:p w14:paraId="2DB0F638" w14:textId="77777777" w:rsidR="00EE3FD7" w:rsidRDefault="00EE3FD7" w:rsidP="00EE3FD7">
      <w:pPr>
        <w:pStyle w:val="ListBullet"/>
        <w:numPr>
          <w:ilvl w:val="0"/>
          <w:numId w:val="0"/>
        </w:numPr>
        <w:ind w:left="720"/>
        <w:rPr>
          <w:bCs/>
          <w:iCs/>
        </w:rPr>
      </w:pPr>
      <w:r w:rsidRPr="00EE3FD7">
        <w:rPr>
          <w:bCs/>
          <w:iCs/>
        </w:rPr>
        <w:t>Population_by_State 2011_2025</w:t>
      </w:r>
    </w:p>
    <w:p w14:paraId="6787F49C" w14:textId="77777777" w:rsidR="00EE3FD7" w:rsidRDefault="00EE3FD7" w:rsidP="00EE3FD7">
      <w:pPr>
        <w:pStyle w:val="ListBullet"/>
        <w:numPr>
          <w:ilvl w:val="0"/>
          <w:numId w:val="0"/>
        </w:numPr>
        <w:ind w:left="720"/>
        <w:rPr>
          <w:bCs/>
          <w:iCs/>
        </w:rPr>
      </w:pPr>
      <w:r w:rsidRPr="00EE3FD7">
        <w:rPr>
          <w:bCs/>
          <w:iCs/>
        </w:rPr>
        <w:t>australian_postcodes</w:t>
      </w:r>
    </w:p>
    <w:p w14:paraId="6E3C36B3" w14:textId="77777777" w:rsidR="00EE3FD7" w:rsidRDefault="00EE3FD7" w:rsidP="00EE3FD7">
      <w:pPr>
        <w:pStyle w:val="ListBullet"/>
        <w:numPr>
          <w:ilvl w:val="0"/>
          <w:numId w:val="0"/>
        </w:numPr>
        <w:ind w:left="720"/>
        <w:rPr>
          <w:bCs/>
          <w:iCs/>
        </w:rPr>
      </w:pPr>
      <w:r w:rsidRPr="00EE3FD7">
        <w:rPr>
          <w:bCs/>
          <w:iCs/>
        </w:rPr>
        <w:t>sgu-solar-capacity-2011-to-present-and-totals</w:t>
      </w:r>
    </w:p>
    <w:p w14:paraId="5C5D7C0F" w14:textId="59CB7B0B" w:rsidR="00EE3FD7" w:rsidRDefault="00EE3FD7" w:rsidP="00EE3FD7">
      <w:pPr>
        <w:pStyle w:val="ListBullet"/>
        <w:numPr>
          <w:ilvl w:val="0"/>
          <w:numId w:val="0"/>
        </w:numPr>
        <w:ind w:left="720"/>
        <w:rPr>
          <w:bCs/>
          <w:iCs/>
        </w:rPr>
      </w:pPr>
      <w:r w:rsidRPr="00EE3FD7">
        <w:rPr>
          <w:bCs/>
          <w:iCs/>
        </w:rPr>
        <w:t>sgu-solar-installations-2011-to-present-and-totals</w:t>
      </w:r>
    </w:p>
    <w:p w14:paraId="234CCD67" w14:textId="28BDF044" w:rsidR="00EE3FD7" w:rsidRDefault="00EE3FD7" w:rsidP="00EE3FD7">
      <w:pPr>
        <w:pStyle w:val="ListBullet"/>
        <w:numPr>
          <w:ilvl w:val="0"/>
          <w:numId w:val="0"/>
        </w:numPr>
        <w:ind w:left="720"/>
        <w:rPr>
          <w:b/>
          <w:iCs/>
        </w:rPr>
      </w:pPr>
      <w:r w:rsidRPr="00EE3FD7">
        <w:rPr>
          <w:b/>
          <w:iCs/>
        </w:rPr>
        <w:t xml:space="preserve">External datasets: </w:t>
      </w:r>
    </w:p>
    <w:p w14:paraId="16F4EAAA" w14:textId="1305117C" w:rsidR="00EE3FD7" w:rsidRDefault="00EE3FD7" w:rsidP="00EE3FD7">
      <w:pPr>
        <w:pStyle w:val="ListBullet"/>
        <w:numPr>
          <w:ilvl w:val="0"/>
          <w:numId w:val="0"/>
        </w:numPr>
        <w:ind w:left="720"/>
        <w:rPr>
          <w:bCs/>
          <w:iCs/>
        </w:rPr>
      </w:pPr>
      <w:r>
        <w:rPr>
          <w:bCs/>
          <w:iCs/>
        </w:rPr>
        <w:t xml:space="preserve">ABS Census 2011, 2016 and 2021 </w:t>
      </w:r>
    </w:p>
    <w:p w14:paraId="5C496B4F" w14:textId="179E9A02" w:rsidR="00EE3FD7" w:rsidRDefault="00EE3FD7" w:rsidP="00EE3FD7">
      <w:pPr>
        <w:pStyle w:val="ListBullet"/>
        <w:numPr>
          <w:ilvl w:val="0"/>
          <w:numId w:val="0"/>
        </w:numPr>
        <w:ind w:left="720"/>
        <w:rPr>
          <w:bCs/>
          <w:iCs/>
        </w:rPr>
      </w:pPr>
      <w:hyperlink r:id="rId14" w:history="1">
        <w:r w:rsidRPr="00723555">
          <w:rPr>
            <w:rStyle w:val="Hyperlink"/>
            <w:bCs/>
            <w:iCs/>
          </w:rPr>
          <w:t>https://www.abs.gov.au/census/find-census-data/datapacks</w:t>
        </w:r>
      </w:hyperlink>
    </w:p>
    <w:p w14:paraId="4A966115" w14:textId="77777777" w:rsidR="00EE3FD7" w:rsidRPr="00EE3FD7" w:rsidRDefault="00EE3FD7" w:rsidP="00EE3FD7">
      <w:pPr>
        <w:pStyle w:val="ListBullet"/>
        <w:numPr>
          <w:ilvl w:val="0"/>
          <w:numId w:val="0"/>
        </w:numPr>
        <w:ind w:left="720"/>
        <w:rPr>
          <w:bCs/>
          <w:iCs/>
        </w:rPr>
      </w:pPr>
    </w:p>
    <w:p w14:paraId="2B015A8D" w14:textId="6B2C6A02" w:rsidR="0031402F" w:rsidRDefault="00EE3FD7" w:rsidP="0031402F">
      <w:pPr>
        <w:pStyle w:val="ListBullet"/>
      </w:pPr>
      <w:r w:rsidRPr="00EE3FD7">
        <w:rPr>
          <w:rStyle w:val="Emphasis"/>
        </w:rPr>
        <w:t>Analytical tools</w:t>
      </w:r>
      <w:r w:rsidR="0031402F" w:rsidRPr="00704665">
        <w:t xml:space="preserve">: </w:t>
      </w:r>
      <w:r>
        <w:t>Pandas for data analysis and Seaborn for visualizations</w:t>
      </w:r>
    </w:p>
    <w:p w14:paraId="6CDF5873" w14:textId="171EF3BE" w:rsidR="003C44A7" w:rsidRDefault="0031402F" w:rsidP="003C44A7">
      <w:pPr>
        <w:pStyle w:val="ListBullet"/>
      </w:pPr>
      <w:r w:rsidRPr="0031402F">
        <w:t xml:space="preserve"> </w:t>
      </w:r>
      <w:r w:rsidR="00EE3FD7">
        <w:rPr>
          <w:rStyle w:val="Emphasis"/>
        </w:rPr>
        <w:t>Data Preparation</w:t>
      </w:r>
      <w:r w:rsidRPr="00704665">
        <w:t xml:space="preserve">: </w:t>
      </w:r>
    </w:p>
    <w:p w14:paraId="3FE28856" w14:textId="64887979" w:rsidR="003A1467" w:rsidRDefault="00B009DD" w:rsidP="003A1467">
      <w:pPr>
        <w:pStyle w:val="ListBullet"/>
        <w:numPr>
          <w:ilvl w:val="0"/>
          <w:numId w:val="0"/>
        </w:numPr>
      </w:pPr>
      <w:r w:rsidRPr="00B009DD">
        <w:rPr>
          <w:b/>
          <w:bCs/>
        </w:rPr>
        <w:t>Alignment:</w:t>
      </w:r>
      <w:r>
        <w:t xml:space="preserve"> </w:t>
      </w:r>
      <w:r w:rsidR="003A1467" w:rsidRPr="003A1467">
        <w:t>Solar installation</w:t>
      </w:r>
      <w:r>
        <w:t xml:space="preserve"> and capacity</w:t>
      </w:r>
      <w:r w:rsidR="003A1467" w:rsidRPr="003A1467">
        <w:t xml:space="preserve"> data </w:t>
      </w:r>
      <w:r w:rsidRPr="003A1467">
        <w:t>were</w:t>
      </w:r>
      <w:r w:rsidR="003A1467" w:rsidRPr="003A1467">
        <w:t xml:space="preserve"> grouped and summed annually to align with the 2011, 2016, and 2021 ABS Census years</w:t>
      </w:r>
      <w:r>
        <w:t>.</w:t>
      </w:r>
    </w:p>
    <w:p w14:paraId="4F139AB0" w14:textId="77777777" w:rsidR="00B009DD" w:rsidRDefault="003A1467" w:rsidP="003A1467">
      <w:pPr>
        <w:pStyle w:val="ListBullet"/>
        <w:numPr>
          <w:ilvl w:val="0"/>
          <w:numId w:val="0"/>
        </w:numPr>
        <w:rPr>
          <w:lang w:val="en-AU"/>
        </w:rPr>
      </w:pPr>
      <w:r w:rsidRPr="003A1467">
        <w:rPr>
          <w:b/>
          <w:bCs/>
          <w:lang w:val="en-AU"/>
        </w:rPr>
        <w:t>Standardisation</w:t>
      </w:r>
      <w:r w:rsidR="00B009DD">
        <w:rPr>
          <w:b/>
          <w:bCs/>
          <w:lang w:val="en-AU"/>
        </w:rPr>
        <w:t xml:space="preserve">: </w:t>
      </w:r>
      <w:r w:rsidRPr="003A1467">
        <w:rPr>
          <w:lang w:val="en-AU"/>
        </w:rPr>
        <w:t xml:space="preserve">To ensure </w:t>
      </w:r>
      <w:r w:rsidR="00B009DD">
        <w:rPr>
          <w:lang w:val="en-AU"/>
        </w:rPr>
        <w:t>a fair</w:t>
      </w:r>
      <w:r w:rsidR="00B009DD" w:rsidRPr="003A1467">
        <w:rPr>
          <w:lang w:val="en-AU"/>
        </w:rPr>
        <w:t xml:space="preserve"> comparison</w:t>
      </w:r>
      <w:r w:rsidRPr="003A1467">
        <w:rPr>
          <w:lang w:val="en-AU"/>
        </w:rPr>
        <w:t xml:space="preserve">, raw solar capacity </w:t>
      </w:r>
      <w:r w:rsidR="00B009DD">
        <w:rPr>
          <w:lang w:val="en-AU"/>
        </w:rPr>
        <w:t xml:space="preserve">and installations </w:t>
      </w:r>
      <w:r w:rsidRPr="003A1467">
        <w:rPr>
          <w:lang w:val="en-AU"/>
        </w:rPr>
        <w:t xml:space="preserve">was standardised. </w:t>
      </w:r>
    </w:p>
    <w:p w14:paraId="3F07ADB3" w14:textId="77777777" w:rsidR="00B009DD" w:rsidRDefault="003A1467" w:rsidP="003A1467">
      <w:pPr>
        <w:pStyle w:val="ListBullet"/>
        <w:numPr>
          <w:ilvl w:val="0"/>
          <w:numId w:val="0"/>
        </w:numPr>
        <w:rPr>
          <w:lang w:val="en-AU"/>
        </w:rPr>
      </w:pPr>
      <w:r w:rsidRPr="003A1467">
        <w:rPr>
          <w:lang w:val="en-AU"/>
        </w:rPr>
        <w:t xml:space="preserve">A test was conducted comparing standardisation by </w:t>
      </w:r>
      <w:r w:rsidRPr="003A1467">
        <w:rPr>
          <w:i/>
          <w:iCs/>
          <w:lang w:val="en-AU"/>
        </w:rPr>
        <w:t>human population</w:t>
      </w:r>
      <w:r w:rsidRPr="003A1467">
        <w:rPr>
          <w:lang w:val="en-AU"/>
        </w:rPr>
        <w:t xml:space="preserve"> versus </w:t>
      </w:r>
      <w:r w:rsidRPr="003A1467">
        <w:rPr>
          <w:i/>
          <w:iCs/>
          <w:lang w:val="en-AU"/>
        </w:rPr>
        <w:t>physical dwellings</w:t>
      </w:r>
      <w:r w:rsidRPr="003A1467">
        <w:rPr>
          <w:lang w:val="en-AU"/>
        </w:rPr>
        <w:t xml:space="preserve">. </w:t>
      </w:r>
    </w:p>
    <w:p w14:paraId="6150BD7B" w14:textId="77777777" w:rsidR="00B009DD" w:rsidRDefault="003A1467" w:rsidP="003A1467">
      <w:pPr>
        <w:pStyle w:val="ListBullet"/>
        <w:numPr>
          <w:ilvl w:val="0"/>
          <w:numId w:val="0"/>
        </w:numPr>
        <w:rPr>
          <w:lang w:val="en-AU"/>
        </w:rPr>
      </w:pPr>
      <w:r w:rsidRPr="003A1467">
        <w:rPr>
          <w:lang w:val="en-AU"/>
        </w:rPr>
        <w:t xml:space="preserve">It was determined that standardising by human population introduces a "family size penalty," </w:t>
      </w:r>
      <w:r w:rsidR="00B009DD">
        <w:rPr>
          <w:lang w:val="en-AU"/>
        </w:rPr>
        <w:t>which</w:t>
      </w:r>
      <w:r w:rsidRPr="003A1467">
        <w:rPr>
          <w:lang w:val="en-AU"/>
        </w:rPr>
        <w:t xml:space="preserve"> </w:t>
      </w:r>
      <w:r w:rsidR="00B009DD">
        <w:rPr>
          <w:lang w:val="en-AU"/>
        </w:rPr>
        <w:t>depresses</w:t>
      </w:r>
      <w:r w:rsidRPr="003A1467">
        <w:rPr>
          <w:lang w:val="en-AU"/>
        </w:rPr>
        <w:t xml:space="preserve"> the adoption metrics of states with larger household sizes (such as the Northern Territory and Western Australia). </w:t>
      </w:r>
    </w:p>
    <w:p w14:paraId="1A780A9E" w14:textId="2042E0A5" w:rsidR="00B009DD" w:rsidRDefault="003A1467" w:rsidP="003A1467">
      <w:pPr>
        <w:pStyle w:val="ListBullet"/>
        <w:numPr>
          <w:ilvl w:val="0"/>
          <w:numId w:val="0"/>
        </w:numPr>
        <w:rPr>
          <w:lang w:val="en-AU"/>
        </w:rPr>
      </w:pPr>
      <w:r w:rsidRPr="003A1467">
        <w:rPr>
          <w:lang w:val="en-AU"/>
        </w:rPr>
        <w:t xml:space="preserve">Consequently, the human population dataset was deliberately excluded from the </w:t>
      </w:r>
      <w:r w:rsidR="00B009DD" w:rsidRPr="003A1467">
        <w:rPr>
          <w:lang w:val="en-AU"/>
        </w:rPr>
        <w:t>results</w:t>
      </w:r>
      <w:r w:rsidRPr="003A1467">
        <w:rPr>
          <w:lang w:val="en-AU"/>
        </w:rPr>
        <w:t xml:space="preserve">. </w:t>
      </w:r>
    </w:p>
    <w:p w14:paraId="66F13D66" w14:textId="5D37CBD7" w:rsidR="00EE3FD7" w:rsidRDefault="003A1467" w:rsidP="00B009DD">
      <w:pPr>
        <w:pStyle w:val="ListBullet"/>
        <w:numPr>
          <w:ilvl w:val="0"/>
          <w:numId w:val="0"/>
        </w:numPr>
        <w:rPr>
          <w:lang w:val="en-AU"/>
        </w:rPr>
      </w:pPr>
      <w:r w:rsidRPr="003A1467">
        <w:rPr>
          <w:lang w:val="en-AU"/>
        </w:rPr>
        <w:t>All solar metrics were standardised against total dwelling</w:t>
      </w:r>
      <w:r w:rsidR="00B009DD">
        <w:rPr>
          <w:lang w:val="en-AU"/>
        </w:rPr>
        <w:t>s</w:t>
      </w:r>
      <w:r w:rsidRPr="003A1467">
        <w:rPr>
          <w:lang w:val="en-AU"/>
        </w:rPr>
        <w:t xml:space="preserve"> to reflect actual available roof infrastructure. </w:t>
      </w:r>
    </w:p>
    <w:p w14:paraId="7A63D9B6" w14:textId="77777777" w:rsidR="00B009DD" w:rsidRDefault="00B009DD" w:rsidP="00B009DD">
      <w:pPr>
        <w:pStyle w:val="ListBullet"/>
        <w:numPr>
          <w:ilvl w:val="0"/>
          <w:numId w:val="0"/>
        </w:numPr>
        <w:rPr>
          <w:lang w:val="en-AU"/>
        </w:rPr>
      </w:pPr>
    </w:p>
    <w:p w14:paraId="07459BDC" w14:textId="77777777" w:rsidR="00B009DD" w:rsidRDefault="00B009DD" w:rsidP="00B009DD">
      <w:pPr>
        <w:pStyle w:val="ListBullet"/>
        <w:numPr>
          <w:ilvl w:val="0"/>
          <w:numId w:val="0"/>
        </w:numPr>
        <w:rPr>
          <w:lang w:val="en-AU"/>
        </w:rPr>
      </w:pPr>
    </w:p>
    <w:p w14:paraId="7D95CA78" w14:textId="77777777" w:rsidR="00B009DD" w:rsidRDefault="00B009DD" w:rsidP="00B009DD">
      <w:pPr>
        <w:pStyle w:val="ListBullet"/>
        <w:numPr>
          <w:ilvl w:val="0"/>
          <w:numId w:val="0"/>
        </w:numPr>
        <w:rPr>
          <w:lang w:val="en-AU"/>
        </w:rPr>
      </w:pPr>
    </w:p>
    <w:p w14:paraId="73ABC107" w14:textId="77777777" w:rsidR="00B009DD" w:rsidRDefault="00B009DD" w:rsidP="00B009DD">
      <w:pPr>
        <w:pStyle w:val="ListBullet"/>
        <w:numPr>
          <w:ilvl w:val="0"/>
          <w:numId w:val="0"/>
        </w:numPr>
        <w:rPr>
          <w:lang w:val="en-AU"/>
        </w:rPr>
      </w:pPr>
    </w:p>
    <w:p w14:paraId="22FBDACB" w14:textId="77777777" w:rsidR="00B009DD" w:rsidRDefault="00B009DD" w:rsidP="00B009DD">
      <w:pPr>
        <w:pStyle w:val="ListBullet"/>
        <w:numPr>
          <w:ilvl w:val="0"/>
          <w:numId w:val="0"/>
        </w:numPr>
        <w:rPr>
          <w:lang w:val="en-AU"/>
        </w:rPr>
      </w:pPr>
    </w:p>
    <w:p w14:paraId="6E4066EB" w14:textId="77777777" w:rsidR="00B009DD" w:rsidRDefault="00B009DD" w:rsidP="00B009DD">
      <w:pPr>
        <w:pStyle w:val="ListBullet"/>
        <w:numPr>
          <w:ilvl w:val="0"/>
          <w:numId w:val="0"/>
        </w:numPr>
        <w:rPr>
          <w:lang w:val="en-AU"/>
        </w:rPr>
      </w:pPr>
    </w:p>
    <w:p w14:paraId="59614D91" w14:textId="77777777" w:rsidR="00B009DD" w:rsidRPr="00B009DD" w:rsidRDefault="00B009DD" w:rsidP="00B009DD">
      <w:pPr>
        <w:pStyle w:val="ListBullet"/>
        <w:numPr>
          <w:ilvl w:val="0"/>
          <w:numId w:val="0"/>
        </w:numPr>
        <w:rPr>
          <w:lang w:val="en-AU"/>
        </w:rPr>
      </w:pPr>
    </w:p>
    <w:p w14:paraId="4F5130C2" w14:textId="2F169C1E" w:rsidR="00E14577" w:rsidRDefault="00B009DD" w:rsidP="00D41196">
      <w:pPr>
        <w:pStyle w:val="Heading2"/>
        <w:rPr>
          <w:color w:val="C00000"/>
        </w:rPr>
      </w:pPr>
      <w:r w:rsidRPr="00B009DD">
        <w:rPr>
          <w:color w:val="C00000"/>
        </w:rPr>
        <w:lastRenderedPageBreak/>
        <w:t>ANALYSIS AND FINDINGS</w:t>
      </w:r>
    </w:p>
    <w:p w14:paraId="1B4B8055" w14:textId="4E2F4838" w:rsidR="00B009DD" w:rsidRPr="00B009DD" w:rsidRDefault="00B009DD" w:rsidP="00B009DD">
      <w:r w:rsidRPr="00B009DD">
        <w:t>The integrated data reveals two critical insights that dis</w:t>
      </w:r>
      <w:r>
        <w:t>prove</w:t>
      </w:r>
      <w:r w:rsidRPr="00B009DD">
        <w:t xml:space="preserve"> the </w:t>
      </w:r>
      <w:r>
        <w:t>proposed</w:t>
      </w:r>
      <w:r w:rsidRPr="00B009DD">
        <w:t xml:space="preserve"> hypothesis:</w:t>
      </w:r>
    </w:p>
    <w:p w14:paraId="7A7C81F8" w14:textId="77777777" w:rsidR="00B009DD" w:rsidRPr="00390209" w:rsidRDefault="00B009DD" w:rsidP="00B009DD">
      <w:pPr>
        <w:pStyle w:val="Bold"/>
        <w:rPr>
          <w:rFonts w:asciiTheme="minorHAnsi" w:hAnsiTheme="minorHAnsi"/>
        </w:rPr>
      </w:pPr>
      <w:r w:rsidRPr="00390209">
        <w:rPr>
          <w:rFonts w:asciiTheme="minorHAnsi" w:hAnsiTheme="minorHAnsi"/>
        </w:rPr>
        <w:t>1. The Decoupling of Tenure and Adoption</w:t>
      </w:r>
    </w:p>
    <w:p w14:paraId="0D96DEDC" w14:textId="7578DCF0" w:rsidR="00390209" w:rsidRDefault="00390209" w:rsidP="00D41196">
      <w:pPr>
        <w:pStyle w:val="Heading2"/>
        <w:rPr>
          <w:rFonts w:asciiTheme="minorHAnsi" w:hAnsiTheme="minorHAnsi"/>
          <w:b w:val="0"/>
          <w:bCs w:val="0"/>
          <w:noProof w:val="0"/>
          <w:szCs w:val="22"/>
        </w:rPr>
      </w:pPr>
      <w:r w:rsidRPr="00390209">
        <w:rPr>
          <w:rFonts w:asciiTheme="minorHAnsi" w:hAnsiTheme="minorHAnsi"/>
          <w:b w:val="0"/>
          <w:bCs w:val="0"/>
          <w:noProof w:val="0"/>
          <w:szCs w:val="22"/>
        </w:rPr>
        <w:t>A multi</w:t>
      </w:r>
      <w:r>
        <w:rPr>
          <w:rFonts w:asciiTheme="minorHAnsi" w:hAnsiTheme="minorHAnsi"/>
          <w:b w:val="0"/>
          <w:bCs w:val="0"/>
          <w:noProof w:val="0"/>
          <w:szCs w:val="22"/>
        </w:rPr>
        <w:t xml:space="preserve"> </w:t>
      </w:r>
      <w:r w:rsidRPr="00390209">
        <w:rPr>
          <w:rFonts w:asciiTheme="minorHAnsi" w:hAnsiTheme="minorHAnsi"/>
          <w:b w:val="0"/>
          <w:bCs w:val="0"/>
          <w:noProof w:val="0"/>
          <w:szCs w:val="22"/>
        </w:rPr>
        <w:t>variable analysis (</w:t>
      </w:r>
      <w:r>
        <w:rPr>
          <w:rFonts w:asciiTheme="minorHAnsi" w:hAnsiTheme="minorHAnsi"/>
          <w:b w:val="0"/>
          <w:bCs w:val="0"/>
          <w:noProof w:val="0"/>
          <w:szCs w:val="22"/>
        </w:rPr>
        <w:t>see bubble chart</w:t>
      </w:r>
      <w:r w:rsidRPr="00390209">
        <w:rPr>
          <w:rFonts w:asciiTheme="minorHAnsi" w:hAnsiTheme="minorHAnsi"/>
          <w:b w:val="0"/>
          <w:bCs w:val="0"/>
          <w:noProof w:val="0"/>
          <w:szCs w:val="22"/>
        </w:rPr>
        <w:t>) mapping ownership percentage against installations per dwelling</w:t>
      </w:r>
      <w:r w:rsidR="001040D4">
        <w:rPr>
          <w:rFonts w:asciiTheme="minorHAnsi" w:hAnsiTheme="minorHAnsi"/>
          <w:b w:val="0"/>
          <w:bCs w:val="0"/>
          <w:noProof w:val="0"/>
          <w:szCs w:val="22"/>
        </w:rPr>
        <w:t xml:space="preserve"> and kW per dwelling</w:t>
      </w:r>
      <w:r w:rsidRPr="00390209">
        <w:rPr>
          <w:rFonts w:asciiTheme="minorHAnsi" w:hAnsiTheme="minorHAnsi"/>
          <w:b w:val="0"/>
          <w:bCs w:val="0"/>
          <w:noProof w:val="0"/>
          <w:szCs w:val="22"/>
        </w:rPr>
        <w:t xml:space="preserve"> reveals no meaningful correlation.</w:t>
      </w:r>
    </w:p>
    <w:p w14:paraId="0DF8D786" w14:textId="6EFA8258" w:rsidR="001040D4" w:rsidRDefault="001040D4" w:rsidP="001040D4">
      <w:r>
        <w:rPr>
          <w:noProof/>
          <w14:ligatures w14:val="standardContextual"/>
        </w:rPr>
        <w:drawing>
          <wp:inline distT="0" distB="0" distL="0" distR="0" wp14:anchorId="1B67521F" wp14:editId="4DE443A7">
            <wp:extent cx="6309360" cy="3557905"/>
            <wp:effectExtent l="0" t="0" r="0" b="4445"/>
            <wp:docPr id="1108517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17662" name="Picture 110851766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D0489" w14:textId="35FAF67C" w:rsidR="001040D4" w:rsidRDefault="001040D4" w:rsidP="001040D4">
      <w:r w:rsidRPr="001040D4">
        <w:t xml:space="preserve">Between 2011 and 2021, state homeownership rates remained nearly </w:t>
      </w:r>
      <w:r w:rsidRPr="001040D4">
        <w:t>static</w:t>
      </w:r>
      <w:r w:rsidRPr="001040D4">
        <w:t xml:space="preserve">. However, over the exact same period, standard solar capacity (kW per dwelling) exploded. If </w:t>
      </w:r>
      <w:r>
        <w:t>the hypothesis</w:t>
      </w:r>
      <w:r w:rsidRPr="001040D4">
        <w:t xml:space="preserve"> was </w:t>
      </w:r>
      <w:r>
        <w:t xml:space="preserve">correct, </w:t>
      </w:r>
      <w:r w:rsidRPr="001040D4">
        <w:t>the massive surge in solar capacity could not have occurred within a flat homeownership market.</w:t>
      </w:r>
    </w:p>
    <w:p w14:paraId="5A905DE5" w14:textId="77777777" w:rsidR="001040D4" w:rsidRDefault="001040D4" w:rsidP="001040D4"/>
    <w:p w14:paraId="447574F0" w14:textId="77777777" w:rsidR="001040D4" w:rsidRPr="001040D4" w:rsidRDefault="001040D4" w:rsidP="001040D4">
      <w:pPr>
        <w:rPr>
          <w:b/>
          <w:bCs/>
        </w:rPr>
      </w:pPr>
      <w:r w:rsidRPr="001040D4">
        <w:rPr>
          <w:b/>
          <w:bCs/>
        </w:rPr>
        <w:t>2. The Shift from Volume to Capacity</w:t>
      </w:r>
    </w:p>
    <w:p w14:paraId="5B202A7D" w14:textId="77777777" w:rsidR="001040D4" w:rsidRDefault="001040D4" w:rsidP="001040D4">
      <w:r>
        <w:t>Standardized</w:t>
      </w:r>
      <w:r>
        <w:t xml:space="preserve"> analysis reveals a distinct market </w:t>
      </w:r>
      <w:r>
        <w:t>growth</w:t>
      </w:r>
      <w:r>
        <w:t xml:space="preserve">. </w:t>
      </w:r>
    </w:p>
    <w:p w14:paraId="3889CCD1" w14:textId="2A9E903E" w:rsidR="001040D4" w:rsidRDefault="001040D4" w:rsidP="001040D4">
      <w:r>
        <w:t xml:space="preserve">The volume of new installations per dwelling peaked during 2011 and declined or plateaued in markets like South Australia and Queensland. </w:t>
      </w:r>
    </w:p>
    <w:p w14:paraId="18319E62" w14:textId="77777777" w:rsidR="001040D4" w:rsidRDefault="001040D4" w:rsidP="001040D4"/>
    <w:p w14:paraId="09A5BB0B" w14:textId="77777777" w:rsidR="001040D4" w:rsidRDefault="001040D4" w:rsidP="001040D4"/>
    <w:p w14:paraId="01AEF32C" w14:textId="77777777" w:rsidR="001040D4" w:rsidRDefault="001040D4" w:rsidP="001040D4"/>
    <w:p w14:paraId="14602911" w14:textId="48142254" w:rsidR="001040D4" w:rsidRDefault="001040D4" w:rsidP="00D41196">
      <w:pPr>
        <w:pStyle w:val="Heading2"/>
        <w:rPr>
          <w:rFonts w:asciiTheme="minorHAnsi" w:hAnsiTheme="minorHAnsi"/>
          <w:b w:val="0"/>
          <w:bCs w:val="0"/>
          <w:noProof w:val="0"/>
          <w:szCs w:val="22"/>
        </w:rPr>
      </w:pPr>
      <w:r w:rsidRPr="001040D4">
        <w:rPr>
          <w:rFonts w:asciiTheme="minorHAnsi" w:hAnsiTheme="minorHAnsi"/>
          <w:b w:val="0"/>
          <w:bCs w:val="0"/>
          <w:noProof w:val="0"/>
          <w:szCs w:val="22"/>
        </w:rPr>
        <w:lastRenderedPageBreak/>
        <w:t xml:space="preserve">However, the capacity of the systems being installed increased dramatically by 2021. This suggests that although fewer individual roofs received panels in 2021 than in 2011, the systems installed were larger. </w:t>
      </w:r>
    </w:p>
    <w:p w14:paraId="0DC6CC63" w14:textId="77777777" w:rsidR="001040D4" w:rsidRDefault="001040D4" w:rsidP="00D41196">
      <w:pPr>
        <w:pStyle w:val="Heading2"/>
        <w:rPr>
          <w:rFonts w:asciiTheme="minorHAnsi" w:hAnsiTheme="minorHAnsi"/>
          <w:b w:val="0"/>
          <w:bCs w:val="0"/>
          <w:noProof w:val="0"/>
          <w:szCs w:val="22"/>
        </w:rPr>
      </w:pPr>
      <w:r w:rsidRPr="001040D4">
        <w:rPr>
          <w:rFonts w:asciiTheme="minorHAnsi" w:hAnsiTheme="minorHAnsi"/>
          <w:b w:val="0"/>
          <w:bCs w:val="0"/>
          <w:noProof w:val="0"/>
          <w:szCs w:val="22"/>
        </w:rPr>
        <w:t xml:space="preserve">While the reasons for this increase are unclear, technological advancements, declining hardware costs, and other factors may have contributed to this trend. </w:t>
      </w:r>
    </w:p>
    <w:p w14:paraId="700B17C3" w14:textId="44F2C8D8" w:rsidR="00390209" w:rsidRDefault="001040D4" w:rsidP="00D41196">
      <w:pPr>
        <w:pStyle w:val="Heading2"/>
        <w:rPr>
          <w:rFonts w:asciiTheme="minorHAnsi" w:hAnsiTheme="minorHAnsi"/>
          <w:b w:val="0"/>
          <w:bCs w:val="0"/>
          <w:noProof w:val="0"/>
          <w:szCs w:val="22"/>
        </w:rPr>
      </w:pPr>
      <w:r w:rsidRPr="001040D4">
        <w:rPr>
          <w:rFonts w:asciiTheme="minorHAnsi" w:hAnsiTheme="minorHAnsi"/>
          <w:b w:val="0"/>
          <w:bCs w:val="0"/>
          <w:noProof w:val="0"/>
          <w:szCs w:val="22"/>
        </w:rPr>
        <w:t>This increase in</w:t>
      </w:r>
      <w:r>
        <w:rPr>
          <w:rFonts w:asciiTheme="minorHAnsi" w:hAnsiTheme="minorHAnsi"/>
          <w:b w:val="0"/>
          <w:bCs w:val="0"/>
          <w:noProof w:val="0"/>
          <w:szCs w:val="22"/>
        </w:rPr>
        <w:t xml:space="preserve"> solar</w:t>
      </w:r>
      <w:r w:rsidRPr="001040D4">
        <w:rPr>
          <w:rFonts w:asciiTheme="minorHAnsi" w:hAnsiTheme="minorHAnsi"/>
          <w:b w:val="0"/>
          <w:bCs w:val="0"/>
          <w:noProof w:val="0"/>
          <w:szCs w:val="22"/>
        </w:rPr>
        <w:t xml:space="preserve"> capacity suggests that changes in installation size may have occurred independently of the renting-versus-owning </w:t>
      </w:r>
      <w:r>
        <w:rPr>
          <w:rFonts w:asciiTheme="minorHAnsi" w:hAnsiTheme="minorHAnsi"/>
          <w:b w:val="0"/>
          <w:bCs w:val="0"/>
          <w:noProof w:val="0"/>
          <w:szCs w:val="22"/>
        </w:rPr>
        <w:t xml:space="preserve">hypothesis. </w:t>
      </w:r>
    </w:p>
    <w:p w14:paraId="0B976945" w14:textId="77777777" w:rsidR="00390209" w:rsidRDefault="00390209" w:rsidP="00D41196">
      <w:pPr>
        <w:pStyle w:val="Heading2"/>
        <w:rPr>
          <w:rFonts w:asciiTheme="minorHAnsi" w:hAnsiTheme="minorHAnsi"/>
          <w:b w:val="0"/>
          <w:bCs w:val="0"/>
          <w:noProof w:val="0"/>
          <w:szCs w:val="22"/>
        </w:rPr>
      </w:pPr>
    </w:p>
    <w:p w14:paraId="756B4E7D" w14:textId="5C39EE0B" w:rsidR="008E5020" w:rsidRPr="00C26E10" w:rsidRDefault="00C26E10" w:rsidP="00C26E10">
      <w:pPr>
        <w:pStyle w:val="Heading2"/>
        <w:rPr>
          <w:color w:val="C00000"/>
        </w:rPr>
      </w:pPr>
      <w:r w:rsidRPr="00C26E10">
        <w:rPr>
          <w:color w:val="C00000"/>
        </w:rPr>
        <w:t>DISCUSSION</w:t>
      </w:r>
    </w:p>
    <w:sectPr w:rsidR="008E5020" w:rsidRPr="00C26E10" w:rsidSect="00A73656">
      <w:pgSz w:w="12240" w:h="15840" w:code="1"/>
      <w:pgMar w:top="1440" w:right="1152" w:bottom="720" w:left="1152" w:header="432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BCF53" w14:textId="77777777" w:rsidR="00CE7254" w:rsidRDefault="00CE7254" w:rsidP="00E14577">
      <w:pPr>
        <w:spacing w:before="0" w:line="240" w:lineRule="auto"/>
      </w:pPr>
      <w:r>
        <w:separator/>
      </w:r>
    </w:p>
  </w:endnote>
  <w:endnote w:type="continuationSeparator" w:id="0">
    <w:p w14:paraId="58D6D30B" w14:textId="77777777" w:rsidR="00CE7254" w:rsidRDefault="00CE7254" w:rsidP="00E1457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C4991" w14:textId="77777777" w:rsidR="008A6801" w:rsidRDefault="008A6801" w:rsidP="00D30526">
    <w:pPr>
      <w:pStyle w:val="Footer"/>
      <w:ind w:firstLine="360"/>
      <w:jc w:val="center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1312" behindDoc="1" locked="1" layoutInCell="1" allowOverlap="1" wp14:anchorId="64726DE7" wp14:editId="59D9178A">
              <wp:simplePos x="0" y="0"/>
              <wp:positionH relativeFrom="column">
                <wp:posOffset>-731520</wp:posOffset>
              </wp:positionH>
              <wp:positionV relativeFrom="page">
                <wp:posOffset>9420225</wp:posOffset>
              </wp:positionV>
              <wp:extent cx="7772400" cy="640080"/>
              <wp:effectExtent l="0" t="0" r="0" b="7620"/>
              <wp:wrapNone/>
              <wp:docPr id="1660517193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64008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4FE3AE" id="Rectangle 1" o:spid="_x0000_s1026" alt="&quot;&quot;" style="position:absolute;margin-left:-57.6pt;margin-top:741.75pt;width:612pt;height:50.4pt;z-index:-251655168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100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" fillcolor="#fde700 [3206]" stroked="f" strokeweight="1pt">
              <w10:wrap anchory="page"/>
              <w10:anchorlock/>
            </v:rect>
          </w:pict>
        </mc:Fallback>
      </mc:AlternateContent>
    </w:r>
  </w:p>
  <w:p w14:paraId="270E1327" w14:textId="77777777" w:rsidR="00E14577" w:rsidRDefault="00E145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94A72" w14:textId="77777777" w:rsidR="00CE7254" w:rsidRDefault="00CE7254" w:rsidP="00E14577">
      <w:pPr>
        <w:spacing w:before="0" w:line="240" w:lineRule="auto"/>
      </w:pPr>
      <w:r>
        <w:separator/>
      </w:r>
    </w:p>
  </w:footnote>
  <w:footnote w:type="continuationSeparator" w:id="0">
    <w:p w14:paraId="48680303" w14:textId="77777777" w:rsidR="00CE7254" w:rsidRDefault="00CE7254" w:rsidP="00E1457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86455145"/>
      <w:docPartObj>
        <w:docPartGallery w:val="Page Numbers (Top of Page)"/>
        <w:docPartUnique/>
      </w:docPartObj>
    </w:sdtPr>
    <w:sdtContent>
      <w:p w14:paraId="75B76F0D" w14:textId="77777777" w:rsidR="00E14577" w:rsidRDefault="00E14577" w:rsidP="00A62354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92C3A17" w14:textId="77777777" w:rsidR="00E14577" w:rsidRDefault="00E14577" w:rsidP="00E14577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01513015"/>
      <w:docPartObj>
        <w:docPartGallery w:val="Page Numbers (Top of Page)"/>
        <w:docPartUnique/>
      </w:docPartObj>
    </w:sdtPr>
    <w:sdtContent>
      <w:p w14:paraId="0697F21B" w14:textId="77777777" w:rsidR="00E14577" w:rsidRDefault="00E14577" w:rsidP="00E14577">
        <w:pPr>
          <w:pStyle w:val="Footer"/>
          <w:rPr>
            <w:rStyle w:val="PageNumber"/>
          </w:rPr>
        </w:pPr>
        <w:r>
          <w:rPr>
            <w:noProof/>
            <w14:ligatures w14:val="standardContextual"/>
          </w:rPr>
          <mc:AlternateContent>
            <mc:Choice Requires="wps">
              <w:drawing>
                <wp:anchor distT="0" distB="0" distL="114300" distR="114300" simplePos="0" relativeHeight="251659264" behindDoc="1" locked="1" layoutInCell="1" allowOverlap="1" wp14:anchorId="0D134CDB" wp14:editId="031DAECE">
                  <wp:simplePos x="0" y="0"/>
                  <wp:positionH relativeFrom="column">
                    <wp:posOffset>-914400</wp:posOffset>
                  </wp:positionH>
                  <wp:positionV relativeFrom="paragraph">
                    <wp:posOffset>-265430</wp:posOffset>
                  </wp:positionV>
                  <wp:extent cx="1700784" cy="640080"/>
                  <wp:effectExtent l="0" t="0" r="0" b="7620"/>
                  <wp:wrapNone/>
                  <wp:docPr id="1130146015" name="Rectangle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700784" cy="64008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20BF9134" id="Rectangle 1" o:spid="_x0000_s1026" alt="&quot;&quot;" style="position:absolute;margin-left:-1in;margin-top:-20.9pt;width:133.9pt;height:50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" fillcolor="#fde700 [3206]" stroked="f" strokeweight="1pt">
                  <w10:anchorlock/>
                </v:rect>
              </w:pict>
            </mc:Fallback>
          </mc:AlternateConten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E2FAB16" w14:textId="77777777" w:rsidR="00E14577" w:rsidRDefault="00E14577" w:rsidP="00E14577">
    <w:pPr>
      <w:pStyle w:val="Header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5DE66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6FC59DC"/>
    <w:multiLevelType w:val="multilevel"/>
    <w:tmpl w:val="9BD0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44323ED"/>
    <w:multiLevelType w:val="hybridMultilevel"/>
    <w:tmpl w:val="9FCAA4B8"/>
    <w:lvl w:ilvl="0" w:tplc="F66AEABA">
      <w:numFmt w:val="bullet"/>
      <w:lvlText w:val="-"/>
      <w:lvlJc w:val="left"/>
      <w:pPr>
        <w:ind w:left="720" w:hanging="360"/>
      </w:pPr>
      <w:rPr>
        <w:rFonts w:ascii="Franklin Gothic Book" w:eastAsiaTheme="minorEastAsia" w:hAnsi="Franklin Gothic Book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742C33"/>
    <w:multiLevelType w:val="hybridMultilevel"/>
    <w:tmpl w:val="C6809866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07405310">
    <w:abstractNumId w:val="1"/>
  </w:num>
  <w:num w:numId="2" w16cid:durableId="1276593716">
    <w:abstractNumId w:val="0"/>
  </w:num>
  <w:num w:numId="3" w16cid:durableId="339234800">
    <w:abstractNumId w:val="2"/>
  </w:num>
  <w:num w:numId="4" w16cid:durableId="18550252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E99"/>
    <w:rsid w:val="001040D4"/>
    <w:rsid w:val="00113F44"/>
    <w:rsid w:val="00187C41"/>
    <w:rsid w:val="0025158E"/>
    <w:rsid w:val="002A1D15"/>
    <w:rsid w:val="0031402F"/>
    <w:rsid w:val="00380DD3"/>
    <w:rsid w:val="00390209"/>
    <w:rsid w:val="003A1467"/>
    <w:rsid w:val="003C44A7"/>
    <w:rsid w:val="00421A37"/>
    <w:rsid w:val="004C6124"/>
    <w:rsid w:val="004C774D"/>
    <w:rsid w:val="0052119A"/>
    <w:rsid w:val="00523A54"/>
    <w:rsid w:val="00542955"/>
    <w:rsid w:val="006256E2"/>
    <w:rsid w:val="006843C8"/>
    <w:rsid w:val="006B1ECB"/>
    <w:rsid w:val="0077342D"/>
    <w:rsid w:val="00797982"/>
    <w:rsid w:val="007B7736"/>
    <w:rsid w:val="007F2A50"/>
    <w:rsid w:val="008628A3"/>
    <w:rsid w:val="008927C0"/>
    <w:rsid w:val="008A5444"/>
    <w:rsid w:val="008A6801"/>
    <w:rsid w:val="008D3879"/>
    <w:rsid w:val="008E5020"/>
    <w:rsid w:val="00931508"/>
    <w:rsid w:val="00983B2E"/>
    <w:rsid w:val="009B07AD"/>
    <w:rsid w:val="009C36B2"/>
    <w:rsid w:val="009D6230"/>
    <w:rsid w:val="00A33B91"/>
    <w:rsid w:val="00A73656"/>
    <w:rsid w:val="00AC4272"/>
    <w:rsid w:val="00AD2E99"/>
    <w:rsid w:val="00B009DD"/>
    <w:rsid w:val="00B561B6"/>
    <w:rsid w:val="00B62D04"/>
    <w:rsid w:val="00BB0DB8"/>
    <w:rsid w:val="00BD267F"/>
    <w:rsid w:val="00C26E10"/>
    <w:rsid w:val="00CE7254"/>
    <w:rsid w:val="00CF1539"/>
    <w:rsid w:val="00D30526"/>
    <w:rsid w:val="00D41196"/>
    <w:rsid w:val="00D81EA7"/>
    <w:rsid w:val="00DB7B3F"/>
    <w:rsid w:val="00E14577"/>
    <w:rsid w:val="00EA5E9E"/>
    <w:rsid w:val="00EE3FD7"/>
    <w:rsid w:val="00F944C0"/>
    <w:rsid w:val="00FB0D9C"/>
    <w:rsid w:val="00FF0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085CED"/>
  <w15:chartTrackingRefBased/>
  <w15:docId w15:val="{8D87490E-AA69-437C-9FD5-59DE1BF3F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1196"/>
    <w:pPr>
      <w:spacing w:before="120" w:after="0" w:line="312" w:lineRule="auto"/>
    </w:pPr>
    <w:rPr>
      <w:rFonts w:eastAsiaTheme="minorEastAsia"/>
      <w:color w:val="000000" w:themeColor="text1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1196"/>
    <w:pPr>
      <w:keepNext/>
      <w:keepLines/>
      <w:framePr w:hSpace="180" w:wrap="around" w:vAnchor="page" w:hAnchor="margin" w:y="5119"/>
      <w:spacing w:before="360" w:after="80"/>
      <w:outlineLvl w:val="0"/>
    </w:pPr>
    <w:rPr>
      <w:rFonts w:asciiTheme="majorHAnsi" w:eastAsiaTheme="majorEastAsia" w:hAnsiTheme="majorHAnsi" w:cs="Times New Roman (Headings CS)"/>
      <w:b/>
      <w:caps/>
      <w:color w:val="FFFFFF" w:themeColor="background1"/>
      <w:sz w:val="52"/>
      <w:szCs w:val="40"/>
    </w:rPr>
  </w:style>
  <w:style w:type="paragraph" w:styleId="Heading2">
    <w:name w:val="heading 2"/>
    <w:basedOn w:val="Bold"/>
    <w:next w:val="Normal"/>
    <w:link w:val="Heading2Char"/>
    <w:uiPriority w:val="9"/>
    <w:unhideWhenUsed/>
    <w:qFormat/>
    <w:rsid w:val="00D41196"/>
    <w:pPr>
      <w:outlineLvl w:val="1"/>
    </w:pPr>
    <w:rPr>
      <w:noProof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577"/>
    <w:pPr>
      <w:keepNext/>
      <w:keepLines/>
      <w:spacing w:before="160" w:after="80"/>
      <w:outlineLvl w:val="2"/>
    </w:pPr>
    <w:rPr>
      <w:rFonts w:eastAsiaTheme="majorEastAsia" w:cstheme="majorBidi"/>
      <w:color w:val="039A6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39A6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577"/>
    <w:pPr>
      <w:keepNext/>
      <w:keepLines/>
      <w:spacing w:before="80" w:after="40"/>
      <w:outlineLvl w:val="4"/>
    </w:pPr>
    <w:rPr>
      <w:rFonts w:eastAsiaTheme="majorEastAsia" w:cstheme="majorBidi"/>
      <w:color w:val="039A6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5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5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5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5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1196"/>
    <w:rPr>
      <w:rFonts w:asciiTheme="majorHAnsi" w:eastAsiaTheme="majorEastAsia" w:hAnsiTheme="majorHAnsi" w:cs="Times New Roman (Headings CS)"/>
      <w:b/>
      <w:caps/>
      <w:color w:val="FFFFFF" w:themeColor="background1"/>
      <w:kern w:val="0"/>
      <w:sz w:val="52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41196"/>
    <w:rPr>
      <w:rFonts w:asciiTheme="majorHAnsi" w:eastAsiaTheme="minorEastAsia" w:hAnsiTheme="majorHAnsi"/>
      <w:b/>
      <w:bCs/>
      <w:noProof/>
      <w:color w:val="000000" w:themeColor="text1"/>
      <w:kern w:val="0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577"/>
    <w:rPr>
      <w:rFonts w:eastAsiaTheme="majorEastAsia" w:cstheme="majorBidi"/>
      <w:color w:val="039A6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577"/>
    <w:rPr>
      <w:rFonts w:eastAsiaTheme="majorEastAsia" w:cstheme="majorBidi"/>
      <w:i/>
      <w:iCs/>
      <w:color w:val="039A6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577"/>
    <w:rPr>
      <w:rFonts w:eastAsiaTheme="majorEastAsia" w:cstheme="majorBidi"/>
      <w:color w:val="039A6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D41196"/>
    <w:pPr>
      <w:spacing w:before="0" w:line="216" w:lineRule="auto"/>
      <w:contextualSpacing/>
    </w:pPr>
    <w:rPr>
      <w:rFonts w:eastAsiaTheme="majorEastAsia" w:cs="Times New Roman (Headings CS)"/>
      <w:b/>
      <w:caps/>
      <w:color w:val="auto"/>
      <w:spacing w:val="-10"/>
      <w:kern w:val="28"/>
      <w:sz w:val="9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"/>
    <w:rsid w:val="00D41196"/>
    <w:rPr>
      <w:rFonts w:eastAsiaTheme="majorEastAsia" w:cs="Times New Roman (Headings CS)"/>
      <w:b/>
      <w:caps/>
      <w:spacing w:val="-10"/>
      <w:kern w:val="28"/>
      <w:sz w:val="9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577"/>
    <w:rPr>
      <w:i/>
      <w:iCs/>
      <w:color w:val="039A6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577"/>
    <w:pPr>
      <w:pBdr>
        <w:top w:val="single" w:sz="4" w:space="10" w:color="039A6C" w:themeColor="accent1" w:themeShade="BF"/>
        <w:bottom w:val="single" w:sz="4" w:space="10" w:color="039A6C" w:themeColor="accent1" w:themeShade="BF"/>
      </w:pBdr>
      <w:spacing w:before="360" w:after="360"/>
      <w:ind w:left="864" w:right="864"/>
      <w:jc w:val="center"/>
    </w:pPr>
    <w:rPr>
      <w:i/>
      <w:iCs/>
      <w:color w:val="039A6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577"/>
    <w:rPr>
      <w:i/>
      <w:iCs/>
      <w:color w:val="039A6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577"/>
    <w:rPr>
      <w:b/>
      <w:bCs/>
      <w:smallCaps/>
      <w:color w:val="039A6C" w:themeColor="accent1" w:themeShade="BF"/>
      <w:spacing w:val="5"/>
    </w:rPr>
  </w:style>
  <w:style w:type="paragraph" w:customStyle="1" w:styleId="Info">
    <w:name w:val="Info"/>
    <w:basedOn w:val="Normal"/>
    <w:qFormat/>
    <w:rsid w:val="00CF1539"/>
    <w:pPr>
      <w:framePr w:hSpace="180" w:wrap="around" w:vAnchor="page" w:hAnchor="margin" w:y="5119"/>
      <w:spacing w:before="0"/>
    </w:pPr>
    <w:rPr>
      <w:szCs w:val="24"/>
    </w:rPr>
  </w:style>
  <w:style w:type="paragraph" w:customStyle="1" w:styleId="Bold">
    <w:name w:val="Bold"/>
    <w:basedOn w:val="Normal"/>
    <w:qFormat/>
    <w:rsid w:val="00D41196"/>
    <w:rPr>
      <w:rFonts w:asciiTheme="majorHAnsi" w:hAnsiTheme="majorHAnsi"/>
      <w:b/>
      <w:bCs/>
    </w:rPr>
  </w:style>
  <w:style w:type="table" w:styleId="TableGrid">
    <w:name w:val="Table Grid"/>
    <w:basedOn w:val="TableNormal"/>
    <w:uiPriority w:val="39"/>
    <w:rsid w:val="00E14577"/>
    <w:pPr>
      <w:spacing w:after="0" w:line="240" w:lineRule="auto"/>
    </w:pPr>
    <w:rPr>
      <w:kern w:val="0"/>
      <w:sz w:val="18"/>
      <w:szCs w:val="1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57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14577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4577"/>
    <w:rPr>
      <w:rFonts w:eastAsiaTheme="minorEastAsia"/>
      <w:color w:val="000000" w:themeColor="text1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561B6"/>
    <w:pPr>
      <w:tabs>
        <w:tab w:val="center" w:pos="4680"/>
        <w:tab w:val="right" w:pos="9360"/>
      </w:tabs>
      <w:spacing w:before="0" w:line="240" w:lineRule="auto"/>
    </w:pPr>
    <w:rPr>
      <w:rFonts w:cs="Times New Roman (Body CS)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B561B6"/>
    <w:rPr>
      <w:rFonts w:ascii="Microsoft Sans Serif" w:eastAsiaTheme="minorEastAsia" w:hAnsi="Microsoft Sans Serif" w:cs="Times New Roman (Body CS)"/>
      <w:color w:val="000000" w:themeColor="text1"/>
      <w:kern w:val="0"/>
      <w:sz w:val="20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14577"/>
  </w:style>
  <w:style w:type="paragraph" w:styleId="ListBullet">
    <w:name w:val="List Bullet"/>
    <w:basedOn w:val="Normal"/>
    <w:uiPriority w:val="99"/>
    <w:rsid w:val="00D41196"/>
    <w:pPr>
      <w:numPr>
        <w:numId w:val="2"/>
      </w:numPr>
    </w:pPr>
  </w:style>
  <w:style w:type="character" w:styleId="Emphasis">
    <w:name w:val="Emphasis"/>
    <w:basedOn w:val="DefaultParagraphFont"/>
    <w:uiPriority w:val="20"/>
    <w:qFormat/>
    <w:rsid w:val="00D41196"/>
    <w:rPr>
      <w:b/>
      <w:i w:val="0"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EE3F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abs.gov.au/census/find-census-data/datapack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nhq\AppData\Roaming\Microsoft\Templates\Business%20report%20(professional%20design).dotx" TargetMode="External"/></Relationships>
</file>

<file path=word/theme/theme1.xml><?xml version="1.0" encoding="utf-8"?>
<a:theme xmlns:a="http://schemas.openxmlformats.org/drawingml/2006/main" name="Office Theme">
  <a:themeElements>
    <a:clrScheme name="Business report professional design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5CF92"/>
      </a:accent1>
      <a:accent2>
        <a:srgbClr val="0054B9"/>
      </a:accent2>
      <a:accent3>
        <a:srgbClr val="FDE700"/>
      </a:accent3>
      <a:accent4>
        <a:srgbClr val="F160B7"/>
      </a:accent4>
      <a:accent5>
        <a:srgbClr val="714EEB"/>
      </a:accent5>
      <a:accent6>
        <a:srgbClr val="FF3A2E"/>
      </a:accent6>
      <a:hlink>
        <a:srgbClr val="467886"/>
      </a:hlink>
      <a:folHlink>
        <a:srgbClr val="96607D"/>
      </a:folHlink>
    </a:clrScheme>
    <a:fontScheme name="Custom 2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AA05782-1956-4ABD-9469-5855286A5A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CA0720-E518-4C54-8EC1-2FF547E897F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A94286-1488-4B05-BE05-620B873327F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Business report (professional design).dotx</Template>
  <TotalTime>72</TotalTime>
  <Pages>5</Pages>
  <Words>733</Words>
  <Characters>4180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 Mai</dc:creator>
  <cp:keywords/>
  <dc:description/>
  <cp:lastModifiedBy>Quan Mai</cp:lastModifiedBy>
  <cp:revision>10</cp:revision>
  <cp:lastPrinted>2025-05-01T20:47:00Z</cp:lastPrinted>
  <dcterms:created xsi:type="dcterms:W3CDTF">2026-10-09T03:10:00Z</dcterms:created>
  <dcterms:modified xsi:type="dcterms:W3CDTF">2026-10-09T04:22:00Z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