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  <w:keepNext/>
      </w:pPr>
      <w:r>
        <w:rPr>
          <w:rFonts w:ascii="Times New Roman" w:hAnsi="Times New Roman" w:eastAsia="Times New Roman"/>
          <w:b/>
          <w:sz w:val="32"/>
        </w:rPr>
        <w:t>Highlights</w:t>
      </w:r>
    </w:p>
    <w:p>
      <w:pPr>
        <w:pStyle w:val="ListBullet"/>
        <w:spacing w:after="160" w:line="259" w:lineRule="auto"/>
        <w:ind w:left="357" w:hanging="181"/>
      </w:pPr>
      <w:r>
        <w:rPr>
          <w:rFonts w:ascii="Times New Roman" w:hAnsi="Times New Roman" w:eastAsia="Times New Roman"/>
          <w:b w:val="0"/>
          <w:sz w:val="22"/>
        </w:rPr>
        <w:t>Six sleep-staging pipelines were compared on shared subject-wise partitions.</w:t>
      </w:r>
    </w:p>
    <w:p>
      <w:pPr>
        <w:pStyle w:val="ListBullet"/>
        <w:spacing w:after="160" w:line="259" w:lineRule="auto"/>
        <w:ind w:left="357" w:hanging="181"/>
      </w:pPr>
      <w:r>
        <w:rPr>
          <w:rFonts w:ascii="Times New Roman" w:hAnsi="Times New Roman" w:eastAsia="Times New Roman"/>
          <w:b w:val="0"/>
          <w:sz w:val="22"/>
        </w:rPr>
        <w:t>The faster pipeline reduced forward-pass time by 3.76-fold.</w:t>
      </w:r>
    </w:p>
    <w:p>
      <w:pPr>
        <w:pStyle w:val="ListBullet"/>
        <w:spacing w:after="160" w:line="259" w:lineRule="auto"/>
        <w:ind w:left="357" w:hanging="181"/>
      </w:pPr>
      <w:r>
        <w:rPr>
          <w:rFonts w:ascii="Times New Roman" w:hAnsi="Times New Roman" w:eastAsia="Times New Roman"/>
          <w:b w:val="0"/>
          <w:sz w:val="22"/>
        </w:rPr>
        <w:t>Preprocessing materially affected cross-cohort transfer performance.</w:t>
      </w:r>
    </w:p>
    <w:p>
      <w:pPr>
        <w:pStyle w:val="ListBullet"/>
        <w:spacing w:after="160" w:line="259" w:lineRule="auto"/>
        <w:ind w:left="357" w:hanging="181"/>
      </w:pPr>
      <w:r>
        <w:rPr>
          <w:rFonts w:ascii="Times New Roman" w:hAnsi="Times New Roman" w:eastAsia="Times New Roman"/>
          <w:b w:val="0"/>
          <w:sz w:val="22"/>
        </w:rPr>
        <w:t>Aggregate transfer gains did not resolve deep-sleep under-detection.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Informatics in Medicine Unlocked submission</dc:subject>
  <dc:creator>Ngo Nhat Quan; Pham Thai 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