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Spark on Yarn安装配置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Spark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on Yarn配置、运行测试等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Flink on Yarn安装配置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Flink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利用Spark,从MySQL中进行离线数据抽取，包括增量数据抽取操作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利用Spark,从ods到dwd的数据清洗，包括全量数据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抽取、数据合并、排序、数据类型转换等操作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推荐系统的数据集进行特征提取及数据预处理等操作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基于用户的推荐系统设计开发操作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基于Flume和Kafka的实时数据采集，包括Flume采集端口及配置、数据注入Kafka等操作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用柱状图展示消费额最高的省份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用饼状图展示各地区消费能力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用折线图展示每年上架商品数量变化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平均消费额最高的省份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折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柱混合图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省份平均消费额和地区平均消费额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任务一：如何解决Job运行效率低的问题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如何解决Job运行效率低的问题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对于数据挖掘模块中的用户推荐有什么好的建议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分析数据挖掘模块中的用户推荐并提供合理化建议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12262EE4"/>
    <w:rsid w:val="18C21160"/>
    <w:rsid w:val="2124750F"/>
    <w:rsid w:val="21E74D64"/>
    <w:rsid w:val="444B63DA"/>
    <w:rsid w:val="58C4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844</Words>
  <Characters>1035</Characters>
  <Lines>0</Lines>
  <Paragraphs>0</Paragraphs>
  <TotalTime>2</TotalTime>
  <ScaleCrop>false</ScaleCrop>
  <LinksUpToDate>false</LinksUpToDate>
  <CharactersWithSpaces>1040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