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287AF" w14:textId="77777777" w:rsidR="00265213" w:rsidRPr="00265213" w:rsidRDefault="00265213" w:rsidP="00022AC1">
      <w:pPr>
        <w:pStyle w:val="Heading1"/>
      </w:pPr>
      <w:r w:rsidRPr="00022AC1">
        <w:t>1.</w:t>
      </w:r>
      <w:r w:rsidRPr="00265213">
        <w:t xml:space="preserve"> </w:t>
      </w:r>
      <w:r w:rsidRPr="00022AC1">
        <w:t>Introduction</w:t>
      </w:r>
    </w:p>
    <w:p w14:paraId="03DC2084" w14:textId="77777777" w:rsidR="00265213" w:rsidRPr="00022AC1" w:rsidRDefault="00265213" w:rsidP="00022AC1">
      <w:pPr>
        <w:pStyle w:val="Heading2"/>
      </w:pPr>
      <w:r w:rsidRPr="00022AC1">
        <w:t>1.1 Generative Adversarial Networks (GANs)</w:t>
      </w:r>
    </w:p>
    <w:p w14:paraId="2ED8168F" w14:textId="77777777" w:rsidR="00265213" w:rsidRPr="00265213" w:rsidRDefault="00265213" w:rsidP="00265213">
      <w:r w:rsidRPr="00265213">
        <w:t>Deep generative models have traditionally faced significant computational challenges in approximating probabilistic distributions and effectively leveraging neural network architectures. Generative Adversarial Networks (GANs) emerged as an innovative solution to these fundamental limitations. The core principle of GANs lies in a unique adversarial learning framework that fundamentally transforms generative modeling.</w:t>
      </w:r>
    </w:p>
    <w:p w14:paraId="32E6450A" w14:textId="77777777" w:rsidR="00265213" w:rsidRPr="00265213" w:rsidRDefault="00265213" w:rsidP="00265213">
      <w:r w:rsidRPr="00265213">
        <w:t>In the GAN framework, two neural networks engage in a competitive learning process:</w:t>
      </w:r>
    </w:p>
    <w:p w14:paraId="46F36959" w14:textId="1B444A46" w:rsidR="00265213" w:rsidRPr="00265213" w:rsidRDefault="00265213" w:rsidP="00F66D80">
      <w:pPr>
        <w:pStyle w:val="ListParagraph"/>
        <w:numPr>
          <w:ilvl w:val="0"/>
          <w:numId w:val="21"/>
        </w:numPr>
      </w:pPr>
      <w:r w:rsidRPr="00265213">
        <w:t>A generative model (G) that aims to capture the underlying data distribution</w:t>
      </w:r>
    </w:p>
    <w:p w14:paraId="031D5793" w14:textId="4102D2D8" w:rsidR="00265213" w:rsidRPr="00265213" w:rsidRDefault="00265213" w:rsidP="00F66D80">
      <w:pPr>
        <w:pStyle w:val="ListParagraph"/>
        <w:numPr>
          <w:ilvl w:val="0"/>
          <w:numId w:val="21"/>
        </w:numPr>
      </w:pPr>
      <w:r w:rsidRPr="00265213">
        <w:t>A discriminative model (D) designed to distinguish between authentic training data and generated samples</w:t>
      </w:r>
    </w:p>
    <w:p w14:paraId="17B54685" w14:textId="77777777" w:rsidR="00265213" w:rsidRPr="00265213" w:rsidRDefault="00265213" w:rsidP="00265213">
      <w:r w:rsidRPr="00265213">
        <w:t>This adversarial mechanism creates a dynamic training environment where both networks continuously refine their capabilities. The generator strives to produce increasingly convincing synthetic data, while the discriminator becomes progressively more sophisticated in detecting generated content.</w:t>
      </w:r>
    </w:p>
    <w:p w14:paraId="205F24ED" w14:textId="77777777" w:rsidR="00265213" w:rsidRPr="00022AC1" w:rsidRDefault="00265213" w:rsidP="00022AC1">
      <w:pPr>
        <w:pStyle w:val="Heading2"/>
      </w:pPr>
      <w:r w:rsidRPr="00022AC1">
        <w:t>1.2 Image Super-Resolution</w:t>
      </w:r>
    </w:p>
    <w:p w14:paraId="7D1862F3" w14:textId="77777777" w:rsidR="00265213" w:rsidRPr="00265213" w:rsidRDefault="00265213" w:rsidP="00265213">
      <w:r w:rsidRPr="00265213">
        <w:t>Image super-resolution (SR) represents a critical image processing challenge that addresses the reconstruction of high-resolution images from low-resolution inputs. Traditional interpolation methods often produce suboptimal results, characterized by blurriness, artifacts, and loss of fine details. The field requires advanced techniques that can intelligently enhance image resolution while preserving perceptual quality and textural information.</w:t>
      </w:r>
    </w:p>
    <w:p w14:paraId="2B98EFBA" w14:textId="77777777" w:rsidR="00265213" w:rsidRPr="00265213" w:rsidRDefault="00265213" w:rsidP="00265213">
      <w:r w:rsidRPr="00265213">
        <w:t>The primary challenges in image super-resolution include:</w:t>
      </w:r>
    </w:p>
    <w:p w14:paraId="25317855" w14:textId="6098C255" w:rsidR="00265213" w:rsidRPr="00265213" w:rsidRDefault="00265213" w:rsidP="00022AC1">
      <w:pPr>
        <w:pStyle w:val="ListParagraph"/>
        <w:numPr>
          <w:ilvl w:val="0"/>
          <w:numId w:val="12"/>
        </w:numPr>
      </w:pPr>
      <w:r w:rsidRPr="00265213">
        <w:t>Maintaining perceptual realism</w:t>
      </w:r>
    </w:p>
    <w:p w14:paraId="75E20C79" w14:textId="5423B186" w:rsidR="00265213" w:rsidRPr="00265213" w:rsidRDefault="00265213" w:rsidP="00022AC1">
      <w:pPr>
        <w:pStyle w:val="ListParagraph"/>
        <w:numPr>
          <w:ilvl w:val="0"/>
          <w:numId w:val="12"/>
        </w:numPr>
      </w:pPr>
      <w:r w:rsidRPr="00265213">
        <w:t>Preserving fine-grained textural details</w:t>
      </w:r>
    </w:p>
    <w:p w14:paraId="7B52F0BA" w14:textId="77777777" w:rsidR="00265213" w:rsidRDefault="00265213" w:rsidP="00022AC1">
      <w:pPr>
        <w:pStyle w:val="ListParagraph"/>
        <w:numPr>
          <w:ilvl w:val="0"/>
          <w:numId w:val="12"/>
        </w:numPr>
      </w:pPr>
      <w:r w:rsidRPr="00265213">
        <w:t>Minimizing artifacts and distortions</w:t>
      </w:r>
    </w:p>
    <w:p w14:paraId="787E0B62" w14:textId="3D8390B3" w:rsidR="00265213" w:rsidRPr="00265213" w:rsidRDefault="00265213" w:rsidP="00022AC1">
      <w:pPr>
        <w:pStyle w:val="ListParagraph"/>
        <w:numPr>
          <w:ilvl w:val="0"/>
          <w:numId w:val="12"/>
        </w:numPr>
      </w:pPr>
      <w:r w:rsidRPr="00265213">
        <w:t>Generating visually compelling high-resolution outputs</w:t>
      </w:r>
    </w:p>
    <w:p w14:paraId="1687987A" w14:textId="77777777" w:rsidR="00265213" w:rsidRPr="00265213" w:rsidRDefault="00265213" w:rsidP="00022AC1">
      <w:pPr>
        <w:pStyle w:val="Heading2"/>
      </w:pPr>
      <w:r w:rsidRPr="00265213">
        <w:t xml:space="preserve">1.3 </w:t>
      </w:r>
      <w:r w:rsidRPr="00022AC1">
        <w:t>SRGAN</w:t>
      </w:r>
    </w:p>
    <w:p w14:paraId="6AF14D1F" w14:textId="77777777" w:rsidR="00265213" w:rsidRPr="00265213" w:rsidRDefault="00265213" w:rsidP="00265213">
      <w:r w:rsidRPr="00265213">
        <w:t>The Super-Resolution Generative Adversarial Network (SRGAN) represents a groundbreaking approach to addressing image super-resolution limitations. Unlike traditional methods that rely on pixel-level mean squared error (MSE) optimization, SRGAN introduces a novel perceptual loss function that prioritizes visual quality and perceptual realism.</w:t>
      </w:r>
    </w:p>
    <w:p w14:paraId="46287F12" w14:textId="77777777" w:rsidR="00265213" w:rsidRPr="00265213" w:rsidRDefault="00265213" w:rsidP="00265213">
      <w:r w:rsidRPr="00265213">
        <w:t>Key innovations of SRGAN include:</w:t>
      </w:r>
    </w:p>
    <w:p w14:paraId="1A9FA318" w14:textId="58C7C05C" w:rsidR="00265213" w:rsidRPr="00265213" w:rsidRDefault="00265213" w:rsidP="00022AC1">
      <w:pPr>
        <w:pStyle w:val="ListParagraph"/>
        <w:numPr>
          <w:ilvl w:val="0"/>
          <w:numId w:val="13"/>
        </w:numPr>
      </w:pPr>
      <w:r w:rsidRPr="00265213">
        <w:lastRenderedPageBreak/>
        <w:t>A deep residual network architecture</w:t>
      </w:r>
    </w:p>
    <w:p w14:paraId="7940831E" w14:textId="0207A572" w:rsidR="00265213" w:rsidRPr="00265213" w:rsidRDefault="00265213" w:rsidP="00022AC1">
      <w:pPr>
        <w:pStyle w:val="ListParagraph"/>
        <w:numPr>
          <w:ilvl w:val="0"/>
          <w:numId w:val="13"/>
        </w:numPr>
      </w:pPr>
      <w:r w:rsidRPr="00265213">
        <w:t>An adversarial training strategy</w:t>
      </w:r>
    </w:p>
    <w:p w14:paraId="3AF306F7" w14:textId="601ACCA1" w:rsidR="00265213" w:rsidRPr="00265213" w:rsidRDefault="00265213" w:rsidP="00022AC1">
      <w:pPr>
        <w:pStyle w:val="ListParagraph"/>
        <w:numPr>
          <w:ilvl w:val="0"/>
          <w:numId w:val="13"/>
        </w:numPr>
      </w:pPr>
      <w:r w:rsidRPr="00265213">
        <w:t>A perceptual loss function combining adversarial and content losses</w:t>
      </w:r>
    </w:p>
    <w:p w14:paraId="185F0F52" w14:textId="30F9610D" w:rsidR="00265213" w:rsidRPr="00265213" w:rsidRDefault="00265213" w:rsidP="00022AC1">
      <w:pPr>
        <w:pStyle w:val="ListParagraph"/>
        <w:numPr>
          <w:ilvl w:val="0"/>
          <w:numId w:val="13"/>
        </w:numPr>
      </w:pPr>
      <w:r w:rsidRPr="00265213">
        <w:t>Ability to generate visually sophisticated high-resolution images</w:t>
      </w:r>
    </w:p>
    <w:p w14:paraId="11DB6B3F" w14:textId="77777777" w:rsidR="00265213" w:rsidRDefault="00265213" w:rsidP="00265213">
      <w:r w:rsidRPr="00265213">
        <w:t>This research explores the implementation and performance of SRGAN, investigating its architectural innovations, training methodology, and potential applications in advanced image reconstruction tasks.</w:t>
      </w:r>
    </w:p>
    <w:p w14:paraId="6DC842CC" w14:textId="77777777" w:rsidR="00022AC1" w:rsidRDefault="00022AC1" w:rsidP="00265213"/>
    <w:p w14:paraId="0DA4FA65" w14:textId="77777777" w:rsidR="00022AC1" w:rsidRPr="00022AC1" w:rsidRDefault="00022AC1" w:rsidP="00022AC1">
      <w:pPr>
        <w:pStyle w:val="Heading1"/>
      </w:pPr>
      <w:r w:rsidRPr="00022AC1">
        <w:t>2. Architecture</w:t>
      </w:r>
    </w:p>
    <w:p w14:paraId="0D26BCED" w14:textId="77777777" w:rsidR="00022AC1" w:rsidRPr="00022AC1" w:rsidRDefault="00022AC1" w:rsidP="00022AC1">
      <w:pPr>
        <w:pStyle w:val="Heading2"/>
      </w:pPr>
      <w:r w:rsidRPr="00022AC1">
        <w:t>2.1 Adversarial Network Architecture</w:t>
      </w:r>
    </w:p>
    <w:p w14:paraId="222A8779" w14:textId="77777777" w:rsidR="00022AC1" w:rsidRDefault="00022AC1" w:rsidP="00022AC1">
      <w:r w:rsidRPr="00022AC1">
        <w:t>The SRGAN architecture comprises two primary neural networks: a deep residual network generator and a discriminator network, each designed to address specific challenges in high-quality image super-resolution.</w:t>
      </w:r>
    </w:p>
    <w:p w14:paraId="53BA6206" w14:textId="37325227" w:rsidR="00022AC1" w:rsidRDefault="00022AC1" w:rsidP="00022AC1">
      <w:r w:rsidRPr="00022AC1">
        <w:rPr>
          <w:noProof/>
        </w:rPr>
        <w:drawing>
          <wp:inline distT="0" distB="0" distL="0" distR="0" wp14:anchorId="20867A36" wp14:editId="3EB3F51A">
            <wp:extent cx="5943600" cy="3107055"/>
            <wp:effectExtent l="0" t="0" r="0" b="0"/>
            <wp:docPr id="65887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78441" name=""/>
                    <pic:cNvPicPr/>
                  </pic:nvPicPr>
                  <pic:blipFill>
                    <a:blip r:embed="rId6"/>
                    <a:stretch>
                      <a:fillRect/>
                    </a:stretch>
                  </pic:blipFill>
                  <pic:spPr>
                    <a:xfrm>
                      <a:off x="0" y="0"/>
                      <a:ext cx="5943600" cy="3107055"/>
                    </a:xfrm>
                    <a:prstGeom prst="rect">
                      <a:avLst/>
                    </a:prstGeom>
                  </pic:spPr>
                </pic:pic>
              </a:graphicData>
            </a:graphic>
          </wp:inline>
        </w:drawing>
      </w:r>
    </w:p>
    <w:p w14:paraId="4118C421" w14:textId="77777777" w:rsidR="005277E0" w:rsidRDefault="005277E0" w:rsidP="005277E0">
      <w:pPr>
        <w:rPr>
          <w:rFonts w:eastAsiaTheme="minorEastAsia"/>
        </w:rPr>
      </w:pPr>
      <w:r>
        <w:t xml:space="preserve">A discriminator network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θ</m:t>
                </m:r>
              </m:e>
              <m:sub>
                <m:r>
                  <w:rPr>
                    <w:rFonts w:ascii="Cambria Math" w:hAnsi="Cambria Math"/>
                  </w:rPr>
                  <m:t>D</m:t>
                </m:r>
              </m:sub>
            </m:sSub>
          </m:sub>
        </m:sSub>
      </m:oMath>
      <w:r>
        <w:rPr>
          <w:rFonts w:eastAsiaTheme="minorEastAsia"/>
        </w:rPr>
        <w:t xml:space="preserve"> is optimize with </w:t>
      </w:r>
      <m:oMath>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G</m:t>
                </m:r>
              </m:sub>
            </m:sSub>
          </m:sub>
        </m:sSub>
      </m:oMath>
      <w:r>
        <w:rPr>
          <w:rFonts w:eastAsiaTheme="minorEastAsia"/>
        </w:rPr>
        <w:t xml:space="preserve"> in an alternating manner to solve the adversarial min-max problem:</w:t>
      </w:r>
    </w:p>
    <w:p w14:paraId="52632895" w14:textId="024D2EBA" w:rsidR="005277E0" w:rsidRPr="00022AC1" w:rsidRDefault="00000000" w:rsidP="00022AC1">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θ</m:t>
                      </m:r>
                    </m:e>
                    <m:sub>
                      <m:r>
                        <w:rPr>
                          <w:rFonts w:ascii="Cambria Math" w:hAnsi="Cambria Math"/>
                        </w:rPr>
                        <m:t>G</m:t>
                      </m:r>
                    </m:sub>
                  </m:sSub>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θ</m:t>
                          </m:r>
                        </m:e>
                        <m:sub>
                          <m:r>
                            <w:rPr>
                              <w:rFonts w:ascii="Cambria Math" w:hAnsi="Cambria Math"/>
                            </w:rPr>
                            <m:t>D</m:t>
                          </m:r>
                        </m:sub>
                      </m:sSub>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I</m:t>
                          </m:r>
                        </m:e>
                        <m:sup>
                          <m:r>
                            <w:rPr>
                              <w:rFonts w:ascii="Cambria Math" w:hAnsi="Cambria Math"/>
                            </w:rPr>
                            <m:t>HR</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train</m:t>
                          </m:r>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HR</m:t>
                              </m:r>
                            </m:sup>
                          </m:sSup>
                        </m:e>
                      </m:d>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θ</m:t>
                                  </m:r>
                                </m:e>
                                <m:sub>
                                  <m:r>
                                    <w:rPr>
                                      <w:rFonts w:ascii="Cambria Math" w:hAnsi="Cambria Math"/>
                                    </w:rPr>
                                    <m:t>D</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HR</m:t>
                                  </m:r>
                                </m:sup>
                              </m:sSup>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I</m:t>
                          </m:r>
                        </m:e>
                        <m:sup>
                          <m:r>
                            <w:rPr>
                              <w:rFonts w:ascii="Cambria Math" w:hAnsi="Cambria Math"/>
                            </w:rPr>
                            <m:t>LR</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LR</m:t>
                              </m:r>
                            </m:sup>
                          </m:sSup>
                        </m:e>
                      </m:d>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θ</m:t>
                                      </m:r>
                                    </m:e>
                                    <m:sub>
                                      <m:r>
                                        <w:rPr>
                                          <w:rFonts w:ascii="Cambria Math" w:hAnsi="Cambria Math"/>
                                        </w:rPr>
                                        <m:t>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G</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LR</m:t>
                                          </m:r>
                                        </m:sup>
                                      </m:sSup>
                                    </m:e>
                                  </m:d>
                                </m:e>
                              </m:d>
                            </m:e>
                          </m:d>
                        </m:e>
                      </m:func>
                    </m:e>
                  </m:d>
                </m:e>
              </m:func>
            </m:e>
          </m:func>
        </m:oMath>
      </m:oMathPara>
    </w:p>
    <w:p w14:paraId="549BE959" w14:textId="381B3585" w:rsidR="00022AC1" w:rsidRPr="00022AC1" w:rsidRDefault="00022AC1" w:rsidP="00022AC1">
      <w:pPr>
        <w:pStyle w:val="Heading3"/>
      </w:pPr>
      <w:r>
        <w:lastRenderedPageBreak/>
        <w:t xml:space="preserve">2.1.1 </w:t>
      </w:r>
      <w:r w:rsidRPr="00022AC1">
        <w:t>Generator Network</w:t>
      </w:r>
    </w:p>
    <w:p w14:paraId="7C53E49A" w14:textId="77777777" w:rsidR="00022AC1" w:rsidRPr="00022AC1" w:rsidRDefault="00022AC1" w:rsidP="00022AC1">
      <w:r w:rsidRPr="00022AC1">
        <w:t>The generator network employs a deep residual architecture optimized for image upscaling. Key characteristics include:</w:t>
      </w:r>
    </w:p>
    <w:p w14:paraId="3975F004" w14:textId="77777777" w:rsidR="00022AC1" w:rsidRPr="00022AC1" w:rsidRDefault="00022AC1" w:rsidP="00022AC1">
      <w:pPr>
        <w:pStyle w:val="ListParagraph"/>
        <w:numPr>
          <w:ilvl w:val="0"/>
          <w:numId w:val="14"/>
        </w:numPr>
      </w:pPr>
      <w:r w:rsidRPr="00022AC1">
        <w:t>Utilization of residual blocks with parametric ReLU activation</w:t>
      </w:r>
    </w:p>
    <w:p w14:paraId="7C859DE5" w14:textId="77777777" w:rsidR="00022AC1" w:rsidRPr="00022AC1" w:rsidRDefault="00022AC1" w:rsidP="00022AC1">
      <w:pPr>
        <w:pStyle w:val="ListParagraph"/>
        <w:numPr>
          <w:ilvl w:val="0"/>
          <w:numId w:val="14"/>
        </w:numPr>
      </w:pPr>
      <w:r w:rsidRPr="00022AC1">
        <w:t>Convolutional layers with stride and kernel configurations designed for efficient feature extraction</w:t>
      </w:r>
    </w:p>
    <w:p w14:paraId="2D074F3B" w14:textId="77777777" w:rsidR="00022AC1" w:rsidRPr="00022AC1" w:rsidRDefault="00022AC1" w:rsidP="00022AC1">
      <w:pPr>
        <w:pStyle w:val="ListParagraph"/>
        <w:numPr>
          <w:ilvl w:val="0"/>
          <w:numId w:val="14"/>
        </w:numPr>
      </w:pPr>
      <w:r w:rsidRPr="00022AC1">
        <w:t>Pixel shuffle layers for upsampling, replacing traditional transposed convolution</w:t>
      </w:r>
    </w:p>
    <w:p w14:paraId="0C7759C9" w14:textId="77777777" w:rsidR="00022AC1" w:rsidRPr="00022AC1" w:rsidRDefault="00022AC1" w:rsidP="00022AC1">
      <w:pPr>
        <w:pStyle w:val="ListParagraph"/>
        <w:numPr>
          <w:ilvl w:val="0"/>
          <w:numId w:val="14"/>
        </w:numPr>
      </w:pPr>
      <w:r w:rsidRPr="00022AC1">
        <w:t>Network depth optimized to capture multi-scale image features</w:t>
      </w:r>
    </w:p>
    <w:p w14:paraId="59BC3535" w14:textId="77777777" w:rsidR="00022AC1" w:rsidRPr="00022AC1" w:rsidRDefault="00022AC1" w:rsidP="00022AC1">
      <w:r w:rsidRPr="00022AC1">
        <w:t>The generator's primary objective is to transform low-resolution input images into high-resolution outputs that are perceptually indistinguishable from ground truth images.</w:t>
      </w:r>
    </w:p>
    <w:p w14:paraId="24520D25" w14:textId="427272C9" w:rsidR="00022AC1" w:rsidRPr="00022AC1" w:rsidRDefault="00022AC1" w:rsidP="00022AC1">
      <w:pPr>
        <w:pStyle w:val="Heading3"/>
      </w:pPr>
      <w:r>
        <w:t xml:space="preserve">2.1.2 </w:t>
      </w:r>
      <w:r w:rsidRPr="00022AC1">
        <w:t>Discriminator Network</w:t>
      </w:r>
    </w:p>
    <w:p w14:paraId="7ACF0494" w14:textId="18CEC0BD" w:rsidR="00022AC1" w:rsidRPr="00022AC1" w:rsidRDefault="00022AC1" w:rsidP="00022AC1">
      <w:r w:rsidRPr="00022AC1">
        <w:t>The discriminator network functions as a binary classifier with the following architectural principles:</w:t>
      </w:r>
    </w:p>
    <w:p w14:paraId="72EF8E2F" w14:textId="77777777" w:rsidR="00022AC1" w:rsidRPr="00022AC1" w:rsidRDefault="00022AC1" w:rsidP="00022AC1">
      <w:pPr>
        <w:pStyle w:val="ListParagraph"/>
        <w:numPr>
          <w:ilvl w:val="0"/>
          <w:numId w:val="15"/>
        </w:numPr>
      </w:pPr>
      <w:r w:rsidRPr="00022AC1">
        <w:t>Convolutional layers progressively increasing in depth</w:t>
      </w:r>
    </w:p>
    <w:p w14:paraId="6B2E9AFB" w14:textId="77777777" w:rsidR="00022AC1" w:rsidRPr="00022AC1" w:rsidRDefault="00022AC1" w:rsidP="00022AC1">
      <w:pPr>
        <w:pStyle w:val="ListParagraph"/>
        <w:numPr>
          <w:ilvl w:val="0"/>
          <w:numId w:val="15"/>
        </w:numPr>
      </w:pPr>
      <w:r w:rsidRPr="00022AC1">
        <w:t>Batch normalization to stabilize feature learning</w:t>
      </w:r>
    </w:p>
    <w:p w14:paraId="75FC7D66" w14:textId="77777777" w:rsidR="00022AC1" w:rsidRPr="00022AC1" w:rsidRDefault="00022AC1" w:rsidP="00022AC1">
      <w:pPr>
        <w:pStyle w:val="ListParagraph"/>
        <w:numPr>
          <w:ilvl w:val="0"/>
          <w:numId w:val="15"/>
        </w:numPr>
      </w:pPr>
      <w:r w:rsidRPr="00022AC1">
        <w:t>Leaky ReLU activation functions</w:t>
      </w:r>
    </w:p>
    <w:p w14:paraId="7263B9BF" w14:textId="77777777" w:rsidR="00022AC1" w:rsidRPr="00022AC1" w:rsidRDefault="00022AC1" w:rsidP="00022AC1">
      <w:pPr>
        <w:pStyle w:val="ListParagraph"/>
        <w:numPr>
          <w:ilvl w:val="0"/>
          <w:numId w:val="15"/>
        </w:numPr>
      </w:pPr>
      <w:r w:rsidRPr="00022AC1">
        <w:t>Fully connected layers for final classification</w:t>
      </w:r>
    </w:p>
    <w:p w14:paraId="76D9D2CA" w14:textId="77777777" w:rsidR="00022AC1" w:rsidRPr="00022AC1" w:rsidRDefault="00022AC1" w:rsidP="00022AC1">
      <w:r w:rsidRPr="00022AC1">
        <w:t>The discriminator's role is to distinguish between authentic high-resolution images and generated super-resolved images, providing critical feedback to the generator during adversarial training.</w:t>
      </w:r>
    </w:p>
    <w:p w14:paraId="1D7879B5" w14:textId="77777777" w:rsidR="00022AC1" w:rsidRPr="00022AC1" w:rsidRDefault="00022AC1" w:rsidP="00022AC1">
      <w:pPr>
        <w:pStyle w:val="Heading2"/>
      </w:pPr>
      <w:r w:rsidRPr="00022AC1">
        <w:t>2.2 Perceptual Loss Function</w:t>
      </w:r>
    </w:p>
    <w:p w14:paraId="31E1E501" w14:textId="385C0D07" w:rsidR="00022AC1" w:rsidRDefault="00022AC1" w:rsidP="00022AC1">
      <w:r w:rsidRPr="00022AC1">
        <w:t xml:space="preserve">SRGAN introduces a novel perceptual loss function that fundamentally differs from traditional pixel-wise loss metrics. The loss function </w:t>
      </w:r>
      <w:r w:rsidR="00502B11">
        <w:t>is formulated as</w:t>
      </w:r>
      <w:r w:rsidRPr="00022AC1">
        <w:t>:</w:t>
      </w:r>
    </w:p>
    <w:p w14:paraId="6989F47E" w14:textId="1E7BB403" w:rsidR="00502B11" w:rsidRPr="00022AC1" w:rsidRDefault="00000000" w:rsidP="00022AC1">
      <m:oMathPara>
        <m:oMath>
          <m:sSup>
            <m:sSupPr>
              <m:ctrlPr>
                <w:rPr>
                  <w:rFonts w:ascii="Cambria Math" w:hAnsi="Cambria Math"/>
                  <w:i/>
                </w:rPr>
              </m:ctrlPr>
            </m:sSupPr>
            <m:e>
              <m:r>
                <w:rPr>
                  <w:rFonts w:ascii="Cambria Math" w:hAnsi="Cambria Math"/>
                </w:rPr>
                <m:t>l</m:t>
              </m:r>
            </m:e>
            <m:sup>
              <m:r>
                <w:rPr>
                  <w:rFonts w:ascii="Cambria Math" w:hAnsi="Cambria Math"/>
                </w:rPr>
                <m:t>SR</m:t>
              </m:r>
            </m:sup>
          </m:sSup>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l</m:t>
                              </m:r>
                            </m:e>
                            <m:sub>
                              <m:r>
                                <w:rPr>
                                  <w:rFonts w:ascii="Cambria Math" w:hAnsi="Cambria Math"/>
                                </w:rPr>
                                <m:t>X</m:t>
                              </m:r>
                            </m:sub>
                            <m:sup>
                              <m:r>
                                <w:rPr>
                                  <w:rFonts w:ascii="Cambria Math" w:hAnsi="Cambria Math"/>
                                </w:rPr>
                                <m:t>SR</m:t>
                              </m:r>
                            </m:sup>
                          </m:sSubSup>
                        </m:e>
                      </m:groupChr>
                    </m:e>
                    <m:lim>
                      <m:r>
                        <w:rPr>
                          <w:rFonts w:ascii="Cambria Math" w:hAnsi="Cambria Math"/>
                        </w:rPr>
                        <m:t>content loss</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10</m:t>
                              </m:r>
                            </m:e>
                            <m:sup>
                              <m:r>
                                <w:rPr>
                                  <w:rFonts w:ascii="Cambria Math" w:hAnsi="Cambria Math"/>
                                </w:rPr>
                                <m:t>-3</m:t>
                              </m:r>
                            </m:sup>
                          </m:sSup>
                          <m:sSubSup>
                            <m:sSubSupPr>
                              <m:ctrlPr>
                                <w:rPr>
                                  <w:rFonts w:ascii="Cambria Math" w:hAnsi="Cambria Math"/>
                                  <w:i/>
                                </w:rPr>
                              </m:ctrlPr>
                            </m:sSubSupPr>
                            <m:e>
                              <m:r>
                                <w:rPr>
                                  <w:rFonts w:ascii="Cambria Math" w:hAnsi="Cambria Math"/>
                                </w:rPr>
                                <m:t>l</m:t>
                              </m:r>
                            </m:e>
                            <m:sub>
                              <m:r>
                                <w:rPr>
                                  <w:rFonts w:ascii="Cambria Math" w:hAnsi="Cambria Math"/>
                                </w:rPr>
                                <m:t>Gen</m:t>
                              </m:r>
                            </m:sub>
                            <m:sup>
                              <m:r>
                                <w:rPr>
                                  <w:rFonts w:ascii="Cambria Math" w:hAnsi="Cambria Math"/>
                                </w:rPr>
                                <m:t>SR</m:t>
                              </m:r>
                            </m:sup>
                          </m:sSubSup>
                        </m:e>
                      </m:groupChr>
                    </m:e>
                    <m:lim>
                      <m:r>
                        <w:rPr>
                          <w:rFonts w:ascii="Cambria Math" w:hAnsi="Cambria Math"/>
                        </w:rPr>
                        <m:t>adversarial loss</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2.10</m:t>
                              </m:r>
                            </m:e>
                            <m:sup>
                              <m:r>
                                <w:rPr>
                                  <w:rFonts w:ascii="Cambria Math" w:hAnsi="Cambria Math"/>
                                </w:rPr>
                                <m:t>-8</m:t>
                              </m:r>
                            </m:sup>
                          </m:sSup>
                          <m:sSubSup>
                            <m:sSubSupPr>
                              <m:ctrlPr>
                                <w:rPr>
                                  <w:rFonts w:ascii="Cambria Math" w:hAnsi="Cambria Math"/>
                                  <w:i/>
                                </w:rPr>
                              </m:ctrlPr>
                            </m:sSubSupPr>
                            <m:e>
                              <m:r>
                                <w:rPr>
                                  <w:rFonts w:ascii="Cambria Math" w:hAnsi="Cambria Math"/>
                                </w:rPr>
                                <m:t>l</m:t>
                              </m:r>
                            </m:e>
                            <m:sub>
                              <m:r>
                                <w:rPr>
                                  <w:rFonts w:ascii="Cambria Math" w:hAnsi="Cambria Math"/>
                                </w:rPr>
                                <m:t>TV</m:t>
                              </m:r>
                            </m:sub>
                            <m:sup>
                              <m:r>
                                <w:rPr>
                                  <w:rFonts w:ascii="Cambria Math" w:hAnsi="Cambria Math"/>
                                </w:rPr>
                                <m:t>SR</m:t>
                              </m:r>
                            </m:sup>
                          </m:sSubSup>
                        </m:e>
                      </m:groupChr>
                    </m:e>
                    <m:lim>
                      <m:r>
                        <w:rPr>
                          <w:rFonts w:ascii="Cambria Math" w:hAnsi="Cambria Math"/>
                        </w:rPr>
                        <m:t>total variation loss</m:t>
                      </m:r>
                    </m:lim>
                  </m:limLow>
                </m:e>
              </m:groupChr>
            </m:e>
            <m:lim>
              <m:r>
                <w:rPr>
                  <w:rFonts w:ascii="Cambria Math" w:hAnsi="Cambria Math"/>
                </w:rPr>
                <m:t>perceptual loss (for VGG based content losses)</m:t>
              </m:r>
            </m:lim>
          </m:limLow>
        </m:oMath>
      </m:oMathPara>
    </w:p>
    <w:p w14:paraId="421B1F72" w14:textId="01C25CD8" w:rsidR="00022AC1" w:rsidRPr="00022AC1" w:rsidRDefault="00022AC1" w:rsidP="00F66D80">
      <w:pPr>
        <w:pStyle w:val="Heading3"/>
        <w:numPr>
          <w:ilvl w:val="2"/>
          <w:numId w:val="19"/>
        </w:numPr>
      </w:pPr>
      <w:r w:rsidRPr="00022AC1">
        <w:t>Content Loss</w:t>
      </w:r>
    </w:p>
    <w:p w14:paraId="0913A2E2" w14:textId="77777777" w:rsidR="00F66D80" w:rsidRDefault="00022AC1" w:rsidP="00F66D80">
      <w:r w:rsidRPr="00022AC1">
        <w:t>The content loss comprises two primary components:</w:t>
      </w:r>
    </w:p>
    <w:p w14:paraId="63786D9F" w14:textId="075FF6AC" w:rsidR="00F66D80" w:rsidRDefault="00022AC1" w:rsidP="00F66D80">
      <w:pPr>
        <w:pStyle w:val="ListParagraph"/>
        <w:numPr>
          <w:ilvl w:val="0"/>
          <w:numId w:val="20"/>
        </w:numPr>
      </w:pPr>
      <w:r w:rsidRPr="00022AC1">
        <w:t>Pixel-wise Mean Squared Error (MSE)</w:t>
      </w:r>
      <w:r w:rsidR="00F66D80">
        <w:t>:</w:t>
      </w:r>
    </w:p>
    <w:p w14:paraId="5C681AE8" w14:textId="4FA8BAF6" w:rsidR="00F66D80" w:rsidRDefault="00000000" w:rsidP="00502B11">
      <m:oMathPara>
        <m:oMath>
          <m:sSubSup>
            <m:sSubSupPr>
              <m:ctrlPr>
                <w:rPr>
                  <w:rFonts w:ascii="Cambria Math" w:hAnsi="Cambria Math"/>
                  <w:i/>
                </w:rPr>
              </m:ctrlPr>
            </m:sSubSupPr>
            <m:e>
              <m:r>
                <w:rPr>
                  <w:rFonts w:ascii="Cambria Math" w:hAnsi="Cambria Math"/>
                </w:rPr>
                <m:t>l</m:t>
              </m:r>
            </m:e>
            <m:sub>
              <m:r>
                <w:rPr>
                  <w:rFonts w:ascii="Cambria Math" w:hAnsi="Cambria Math"/>
                </w:rPr>
                <m:t>MSE</m:t>
              </m:r>
            </m:sub>
            <m:sup>
              <m:r>
                <w:rPr>
                  <w:rFonts w:ascii="Cambria Math" w:hAnsi="Cambria Math"/>
                </w:rPr>
                <m:t>SR</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WH</m:t>
              </m:r>
            </m:den>
          </m:f>
          <m:nary>
            <m:naryPr>
              <m:chr m:val="∑"/>
              <m:limLoc m:val="undOvr"/>
              <m:ctrlPr>
                <w:rPr>
                  <w:rFonts w:ascii="Cambria Math" w:hAnsi="Cambria Math"/>
                  <w:i/>
                </w:rPr>
              </m:ctrlPr>
            </m:naryPr>
            <m:sub>
              <m:r>
                <w:rPr>
                  <w:rFonts w:ascii="Cambria Math" w:hAnsi="Cambria Math"/>
                </w:rPr>
                <m:t>x=1</m:t>
              </m:r>
            </m:sub>
            <m:sup>
              <m:r>
                <w:rPr>
                  <w:rFonts w:ascii="Cambria Math" w:hAnsi="Cambria Math"/>
                </w:rPr>
                <m:t>rW</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rH</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x,y</m:t>
                              </m:r>
                            </m:sub>
                            <m:sup>
                              <m:r>
                                <w:rPr>
                                  <w:rFonts w:ascii="Cambria Math" w:hAnsi="Cambria Math"/>
                                </w:rPr>
                                <m:t>HR</m:t>
                              </m:r>
                            </m:sup>
                          </m:sSubSup>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G</m:t>
                                  </m:r>
                                </m:sub>
                              </m:sSub>
                            </m:sub>
                          </m:sSub>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LR</m:t>
                                      </m:r>
                                    </m:sup>
                                  </m:sSup>
                                </m:e>
                              </m:d>
                            </m:e>
                            <m:sub>
                              <m:r>
                                <w:rPr>
                                  <w:rFonts w:ascii="Cambria Math" w:hAnsi="Cambria Math"/>
                                </w:rPr>
                                <m:t>x,y</m:t>
                              </m:r>
                            </m:sub>
                          </m:sSub>
                        </m:e>
                      </m:d>
                    </m:e>
                    <m:sup>
                      <m:r>
                        <w:rPr>
                          <w:rFonts w:ascii="Cambria Math" w:hAnsi="Cambria Math"/>
                        </w:rPr>
                        <m:t>2</m:t>
                      </m:r>
                    </m:sup>
                  </m:sSup>
                </m:e>
              </m:nary>
            </m:e>
          </m:nary>
        </m:oMath>
      </m:oMathPara>
    </w:p>
    <w:p w14:paraId="4F5B918F" w14:textId="08A55F3A" w:rsidR="00022AC1" w:rsidRDefault="00022AC1" w:rsidP="00F66D80">
      <w:pPr>
        <w:pStyle w:val="ListParagraph"/>
        <w:numPr>
          <w:ilvl w:val="0"/>
          <w:numId w:val="20"/>
        </w:numPr>
      </w:pPr>
      <w:r w:rsidRPr="00022AC1">
        <w:t>Perceptual loss derived from pre-trained VGG1</w:t>
      </w:r>
      <w:r w:rsidR="00B9473D">
        <w:t>6</w:t>
      </w:r>
      <w:r w:rsidR="00502B11">
        <w:t>:</w:t>
      </w:r>
    </w:p>
    <w:p w14:paraId="4289581B" w14:textId="5B7289F1" w:rsidR="00502B11" w:rsidRPr="005074EE" w:rsidRDefault="00000000" w:rsidP="00502B11">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VGG/i.j</m:t>
              </m:r>
            </m:sub>
            <m:sup>
              <m:r>
                <w:rPr>
                  <w:rFonts w:ascii="Cambria Math" w:hAnsi="Cambria Math"/>
                </w:rPr>
                <m:t>SR</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den>
          </m:f>
          <m:nary>
            <m:naryPr>
              <m:chr m:val="∑"/>
              <m:limLoc m:val="undOvr"/>
              <m:ctrlPr>
                <w:rPr>
                  <w:rFonts w:ascii="Cambria Math" w:eastAsiaTheme="minorEastAsia" w:hAnsi="Cambria Math"/>
                  <w:i/>
                </w:rPr>
              </m:ctrlPr>
            </m:naryPr>
            <m:sub>
              <m:r>
                <w:rPr>
                  <w:rFonts w:ascii="Cambria Math" w:eastAsiaTheme="minorEastAsia" w:hAnsi="Cambria Math"/>
                </w:rPr>
                <m:t>x=1</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e>
              <m:nary>
                <m:naryPr>
                  <m:chr m:val="∑"/>
                  <m:limLoc m:val="undOvr"/>
                  <m:ctrlPr>
                    <w:rPr>
                      <w:rFonts w:ascii="Cambria Math" w:eastAsiaTheme="minorEastAsia" w:hAnsi="Cambria Math"/>
                      <w:i/>
                    </w:rPr>
                  </m:ctrlPr>
                </m:naryPr>
                <m:sub>
                  <m:r>
                    <w:rPr>
                      <w:rFonts w:ascii="Cambria Math" w:eastAsiaTheme="minorEastAsia" w:hAnsi="Cambria Math"/>
                    </w:rPr>
                    <m:t>y=1</m:t>
                  </m:r>
                </m:sub>
                <m: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i,j</m:t>
                              </m:r>
                            </m:sub>
                          </m:sSub>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HR</m:t>
                                      </m:r>
                                    </m:sup>
                                  </m:sSup>
                                </m:e>
                              </m:d>
                            </m:e>
                            <m:sub>
                              <m:r>
                                <w:rPr>
                                  <w:rFonts w:ascii="Cambria Math" w:eastAsiaTheme="minorEastAsia"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i,j</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G</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HR</m:t>
                                          </m:r>
                                        </m:sup>
                                      </m:sSup>
                                    </m:e>
                                  </m:d>
                                  <m:r>
                                    <w:rPr>
                                      <w:rFonts w:ascii="Cambria Math" w:eastAsiaTheme="minorEastAsia" w:hAnsi="Cambria Math"/>
                                    </w:rPr>
                                    <m:t xml:space="preserve"> </m:t>
                                  </m:r>
                                </m:e>
                              </m:d>
                            </m:e>
                            <m:sub>
                              <m:r>
                                <w:rPr>
                                  <w:rFonts w:ascii="Cambria Math" w:eastAsiaTheme="minorEastAsia" w:hAnsi="Cambria Math"/>
                                </w:rPr>
                                <m:t>x,y</m:t>
                              </m:r>
                            </m:sub>
                          </m:sSub>
                        </m:e>
                      </m:d>
                    </m:e>
                    <m:sup>
                      <m:r>
                        <w:rPr>
                          <w:rFonts w:ascii="Cambria Math" w:eastAsiaTheme="minorEastAsia" w:hAnsi="Cambria Math"/>
                        </w:rPr>
                        <m:t>2</m:t>
                      </m:r>
                    </m:sup>
                  </m:sSup>
                </m:e>
              </m:nary>
            </m:e>
          </m:nary>
        </m:oMath>
      </m:oMathPara>
    </w:p>
    <w:p w14:paraId="4A2C4D32" w14:textId="5176772D" w:rsidR="005074EE" w:rsidRPr="00022AC1" w:rsidRDefault="005074EE" w:rsidP="00502B11">
      <m:oMathPara>
        <m:oMath>
          <m:r>
            <w:rPr>
              <w:rFonts w:ascii="Cambria Math" w:hAnsi="Cambria Math"/>
            </w:rPr>
            <m:t xml:space="preserve">where </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i,j</m:t>
                  </m:r>
                </m:sub>
              </m:sSub>
              <m:r>
                <w:rPr>
                  <w:rFonts w:ascii="Cambria Math" w:eastAsiaTheme="minorEastAsia" w:hAnsi="Cambria Math"/>
                </w:rPr>
                <m:t xml:space="preserve">=feature map of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r>
                <w:rPr>
                  <w:rFonts w:ascii="Cambria Math" w:eastAsiaTheme="minorEastAsia" w:hAnsi="Cambria Math"/>
                </w:rPr>
                <m:t xml:space="preserve"> convolution </m:t>
              </m:r>
              <m:d>
                <m:dPr>
                  <m:ctrlPr>
                    <w:rPr>
                      <w:rFonts w:ascii="Cambria Math" w:eastAsiaTheme="minorEastAsia" w:hAnsi="Cambria Math"/>
                      <w:i/>
                    </w:rPr>
                  </m:ctrlPr>
                </m:dPr>
                <m:e>
                  <m:r>
                    <w:rPr>
                      <w:rFonts w:ascii="Cambria Math" w:eastAsiaTheme="minorEastAsia" w:hAnsi="Cambria Math"/>
                    </w:rPr>
                    <m:t>after activation</m:t>
                  </m:r>
                </m:e>
              </m:d>
              <m:r>
                <w:rPr>
                  <w:rFonts w:ascii="Cambria Math" w:eastAsiaTheme="minorEastAsia" w:hAnsi="Cambria Math"/>
                </w:rPr>
                <m:t xml:space="preserve"> before </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maxpool layer</m:t>
              </m:r>
            </m:e>
          </m:d>
        </m:oMath>
      </m:oMathPara>
    </w:p>
    <w:p w14:paraId="06EC03C7" w14:textId="77777777" w:rsidR="00022AC1" w:rsidRPr="00022AC1" w:rsidRDefault="00022AC1" w:rsidP="00022AC1">
      <w:r w:rsidRPr="00022AC1">
        <w:t>The perceptual loss leverages feature representations from intermediate convolutional layers, capturing high-level image characteristics beyond pixel-level differences.</w:t>
      </w:r>
    </w:p>
    <w:p w14:paraId="2759A131" w14:textId="0F966587" w:rsidR="00022AC1" w:rsidRPr="00022AC1" w:rsidRDefault="00022AC1" w:rsidP="00022AC1">
      <w:pPr>
        <w:pStyle w:val="Heading3"/>
      </w:pPr>
      <w:r>
        <w:t xml:space="preserve">2.2.2 </w:t>
      </w:r>
      <w:r w:rsidRPr="00022AC1">
        <w:t>Adversarial Loss</w:t>
      </w:r>
    </w:p>
    <w:p w14:paraId="34899B9C" w14:textId="6A657336" w:rsidR="00022AC1" w:rsidRDefault="00022AC1" w:rsidP="00022AC1">
      <w:r w:rsidRPr="00022AC1">
        <w:t>The adversarial loss term, derived from the generator-discriminator interaction, encourages the generation of photorealistic images. It is formulated to maximize the probability of the generated image being classified as authentic by the discriminator</w:t>
      </w:r>
      <w:r w:rsidR="005277E0">
        <w:t>, while minimize the generative loss defined as:</w:t>
      </w:r>
    </w:p>
    <w:p w14:paraId="4DBA27E3" w14:textId="7C75D07D" w:rsidR="005277E0" w:rsidRPr="00514C51" w:rsidRDefault="00000000" w:rsidP="00022AC1">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Gen</m:t>
              </m:r>
            </m:sub>
            <m:sup>
              <m:r>
                <w:rPr>
                  <w:rFonts w:ascii="Cambria Math" w:hAnsi="Cambria Math"/>
                </w:rPr>
                <m:t>SR</m:t>
              </m:r>
            </m:sup>
          </m:sSub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θ</m:t>
                          </m:r>
                        </m:e>
                        <m:sub>
                          <m:r>
                            <w:rPr>
                              <w:rFonts w:ascii="Cambria Math" w:hAnsi="Cambria Math"/>
                            </w:rPr>
                            <m:t>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G</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LR</m:t>
                              </m:r>
                            </m:sup>
                          </m:sSup>
                        </m:e>
                      </m:d>
                      <m:r>
                        <w:rPr>
                          <w:rFonts w:ascii="Cambria Math" w:hAnsi="Cambria Math"/>
                        </w:rPr>
                        <m:t xml:space="preserve"> </m:t>
                      </m:r>
                    </m:e>
                  </m:d>
                </m:e>
              </m:func>
            </m:e>
          </m:nary>
        </m:oMath>
      </m:oMathPara>
    </w:p>
    <w:p w14:paraId="35CEC171" w14:textId="1F255E24" w:rsidR="00022AC1" w:rsidRDefault="00514C51" w:rsidP="00265213">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G</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LR</m:t>
                </m:r>
              </m:sup>
            </m:sSup>
          </m:e>
        </m:d>
        <m:r>
          <w:rPr>
            <w:rFonts w:ascii="Cambria Math" w:eastAsiaTheme="minorEastAsia" w:hAnsi="Cambria Math"/>
          </w:rPr>
          <m:t>)</m:t>
        </m:r>
      </m:oMath>
      <w:r>
        <w:rPr>
          <w:rFonts w:eastAsiaTheme="minorEastAsia"/>
        </w:rPr>
        <w:t xml:space="preserve"> is the probability that the reconstructed image </w:t>
      </w:r>
      <m:oMath>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G</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LR</m:t>
                </m:r>
              </m:sup>
            </m:sSup>
          </m:e>
        </m:d>
      </m:oMath>
      <w:r>
        <w:rPr>
          <w:rFonts w:eastAsiaTheme="minorEastAsia"/>
        </w:rPr>
        <w:t xml:space="preserve"> is a ground truth HR image. For better computation of gradient, they minimize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θ</m:t>
                    </m:r>
                  </m:e>
                  <m:sub>
                    <m:r>
                      <w:rPr>
                        <w:rFonts w:ascii="Cambria Math" w:hAnsi="Cambria Math"/>
                      </w:rPr>
                      <m:t>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G</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LR</m:t>
                        </m:r>
                      </m:sup>
                    </m:sSup>
                  </m:e>
                </m:d>
                <m:r>
                  <w:rPr>
                    <w:rFonts w:ascii="Cambria Math" w:hAnsi="Cambria Math"/>
                  </w:rPr>
                  <m:t xml:space="preserve"> </m:t>
                </m:r>
              </m:e>
            </m:d>
          </m:e>
        </m:func>
      </m:oMath>
      <w:r>
        <w:rPr>
          <w:rFonts w:eastAsiaTheme="minorEastAsia"/>
        </w:rPr>
        <w:t xml:space="preserve"> instead of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θ</m:t>
                        </m:r>
                      </m:e>
                      <m:sub>
                        <m:r>
                          <w:rPr>
                            <w:rFonts w:ascii="Cambria Math" w:hAnsi="Cambria Math"/>
                          </w:rPr>
                          <m:t>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G</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LR</m:t>
                            </m:r>
                          </m:sup>
                        </m:sSup>
                      </m:e>
                    </m:d>
                    <m:r>
                      <w:rPr>
                        <w:rFonts w:ascii="Cambria Math" w:hAnsi="Cambria Math"/>
                      </w:rPr>
                      <m:t xml:space="preserve"> </m:t>
                    </m:r>
                  </m:e>
                </m:d>
              </m:e>
            </m:d>
          </m:e>
        </m:func>
      </m:oMath>
      <w:r>
        <w:rPr>
          <w:rFonts w:eastAsiaTheme="minorEastAsia"/>
        </w:rPr>
        <w:t>.</w:t>
      </w:r>
    </w:p>
    <w:p w14:paraId="719A4DF5" w14:textId="2132D9F6" w:rsidR="007E5E70" w:rsidRDefault="007E5E70" w:rsidP="007E5E70">
      <w:pPr>
        <w:pStyle w:val="Heading3"/>
        <w:numPr>
          <w:ilvl w:val="2"/>
          <w:numId w:val="19"/>
        </w:numPr>
        <w:rPr>
          <w:rFonts w:eastAsiaTheme="minorEastAsia"/>
        </w:rPr>
      </w:pPr>
      <w:r>
        <w:rPr>
          <w:rFonts w:eastAsiaTheme="minorEastAsia"/>
        </w:rPr>
        <w:t>Total Variation Loss</w:t>
      </w:r>
    </w:p>
    <w:p w14:paraId="53633D48" w14:textId="59784032" w:rsidR="007E5E70" w:rsidRDefault="007E5E70" w:rsidP="007E5E70">
      <w:r w:rsidRPr="007E5E70">
        <w:t>Total Variation Loss is a regularization technique that encourages spatial smoothness in an image by minimizing the differences between neighboring pixel intensities. It penalizes abrupt changes in pixel values, reducing noise while preserving edge structures.</w:t>
      </w:r>
      <w:r>
        <w:t xml:space="preserve"> It is formulated as:</w:t>
      </w:r>
    </w:p>
    <w:p w14:paraId="3C64D8F6" w14:textId="7D66E8D9" w:rsidR="007E5E70" w:rsidRPr="007E5E70" w:rsidRDefault="00000000" w:rsidP="007E5E70">
      <m:oMathPara>
        <m:oMath>
          <m:sSubSup>
            <m:sSubSupPr>
              <m:ctrlPr>
                <w:rPr>
                  <w:rFonts w:ascii="Cambria Math" w:hAnsi="Cambria Math"/>
                  <w:i/>
                </w:rPr>
              </m:ctrlPr>
            </m:sSubSupPr>
            <m:e>
              <m:r>
                <w:rPr>
                  <w:rFonts w:ascii="Cambria Math" w:hAnsi="Cambria Math"/>
                </w:rPr>
                <m:t>l</m:t>
              </m:r>
            </m:e>
            <m:sub>
              <m:r>
                <w:rPr>
                  <w:rFonts w:ascii="Cambria Math" w:hAnsi="Cambria Math"/>
                </w:rPr>
                <m:t>TV</m:t>
              </m:r>
            </m:sub>
            <m:sup>
              <m:r>
                <w:rPr>
                  <w:rFonts w:ascii="Cambria Math" w:hAnsi="Cambria Math"/>
                </w:rPr>
                <m:t>SR</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HW</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e>
              </m:nary>
            </m:e>
          </m:nary>
        </m:oMath>
      </m:oMathPara>
    </w:p>
    <w:p w14:paraId="278BF7EA" w14:textId="77777777" w:rsidR="00C565FF" w:rsidRDefault="00C565FF" w:rsidP="00265213"/>
    <w:p w14:paraId="72C1AE89" w14:textId="77777777" w:rsidR="007D0C98" w:rsidRPr="007D0C98" w:rsidRDefault="007D0C98" w:rsidP="007D0C98">
      <w:pPr>
        <w:pStyle w:val="Heading1"/>
      </w:pPr>
      <w:r w:rsidRPr="007D0C98">
        <w:t>3. Experiments and Evaluation</w:t>
      </w:r>
    </w:p>
    <w:p w14:paraId="0B51A207" w14:textId="77777777" w:rsidR="007D0C98" w:rsidRPr="007D0C98" w:rsidRDefault="007D0C98" w:rsidP="007D0C98">
      <w:pPr>
        <w:pStyle w:val="Heading2"/>
      </w:pPr>
      <w:r w:rsidRPr="007D0C98">
        <w:t>3.1 Training Details and Parameters</w:t>
      </w:r>
    </w:p>
    <w:p w14:paraId="55C19B84" w14:textId="3084EBB7" w:rsidR="007D0C98" w:rsidRPr="007D0C98" w:rsidRDefault="007D0C98" w:rsidP="007D0C98">
      <w:r w:rsidRPr="007D0C98">
        <w:t xml:space="preserve">The super-resolution model was trained with </w:t>
      </w:r>
      <w:r>
        <w:t>these</w:t>
      </w:r>
      <w:r w:rsidRPr="007D0C98">
        <w:t xml:space="preserve"> configuration parameters:</w:t>
      </w:r>
    </w:p>
    <w:p w14:paraId="7F7800E6" w14:textId="4F52E1DF" w:rsidR="007D0C98" w:rsidRPr="007D0C98" w:rsidRDefault="007D0C98" w:rsidP="007D0C98">
      <w:pPr>
        <w:rPr>
          <w:b/>
          <w:bCs/>
        </w:rPr>
      </w:pPr>
      <w:r w:rsidRPr="007D0C98">
        <w:rPr>
          <w:b/>
          <w:bCs/>
        </w:rPr>
        <w:t>Training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660"/>
        <w:gridCol w:w="5868"/>
      </w:tblGrid>
      <w:tr w:rsidR="007D0C98" w:rsidRPr="007D0C98" w14:paraId="795CDBA6" w14:textId="77777777" w:rsidTr="007D0C98">
        <w:trPr>
          <w:tblHeader/>
          <w:tblCellSpacing w:w="15" w:type="dxa"/>
        </w:trPr>
        <w:tc>
          <w:tcPr>
            <w:tcW w:w="0" w:type="auto"/>
            <w:vAlign w:val="center"/>
            <w:hideMark/>
          </w:tcPr>
          <w:p w14:paraId="39C7719D" w14:textId="77777777" w:rsidR="007D0C98" w:rsidRPr="007D0C98" w:rsidRDefault="007D0C98" w:rsidP="007D0C98">
            <w:pPr>
              <w:rPr>
                <w:b/>
                <w:bCs/>
              </w:rPr>
            </w:pPr>
            <w:r w:rsidRPr="007D0C98">
              <w:rPr>
                <w:b/>
                <w:bCs/>
              </w:rPr>
              <w:lastRenderedPageBreak/>
              <w:t>Parameter</w:t>
            </w:r>
          </w:p>
        </w:tc>
        <w:tc>
          <w:tcPr>
            <w:tcW w:w="0" w:type="auto"/>
            <w:vAlign w:val="center"/>
            <w:hideMark/>
          </w:tcPr>
          <w:p w14:paraId="335E69D4" w14:textId="77777777" w:rsidR="007D0C98" w:rsidRPr="007D0C98" w:rsidRDefault="007D0C98" w:rsidP="007D0C98">
            <w:pPr>
              <w:rPr>
                <w:b/>
                <w:bCs/>
              </w:rPr>
            </w:pPr>
            <w:r w:rsidRPr="007D0C98">
              <w:rPr>
                <w:b/>
                <w:bCs/>
              </w:rPr>
              <w:t>Value</w:t>
            </w:r>
          </w:p>
        </w:tc>
        <w:tc>
          <w:tcPr>
            <w:tcW w:w="0" w:type="auto"/>
            <w:vAlign w:val="center"/>
            <w:hideMark/>
          </w:tcPr>
          <w:p w14:paraId="480EC308" w14:textId="5BD32C81" w:rsidR="007D0C98" w:rsidRPr="007D0C98" w:rsidRDefault="007D0C98" w:rsidP="007D0C98">
            <w:pPr>
              <w:rPr>
                <w:b/>
                <w:bCs/>
              </w:rPr>
            </w:pPr>
            <w:r>
              <w:rPr>
                <w:b/>
                <w:bCs/>
              </w:rPr>
              <w:t>Note</w:t>
            </w:r>
          </w:p>
        </w:tc>
      </w:tr>
      <w:tr w:rsidR="007D0C98" w:rsidRPr="007D0C98" w14:paraId="64E0EE6E" w14:textId="77777777" w:rsidTr="007D0C98">
        <w:trPr>
          <w:tblCellSpacing w:w="15" w:type="dxa"/>
        </w:trPr>
        <w:tc>
          <w:tcPr>
            <w:tcW w:w="0" w:type="auto"/>
            <w:vAlign w:val="center"/>
            <w:hideMark/>
          </w:tcPr>
          <w:p w14:paraId="7A637606" w14:textId="77777777" w:rsidR="007D0C98" w:rsidRPr="007D0C98" w:rsidRDefault="007D0C98" w:rsidP="007D0C98">
            <w:r w:rsidRPr="007D0C98">
              <w:t>Learning Rate</w:t>
            </w:r>
          </w:p>
        </w:tc>
        <w:tc>
          <w:tcPr>
            <w:tcW w:w="0" w:type="auto"/>
            <w:vAlign w:val="center"/>
            <w:hideMark/>
          </w:tcPr>
          <w:p w14:paraId="54B3B4CC" w14:textId="77777777" w:rsidR="007D0C98" w:rsidRPr="007D0C98" w:rsidRDefault="007D0C98" w:rsidP="007D0C98">
            <w:r w:rsidRPr="007D0C98">
              <w:t>1e-4</w:t>
            </w:r>
          </w:p>
        </w:tc>
        <w:tc>
          <w:tcPr>
            <w:tcW w:w="0" w:type="auto"/>
            <w:vAlign w:val="center"/>
            <w:hideMark/>
          </w:tcPr>
          <w:p w14:paraId="0D2BD040" w14:textId="4F5F303F" w:rsidR="007D0C98" w:rsidRPr="007D0C98" w:rsidRDefault="007D0C98" w:rsidP="007D0C98"/>
        </w:tc>
      </w:tr>
      <w:tr w:rsidR="007D0C98" w:rsidRPr="007D0C98" w14:paraId="6764F898" w14:textId="77777777" w:rsidTr="007D0C98">
        <w:trPr>
          <w:tblCellSpacing w:w="15" w:type="dxa"/>
        </w:trPr>
        <w:tc>
          <w:tcPr>
            <w:tcW w:w="0" w:type="auto"/>
            <w:vAlign w:val="center"/>
            <w:hideMark/>
          </w:tcPr>
          <w:p w14:paraId="2427E13B" w14:textId="256B3295" w:rsidR="007D0C98" w:rsidRPr="007D0C98" w:rsidRDefault="007D0C98" w:rsidP="007D0C98">
            <w:r>
              <w:t>Training</w:t>
            </w:r>
            <w:r w:rsidRPr="007D0C98">
              <w:t xml:space="preserve"> Epochs</w:t>
            </w:r>
          </w:p>
        </w:tc>
        <w:tc>
          <w:tcPr>
            <w:tcW w:w="0" w:type="auto"/>
            <w:vAlign w:val="center"/>
            <w:hideMark/>
          </w:tcPr>
          <w:p w14:paraId="28F86429" w14:textId="77777777" w:rsidR="007D0C98" w:rsidRPr="007D0C98" w:rsidRDefault="007D0C98" w:rsidP="007D0C98">
            <w:r w:rsidRPr="007D0C98">
              <w:t>400</w:t>
            </w:r>
          </w:p>
        </w:tc>
        <w:tc>
          <w:tcPr>
            <w:tcW w:w="0" w:type="auto"/>
            <w:vAlign w:val="center"/>
            <w:hideMark/>
          </w:tcPr>
          <w:p w14:paraId="5C27368F" w14:textId="35173B32" w:rsidR="007D0C98" w:rsidRPr="007D0C98" w:rsidRDefault="007D0C98" w:rsidP="007D0C98">
            <w:r>
              <w:t>Main training phase using VGG loss (enable discriminator)</w:t>
            </w:r>
          </w:p>
        </w:tc>
      </w:tr>
      <w:tr w:rsidR="007D0C98" w:rsidRPr="007D0C98" w14:paraId="301B583B" w14:textId="77777777" w:rsidTr="007D0C98">
        <w:trPr>
          <w:tblCellSpacing w:w="15" w:type="dxa"/>
        </w:trPr>
        <w:tc>
          <w:tcPr>
            <w:tcW w:w="0" w:type="auto"/>
            <w:vAlign w:val="center"/>
            <w:hideMark/>
          </w:tcPr>
          <w:p w14:paraId="27A1C798" w14:textId="77777777" w:rsidR="007D0C98" w:rsidRPr="007D0C98" w:rsidRDefault="007D0C98" w:rsidP="007D0C98">
            <w:r w:rsidRPr="007D0C98">
              <w:t>Warmup Epochs</w:t>
            </w:r>
          </w:p>
        </w:tc>
        <w:tc>
          <w:tcPr>
            <w:tcW w:w="0" w:type="auto"/>
            <w:vAlign w:val="center"/>
            <w:hideMark/>
          </w:tcPr>
          <w:p w14:paraId="0472ED09" w14:textId="77777777" w:rsidR="007D0C98" w:rsidRPr="007D0C98" w:rsidRDefault="007D0C98" w:rsidP="007D0C98">
            <w:r w:rsidRPr="007D0C98">
              <w:t>10</w:t>
            </w:r>
          </w:p>
        </w:tc>
        <w:tc>
          <w:tcPr>
            <w:tcW w:w="0" w:type="auto"/>
            <w:vAlign w:val="center"/>
            <w:hideMark/>
          </w:tcPr>
          <w:p w14:paraId="47FC2B71" w14:textId="0DE53CAB" w:rsidR="007D0C98" w:rsidRPr="007D0C98" w:rsidRDefault="007D0C98" w:rsidP="007D0C98">
            <w:r w:rsidRPr="007D0C98">
              <w:t>Initial training phase using MSE loss</w:t>
            </w:r>
            <w:r>
              <w:t xml:space="preserve"> (disable discriminator)</w:t>
            </w:r>
          </w:p>
        </w:tc>
      </w:tr>
      <w:tr w:rsidR="007D0C98" w:rsidRPr="007D0C98" w14:paraId="52B107B8" w14:textId="77777777" w:rsidTr="007D0C98">
        <w:trPr>
          <w:tblCellSpacing w:w="15" w:type="dxa"/>
        </w:trPr>
        <w:tc>
          <w:tcPr>
            <w:tcW w:w="0" w:type="auto"/>
            <w:vAlign w:val="center"/>
            <w:hideMark/>
          </w:tcPr>
          <w:p w14:paraId="2414A288" w14:textId="77777777" w:rsidR="007D0C98" w:rsidRPr="007D0C98" w:rsidRDefault="007D0C98" w:rsidP="007D0C98">
            <w:r w:rsidRPr="007D0C98">
              <w:t>Batch Size</w:t>
            </w:r>
          </w:p>
        </w:tc>
        <w:tc>
          <w:tcPr>
            <w:tcW w:w="0" w:type="auto"/>
            <w:vAlign w:val="center"/>
            <w:hideMark/>
          </w:tcPr>
          <w:p w14:paraId="46ABFFBE" w14:textId="77777777" w:rsidR="007D0C98" w:rsidRPr="007D0C98" w:rsidRDefault="007D0C98" w:rsidP="007D0C98">
            <w:r w:rsidRPr="007D0C98">
              <w:t>16</w:t>
            </w:r>
          </w:p>
        </w:tc>
        <w:tc>
          <w:tcPr>
            <w:tcW w:w="0" w:type="auto"/>
            <w:vAlign w:val="center"/>
            <w:hideMark/>
          </w:tcPr>
          <w:p w14:paraId="4F7EE8AD" w14:textId="2E551868" w:rsidR="007D0C98" w:rsidRPr="007D0C98" w:rsidRDefault="007D0C98" w:rsidP="007D0C98"/>
        </w:tc>
      </w:tr>
      <w:tr w:rsidR="007D0C98" w:rsidRPr="007D0C98" w14:paraId="255BDF12" w14:textId="77777777" w:rsidTr="007D0C98">
        <w:trPr>
          <w:tblCellSpacing w:w="15" w:type="dxa"/>
        </w:trPr>
        <w:tc>
          <w:tcPr>
            <w:tcW w:w="0" w:type="auto"/>
            <w:vAlign w:val="center"/>
            <w:hideMark/>
          </w:tcPr>
          <w:p w14:paraId="6C81F3A2" w14:textId="77777777" w:rsidR="007D0C98" w:rsidRPr="007D0C98" w:rsidRDefault="007D0C98" w:rsidP="007D0C98">
            <w:r w:rsidRPr="007D0C98">
              <w:t>Number of Workers</w:t>
            </w:r>
          </w:p>
        </w:tc>
        <w:tc>
          <w:tcPr>
            <w:tcW w:w="0" w:type="auto"/>
            <w:vAlign w:val="center"/>
            <w:hideMark/>
          </w:tcPr>
          <w:p w14:paraId="506C8D3B" w14:textId="77777777" w:rsidR="007D0C98" w:rsidRPr="007D0C98" w:rsidRDefault="007D0C98" w:rsidP="007D0C98">
            <w:r w:rsidRPr="007D0C98">
              <w:t>4</w:t>
            </w:r>
          </w:p>
        </w:tc>
        <w:tc>
          <w:tcPr>
            <w:tcW w:w="0" w:type="auto"/>
            <w:vAlign w:val="center"/>
            <w:hideMark/>
          </w:tcPr>
          <w:p w14:paraId="6F72E22E" w14:textId="44BD9B80" w:rsidR="007D0C98" w:rsidRPr="007D0C98" w:rsidRDefault="007D0C98" w:rsidP="007D0C98"/>
        </w:tc>
      </w:tr>
      <w:tr w:rsidR="007D0C98" w:rsidRPr="007D0C98" w14:paraId="6BD2A651" w14:textId="77777777" w:rsidTr="007D0C98">
        <w:trPr>
          <w:tblCellSpacing w:w="15" w:type="dxa"/>
        </w:trPr>
        <w:tc>
          <w:tcPr>
            <w:tcW w:w="0" w:type="auto"/>
            <w:vAlign w:val="center"/>
            <w:hideMark/>
          </w:tcPr>
          <w:p w14:paraId="50897FCB" w14:textId="77777777" w:rsidR="007D0C98" w:rsidRPr="007D0C98" w:rsidRDefault="007D0C98" w:rsidP="007D0C98">
            <w:r w:rsidRPr="007D0C98">
              <w:t>Upscaling Scale</w:t>
            </w:r>
          </w:p>
        </w:tc>
        <w:tc>
          <w:tcPr>
            <w:tcW w:w="0" w:type="auto"/>
            <w:vAlign w:val="center"/>
            <w:hideMark/>
          </w:tcPr>
          <w:p w14:paraId="45F868CF" w14:textId="77777777" w:rsidR="007D0C98" w:rsidRPr="007D0C98" w:rsidRDefault="007D0C98" w:rsidP="007D0C98">
            <w:r w:rsidRPr="007D0C98">
              <w:t>4x</w:t>
            </w:r>
          </w:p>
        </w:tc>
        <w:tc>
          <w:tcPr>
            <w:tcW w:w="0" w:type="auto"/>
            <w:vAlign w:val="center"/>
            <w:hideMark/>
          </w:tcPr>
          <w:p w14:paraId="65D9B3C6" w14:textId="11960EAC" w:rsidR="007D0C98" w:rsidRPr="007D0C98" w:rsidRDefault="007D0C98" w:rsidP="007D0C98"/>
        </w:tc>
      </w:tr>
      <w:tr w:rsidR="007D0C98" w:rsidRPr="007D0C98" w14:paraId="1381C940" w14:textId="77777777" w:rsidTr="007D0C98">
        <w:trPr>
          <w:tblCellSpacing w:w="15" w:type="dxa"/>
        </w:trPr>
        <w:tc>
          <w:tcPr>
            <w:tcW w:w="0" w:type="auto"/>
            <w:vAlign w:val="center"/>
            <w:hideMark/>
          </w:tcPr>
          <w:p w14:paraId="0B436724" w14:textId="3BA7AA69" w:rsidR="007D0C98" w:rsidRPr="007D0C98" w:rsidRDefault="007D0C98" w:rsidP="007D0C98">
            <w:r>
              <w:t>HR</w:t>
            </w:r>
            <w:r w:rsidRPr="007D0C98">
              <w:t xml:space="preserve"> Size</w:t>
            </w:r>
          </w:p>
        </w:tc>
        <w:tc>
          <w:tcPr>
            <w:tcW w:w="0" w:type="auto"/>
            <w:vAlign w:val="center"/>
            <w:hideMark/>
          </w:tcPr>
          <w:p w14:paraId="33D89157" w14:textId="77777777" w:rsidR="007D0C98" w:rsidRPr="007D0C98" w:rsidRDefault="007D0C98" w:rsidP="007D0C98">
            <w:r w:rsidRPr="007D0C98">
              <w:t>96x96</w:t>
            </w:r>
          </w:p>
        </w:tc>
        <w:tc>
          <w:tcPr>
            <w:tcW w:w="0" w:type="auto"/>
            <w:vAlign w:val="center"/>
            <w:hideMark/>
          </w:tcPr>
          <w:p w14:paraId="164C9877" w14:textId="4461CF73" w:rsidR="007D0C98" w:rsidRPr="007D0C98" w:rsidRDefault="007D0C98" w:rsidP="007D0C98"/>
        </w:tc>
      </w:tr>
      <w:tr w:rsidR="007D0C98" w:rsidRPr="007D0C98" w14:paraId="1E8E3D68" w14:textId="77777777" w:rsidTr="007D0C98">
        <w:trPr>
          <w:tblCellSpacing w:w="15" w:type="dxa"/>
        </w:trPr>
        <w:tc>
          <w:tcPr>
            <w:tcW w:w="0" w:type="auto"/>
            <w:vAlign w:val="center"/>
            <w:hideMark/>
          </w:tcPr>
          <w:p w14:paraId="751262AE" w14:textId="2CE0BA8F" w:rsidR="007D0C98" w:rsidRPr="007D0C98" w:rsidRDefault="007D0C98" w:rsidP="007D0C98">
            <w:r>
              <w:t>LR</w:t>
            </w:r>
            <w:r w:rsidRPr="007D0C98">
              <w:t xml:space="preserve"> Size</w:t>
            </w:r>
          </w:p>
        </w:tc>
        <w:tc>
          <w:tcPr>
            <w:tcW w:w="0" w:type="auto"/>
            <w:vAlign w:val="center"/>
            <w:hideMark/>
          </w:tcPr>
          <w:p w14:paraId="5D60A385" w14:textId="77777777" w:rsidR="007D0C98" w:rsidRPr="007D0C98" w:rsidRDefault="007D0C98" w:rsidP="007D0C98">
            <w:r w:rsidRPr="007D0C98">
              <w:t>24x24</w:t>
            </w:r>
          </w:p>
        </w:tc>
        <w:tc>
          <w:tcPr>
            <w:tcW w:w="0" w:type="auto"/>
            <w:vAlign w:val="center"/>
            <w:hideMark/>
          </w:tcPr>
          <w:p w14:paraId="5F6E1E53" w14:textId="1857C5C7" w:rsidR="007D0C98" w:rsidRPr="007D0C98" w:rsidRDefault="007D0C98" w:rsidP="007D0C98"/>
        </w:tc>
      </w:tr>
    </w:tbl>
    <w:p w14:paraId="66E5385E" w14:textId="77777777" w:rsidR="007D0C98" w:rsidRPr="007D0C98" w:rsidRDefault="007D0C98" w:rsidP="007D0C98">
      <w:pPr>
        <w:pStyle w:val="Heading2"/>
      </w:pPr>
      <w:r w:rsidRPr="007D0C98">
        <w:t>3.2 Evaluation Results</w:t>
      </w:r>
    </w:p>
    <w:p w14:paraId="02B04C6A" w14:textId="77777777" w:rsidR="007D0C98" w:rsidRPr="007D0C98" w:rsidRDefault="007D0C98" w:rsidP="007D0C98">
      <w:pPr>
        <w:rPr>
          <w:b/>
          <w:bCs/>
        </w:rPr>
      </w:pPr>
      <w:r w:rsidRPr="007D0C98">
        <w:rPr>
          <w:b/>
          <w:bCs/>
        </w:rPr>
        <w:t>Performance Comparison Across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687"/>
        <w:gridCol w:w="647"/>
        <w:gridCol w:w="741"/>
        <w:gridCol w:w="596"/>
      </w:tblGrid>
      <w:tr w:rsidR="007D0C98" w:rsidRPr="007D0C98" w14:paraId="7E451750" w14:textId="77777777" w:rsidTr="007D0C98">
        <w:trPr>
          <w:tblHeader/>
          <w:tblCellSpacing w:w="15" w:type="dxa"/>
        </w:trPr>
        <w:tc>
          <w:tcPr>
            <w:tcW w:w="0" w:type="auto"/>
            <w:vAlign w:val="center"/>
            <w:hideMark/>
          </w:tcPr>
          <w:p w14:paraId="40701EF4" w14:textId="77777777" w:rsidR="007D0C98" w:rsidRPr="007D0C98" w:rsidRDefault="007D0C98" w:rsidP="007D0C98">
            <w:pPr>
              <w:rPr>
                <w:b/>
                <w:bCs/>
              </w:rPr>
            </w:pPr>
            <w:r w:rsidRPr="007D0C98">
              <w:rPr>
                <w:b/>
                <w:bCs/>
              </w:rPr>
              <w:t>Dataset</w:t>
            </w:r>
          </w:p>
        </w:tc>
        <w:tc>
          <w:tcPr>
            <w:tcW w:w="0" w:type="auto"/>
            <w:vAlign w:val="center"/>
            <w:hideMark/>
          </w:tcPr>
          <w:p w14:paraId="28604312" w14:textId="77777777" w:rsidR="007D0C98" w:rsidRPr="007D0C98" w:rsidRDefault="007D0C98" w:rsidP="007D0C98">
            <w:pPr>
              <w:rPr>
                <w:b/>
                <w:bCs/>
              </w:rPr>
            </w:pPr>
            <w:r w:rsidRPr="007D0C98">
              <w:rPr>
                <w:b/>
                <w:bCs/>
              </w:rPr>
              <w:t>PSNR</w:t>
            </w:r>
          </w:p>
        </w:tc>
        <w:tc>
          <w:tcPr>
            <w:tcW w:w="0" w:type="auto"/>
            <w:vAlign w:val="center"/>
            <w:hideMark/>
          </w:tcPr>
          <w:p w14:paraId="0FF9DE83" w14:textId="77777777" w:rsidR="007D0C98" w:rsidRPr="007D0C98" w:rsidRDefault="007D0C98" w:rsidP="007D0C98">
            <w:pPr>
              <w:rPr>
                <w:b/>
                <w:bCs/>
              </w:rPr>
            </w:pPr>
            <w:r w:rsidRPr="007D0C98">
              <w:rPr>
                <w:b/>
                <w:bCs/>
              </w:rPr>
              <w:t>SSIM</w:t>
            </w:r>
          </w:p>
        </w:tc>
        <w:tc>
          <w:tcPr>
            <w:tcW w:w="0" w:type="auto"/>
            <w:vAlign w:val="center"/>
            <w:hideMark/>
          </w:tcPr>
          <w:p w14:paraId="7FD9FA50" w14:textId="77777777" w:rsidR="007D0C98" w:rsidRPr="007D0C98" w:rsidRDefault="007D0C98" w:rsidP="007D0C98">
            <w:pPr>
              <w:rPr>
                <w:b/>
                <w:bCs/>
              </w:rPr>
            </w:pPr>
            <w:r w:rsidRPr="007D0C98">
              <w:rPr>
                <w:b/>
                <w:bCs/>
              </w:rPr>
              <w:t>LPIPS</w:t>
            </w:r>
          </w:p>
        </w:tc>
        <w:tc>
          <w:tcPr>
            <w:tcW w:w="0" w:type="auto"/>
            <w:vAlign w:val="center"/>
            <w:hideMark/>
          </w:tcPr>
          <w:p w14:paraId="6864CE24" w14:textId="77777777" w:rsidR="007D0C98" w:rsidRPr="007D0C98" w:rsidRDefault="007D0C98" w:rsidP="007D0C98">
            <w:pPr>
              <w:rPr>
                <w:b/>
                <w:bCs/>
              </w:rPr>
            </w:pPr>
            <w:r w:rsidRPr="007D0C98">
              <w:rPr>
                <w:b/>
                <w:bCs/>
              </w:rPr>
              <w:t>MSE</w:t>
            </w:r>
          </w:p>
        </w:tc>
      </w:tr>
      <w:tr w:rsidR="007D0C98" w:rsidRPr="007D0C98" w14:paraId="10116A88" w14:textId="77777777" w:rsidTr="007D0C98">
        <w:trPr>
          <w:tblCellSpacing w:w="15" w:type="dxa"/>
        </w:trPr>
        <w:tc>
          <w:tcPr>
            <w:tcW w:w="0" w:type="auto"/>
            <w:vAlign w:val="center"/>
            <w:hideMark/>
          </w:tcPr>
          <w:p w14:paraId="3B9C48E8" w14:textId="77777777" w:rsidR="007D0C98" w:rsidRPr="007D0C98" w:rsidRDefault="007D0C98" w:rsidP="007D0C98">
            <w:r w:rsidRPr="007D0C98">
              <w:t>SET5</w:t>
            </w:r>
          </w:p>
        </w:tc>
        <w:tc>
          <w:tcPr>
            <w:tcW w:w="0" w:type="auto"/>
            <w:vAlign w:val="center"/>
            <w:hideMark/>
          </w:tcPr>
          <w:p w14:paraId="75A5B509" w14:textId="77777777" w:rsidR="007D0C98" w:rsidRPr="007D0C98" w:rsidRDefault="007D0C98" w:rsidP="007D0C98">
            <w:r w:rsidRPr="007D0C98">
              <w:t>0.00</w:t>
            </w:r>
          </w:p>
        </w:tc>
        <w:tc>
          <w:tcPr>
            <w:tcW w:w="0" w:type="auto"/>
            <w:vAlign w:val="center"/>
            <w:hideMark/>
          </w:tcPr>
          <w:p w14:paraId="711F026B" w14:textId="77777777" w:rsidR="007D0C98" w:rsidRPr="007D0C98" w:rsidRDefault="007D0C98" w:rsidP="007D0C98">
            <w:r w:rsidRPr="007D0C98">
              <w:t>0.00</w:t>
            </w:r>
          </w:p>
        </w:tc>
        <w:tc>
          <w:tcPr>
            <w:tcW w:w="0" w:type="auto"/>
            <w:vAlign w:val="center"/>
            <w:hideMark/>
          </w:tcPr>
          <w:p w14:paraId="4DACAF4B" w14:textId="77777777" w:rsidR="007D0C98" w:rsidRPr="007D0C98" w:rsidRDefault="007D0C98" w:rsidP="007D0C98">
            <w:r w:rsidRPr="007D0C98">
              <w:t>0.00</w:t>
            </w:r>
          </w:p>
        </w:tc>
        <w:tc>
          <w:tcPr>
            <w:tcW w:w="0" w:type="auto"/>
            <w:vAlign w:val="center"/>
            <w:hideMark/>
          </w:tcPr>
          <w:p w14:paraId="74CDA3CA" w14:textId="77777777" w:rsidR="007D0C98" w:rsidRPr="007D0C98" w:rsidRDefault="007D0C98" w:rsidP="007D0C98">
            <w:r w:rsidRPr="007D0C98">
              <w:t>0.00</w:t>
            </w:r>
          </w:p>
        </w:tc>
      </w:tr>
      <w:tr w:rsidR="007D0C98" w:rsidRPr="007D0C98" w14:paraId="553A1D5F" w14:textId="77777777" w:rsidTr="007D0C98">
        <w:trPr>
          <w:tblCellSpacing w:w="15" w:type="dxa"/>
        </w:trPr>
        <w:tc>
          <w:tcPr>
            <w:tcW w:w="0" w:type="auto"/>
            <w:vAlign w:val="center"/>
            <w:hideMark/>
          </w:tcPr>
          <w:p w14:paraId="0730977C" w14:textId="77777777" w:rsidR="007D0C98" w:rsidRPr="007D0C98" w:rsidRDefault="007D0C98" w:rsidP="007D0C98">
            <w:r w:rsidRPr="007D0C98">
              <w:t>SET14</w:t>
            </w:r>
          </w:p>
        </w:tc>
        <w:tc>
          <w:tcPr>
            <w:tcW w:w="0" w:type="auto"/>
            <w:vAlign w:val="center"/>
            <w:hideMark/>
          </w:tcPr>
          <w:p w14:paraId="6E302CBC" w14:textId="77777777" w:rsidR="007D0C98" w:rsidRPr="007D0C98" w:rsidRDefault="007D0C98" w:rsidP="007D0C98">
            <w:r w:rsidRPr="007D0C98">
              <w:t>0.00</w:t>
            </w:r>
          </w:p>
        </w:tc>
        <w:tc>
          <w:tcPr>
            <w:tcW w:w="0" w:type="auto"/>
            <w:vAlign w:val="center"/>
            <w:hideMark/>
          </w:tcPr>
          <w:p w14:paraId="49312D72" w14:textId="77777777" w:rsidR="007D0C98" w:rsidRPr="007D0C98" w:rsidRDefault="007D0C98" w:rsidP="007D0C98">
            <w:r w:rsidRPr="007D0C98">
              <w:t>0.00</w:t>
            </w:r>
          </w:p>
        </w:tc>
        <w:tc>
          <w:tcPr>
            <w:tcW w:w="0" w:type="auto"/>
            <w:vAlign w:val="center"/>
            <w:hideMark/>
          </w:tcPr>
          <w:p w14:paraId="7EA93FB5" w14:textId="77777777" w:rsidR="007D0C98" w:rsidRPr="007D0C98" w:rsidRDefault="007D0C98" w:rsidP="007D0C98">
            <w:r w:rsidRPr="007D0C98">
              <w:t>0.00</w:t>
            </w:r>
          </w:p>
        </w:tc>
        <w:tc>
          <w:tcPr>
            <w:tcW w:w="0" w:type="auto"/>
            <w:vAlign w:val="center"/>
            <w:hideMark/>
          </w:tcPr>
          <w:p w14:paraId="3DFE0607" w14:textId="77777777" w:rsidR="007D0C98" w:rsidRPr="007D0C98" w:rsidRDefault="007D0C98" w:rsidP="007D0C98">
            <w:r w:rsidRPr="007D0C98">
              <w:t>0.00</w:t>
            </w:r>
          </w:p>
        </w:tc>
      </w:tr>
      <w:tr w:rsidR="007D0C98" w:rsidRPr="007D0C98" w14:paraId="0FB2B85B" w14:textId="77777777" w:rsidTr="007D0C98">
        <w:trPr>
          <w:tblCellSpacing w:w="15" w:type="dxa"/>
        </w:trPr>
        <w:tc>
          <w:tcPr>
            <w:tcW w:w="0" w:type="auto"/>
            <w:vAlign w:val="center"/>
            <w:hideMark/>
          </w:tcPr>
          <w:p w14:paraId="3185B5C1" w14:textId="77777777" w:rsidR="007D0C98" w:rsidRPr="007D0C98" w:rsidRDefault="007D0C98" w:rsidP="007D0C98">
            <w:r w:rsidRPr="007D0C98">
              <w:t>BSD100</w:t>
            </w:r>
          </w:p>
        </w:tc>
        <w:tc>
          <w:tcPr>
            <w:tcW w:w="0" w:type="auto"/>
            <w:vAlign w:val="center"/>
            <w:hideMark/>
          </w:tcPr>
          <w:p w14:paraId="719A8AB2" w14:textId="77777777" w:rsidR="007D0C98" w:rsidRPr="007D0C98" w:rsidRDefault="007D0C98" w:rsidP="007D0C98">
            <w:r w:rsidRPr="007D0C98">
              <w:t>0.00</w:t>
            </w:r>
          </w:p>
        </w:tc>
        <w:tc>
          <w:tcPr>
            <w:tcW w:w="0" w:type="auto"/>
            <w:vAlign w:val="center"/>
            <w:hideMark/>
          </w:tcPr>
          <w:p w14:paraId="50C7C9D8" w14:textId="77777777" w:rsidR="007D0C98" w:rsidRPr="007D0C98" w:rsidRDefault="007D0C98" w:rsidP="007D0C98">
            <w:r w:rsidRPr="007D0C98">
              <w:t>0.00</w:t>
            </w:r>
          </w:p>
        </w:tc>
        <w:tc>
          <w:tcPr>
            <w:tcW w:w="0" w:type="auto"/>
            <w:vAlign w:val="center"/>
            <w:hideMark/>
          </w:tcPr>
          <w:p w14:paraId="1B9754FD" w14:textId="77777777" w:rsidR="007D0C98" w:rsidRPr="007D0C98" w:rsidRDefault="007D0C98" w:rsidP="007D0C98">
            <w:r w:rsidRPr="007D0C98">
              <w:t>0.00</w:t>
            </w:r>
          </w:p>
        </w:tc>
        <w:tc>
          <w:tcPr>
            <w:tcW w:w="0" w:type="auto"/>
            <w:vAlign w:val="center"/>
            <w:hideMark/>
          </w:tcPr>
          <w:p w14:paraId="17A42882" w14:textId="77777777" w:rsidR="007D0C98" w:rsidRPr="007D0C98" w:rsidRDefault="007D0C98" w:rsidP="007D0C98">
            <w:r w:rsidRPr="007D0C98">
              <w:t>0.00</w:t>
            </w:r>
          </w:p>
        </w:tc>
      </w:tr>
      <w:tr w:rsidR="007D0C98" w:rsidRPr="007D0C98" w14:paraId="5805A338" w14:textId="77777777" w:rsidTr="007D0C98">
        <w:trPr>
          <w:tblCellSpacing w:w="15" w:type="dxa"/>
        </w:trPr>
        <w:tc>
          <w:tcPr>
            <w:tcW w:w="0" w:type="auto"/>
            <w:vAlign w:val="center"/>
            <w:hideMark/>
          </w:tcPr>
          <w:p w14:paraId="56572637" w14:textId="77777777" w:rsidR="007D0C98" w:rsidRPr="007D0C98" w:rsidRDefault="007D0C98" w:rsidP="007D0C98">
            <w:r w:rsidRPr="007D0C98">
              <w:t>URBAN100</w:t>
            </w:r>
          </w:p>
        </w:tc>
        <w:tc>
          <w:tcPr>
            <w:tcW w:w="0" w:type="auto"/>
            <w:vAlign w:val="center"/>
            <w:hideMark/>
          </w:tcPr>
          <w:p w14:paraId="6861FDCB" w14:textId="77777777" w:rsidR="007D0C98" w:rsidRPr="007D0C98" w:rsidRDefault="007D0C98" w:rsidP="007D0C98">
            <w:r w:rsidRPr="007D0C98">
              <w:t>0.00</w:t>
            </w:r>
          </w:p>
        </w:tc>
        <w:tc>
          <w:tcPr>
            <w:tcW w:w="0" w:type="auto"/>
            <w:vAlign w:val="center"/>
            <w:hideMark/>
          </w:tcPr>
          <w:p w14:paraId="12525194" w14:textId="77777777" w:rsidR="007D0C98" w:rsidRPr="007D0C98" w:rsidRDefault="007D0C98" w:rsidP="007D0C98">
            <w:r w:rsidRPr="007D0C98">
              <w:t>0.00</w:t>
            </w:r>
          </w:p>
        </w:tc>
        <w:tc>
          <w:tcPr>
            <w:tcW w:w="0" w:type="auto"/>
            <w:vAlign w:val="center"/>
            <w:hideMark/>
          </w:tcPr>
          <w:p w14:paraId="7B1065C4" w14:textId="77777777" w:rsidR="007D0C98" w:rsidRPr="007D0C98" w:rsidRDefault="007D0C98" w:rsidP="007D0C98">
            <w:r w:rsidRPr="007D0C98">
              <w:t>0.00</w:t>
            </w:r>
          </w:p>
        </w:tc>
        <w:tc>
          <w:tcPr>
            <w:tcW w:w="0" w:type="auto"/>
            <w:vAlign w:val="center"/>
            <w:hideMark/>
          </w:tcPr>
          <w:p w14:paraId="3F1D0996" w14:textId="77777777" w:rsidR="007D0C98" w:rsidRPr="007D0C98" w:rsidRDefault="007D0C98" w:rsidP="007D0C98">
            <w:r w:rsidRPr="007D0C98">
              <w:t>0.00</w:t>
            </w:r>
          </w:p>
        </w:tc>
      </w:tr>
    </w:tbl>
    <w:p w14:paraId="229A4C55" w14:textId="043CC79D" w:rsidR="00260F61" w:rsidRPr="00265213" w:rsidRDefault="00260F61" w:rsidP="00265213"/>
    <w:sectPr w:rsidR="00260F61" w:rsidRPr="0026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62ED"/>
    <w:multiLevelType w:val="hybridMultilevel"/>
    <w:tmpl w:val="FA4CC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0F1CF1"/>
    <w:multiLevelType w:val="hybridMultilevel"/>
    <w:tmpl w:val="0DBAD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120C1"/>
    <w:multiLevelType w:val="multilevel"/>
    <w:tmpl w:val="76F4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D0226"/>
    <w:multiLevelType w:val="hybridMultilevel"/>
    <w:tmpl w:val="4B9CF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5F1775"/>
    <w:multiLevelType w:val="multilevel"/>
    <w:tmpl w:val="4C666E64"/>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3A1165"/>
    <w:multiLevelType w:val="multilevel"/>
    <w:tmpl w:val="3830E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92981"/>
    <w:multiLevelType w:val="multilevel"/>
    <w:tmpl w:val="3830E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40756"/>
    <w:multiLevelType w:val="multilevel"/>
    <w:tmpl w:val="599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40EF2"/>
    <w:multiLevelType w:val="multilevel"/>
    <w:tmpl w:val="2A8E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933F1"/>
    <w:multiLevelType w:val="multilevel"/>
    <w:tmpl w:val="ABB8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82C41"/>
    <w:multiLevelType w:val="hybridMultilevel"/>
    <w:tmpl w:val="C6D46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83921"/>
    <w:multiLevelType w:val="hybridMultilevel"/>
    <w:tmpl w:val="9036CA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0301D2"/>
    <w:multiLevelType w:val="multilevel"/>
    <w:tmpl w:val="3830E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06051"/>
    <w:multiLevelType w:val="multilevel"/>
    <w:tmpl w:val="898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21975"/>
    <w:multiLevelType w:val="hybridMultilevel"/>
    <w:tmpl w:val="13C00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E44C7E"/>
    <w:multiLevelType w:val="multilevel"/>
    <w:tmpl w:val="6306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70356"/>
    <w:multiLevelType w:val="hybridMultilevel"/>
    <w:tmpl w:val="6B4E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A83A56"/>
    <w:multiLevelType w:val="hybridMultilevel"/>
    <w:tmpl w:val="4B821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48043E"/>
    <w:multiLevelType w:val="hybridMultilevel"/>
    <w:tmpl w:val="56902D70"/>
    <w:lvl w:ilvl="0" w:tplc="71A40C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86810"/>
    <w:multiLevelType w:val="multilevel"/>
    <w:tmpl w:val="F0661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16DB2"/>
    <w:multiLevelType w:val="multilevel"/>
    <w:tmpl w:val="452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166C6"/>
    <w:multiLevelType w:val="multilevel"/>
    <w:tmpl w:val="3830E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954698">
    <w:abstractNumId w:val="10"/>
  </w:num>
  <w:num w:numId="2" w16cid:durableId="1042754602">
    <w:abstractNumId w:val="14"/>
  </w:num>
  <w:num w:numId="3" w16cid:durableId="1855146710">
    <w:abstractNumId w:val="7"/>
  </w:num>
  <w:num w:numId="4" w16cid:durableId="765228791">
    <w:abstractNumId w:val="9"/>
  </w:num>
  <w:num w:numId="5" w16cid:durableId="1528370792">
    <w:abstractNumId w:val="13"/>
  </w:num>
  <w:num w:numId="6" w16cid:durableId="1433626985">
    <w:abstractNumId w:val="18"/>
  </w:num>
  <w:num w:numId="7" w16cid:durableId="47270530">
    <w:abstractNumId w:val="15"/>
  </w:num>
  <w:num w:numId="8" w16cid:durableId="1980962080">
    <w:abstractNumId w:val="8"/>
  </w:num>
  <w:num w:numId="9" w16cid:durableId="1582057719">
    <w:abstractNumId w:val="2"/>
  </w:num>
  <w:num w:numId="10" w16cid:durableId="722214522">
    <w:abstractNumId w:val="20"/>
  </w:num>
  <w:num w:numId="11" w16cid:durableId="1431853210">
    <w:abstractNumId w:val="11"/>
  </w:num>
  <w:num w:numId="12" w16cid:durableId="221065385">
    <w:abstractNumId w:val="0"/>
  </w:num>
  <w:num w:numId="13" w16cid:durableId="1712026558">
    <w:abstractNumId w:val="1"/>
  </w:num>
  <w:num w:numId="14" w16cid:durableId="799300455">
    <w:abstractNumId w:val="16"/>
  </w:num>
  <w:num w:numId="15" w16cid:durableId="545869639">
    <w:abstractNumId w:val="3"/>
  </w:num>
  <w:num w:numId="16" w16cid:durableId="1945307145">
    <w:abstractNumId w:val="17"/>
  </w:num>
  <w:num w:numId="17" w16cid:durableId="35474987">
    <w:abstractNumId w:val="21"/>
  </w:num>
  <w:num w:numId="18" w16cid:durableId="462428215">
    <w:abstractNumId w:val="5"/>
  </w:num>
  <w:num w:numId="19" w16cid:durableId="975599581">
    <w:abstractNumId w:val="4"/>
  </w:num>
  <w:num w:numId="20" w16cid:durableId="1086464096">
    <w:abstractNumId w:val="6"/>
  </w:num>
  <w:num w:numId="21" w16cid:durableId="1202592410">
    <w:abstractNumId w:val="12"/>
  </w:num>
  <w:num w:numId="22" w16cid:durableId="19790686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61"/>
    <w:rsid w:val="00022AC1"/>
    <w:rsid w:val="00253EB5"/>
    <w:rsid w:val="002565FD"/>
    <w:rsid w:val="00260F61"/>
    <w:rsid w:val="00265213"/>
    <w:rsid w:val="003A168F"/>
    <w:rsid w:val="00484645"/>
    <w:rsid w:val="00502B11"/>
    <w:rsid w:val="005074EE"/>
    <w:rsid w:val="00514C51"/>
    <w:rsid w:val="005277E0"/>
    <w:rsid w:val="005C523B"/>
    <w:rsid w:val="007D0C98"/>
    <w:rsid w:val="007E5E70"/>
    <w:rsid w:val="00995877"/>
    <w:rsid w:val="00B41FCF"/>
    <w:rsid w:val="00B77B71"/>
    <w:rsid w:val="00B9473D"/>
    <w:rsid w:val="00BC31B4"/>
    <w:rsid w:val="00BD208A"/>
    <w:rsid w:val="00C565FF"/>
    <w:rsid w:val="00E41C09"/>
    <w:rsid w:val="00F66D80"/>
    <w:rsid w:val="00FF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B63D"/>
  <w15:chartTrackingRefBased/>
  <w15:docId w15:val="{CC4B35A7-1460-429A-85A2-FA7C1690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F61"/>
    <w:rPr>
      <w:rFonts w:ascii="Times New Roman" w:hAnsi="Times New Roman"/>
    </w:rPr>
  </w:style>
  <w:style w:type="paragraph" w:styleId="Heading1">
    <w:name w:val="heading 1"/>
    <w:basedOn w:val="Normal"/>
    <w:next w:val="Normal"/>
    <w:link w:val="Heading1Char"/>
    <w:uiPriority w:val="9"/>
    <w:qFormat/>
    <w:rsid w:val="00022AC1"/>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022AC1"/>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22AC1"/>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260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C1"/>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022AC1"/>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022AC1"/>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260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F61"/>
    <w:rPr>
      <w:rFonts w:eastAsiaTheme="majorEastAsia" w:cstheme="majorBidi"/>
      <w:color w:val="272727" w:themeColor="text1" w:themeTint="D8"/>
    </w:rPr>
  </w:style>
  <w:style w:type="paragraph" w:styleId="Title">
    <w:name w:val="Title"/>
    <w:basedOn w:val="Normal"/>
    <w:next w:val="Normal"/>
    <w:link w:val="TitleChar"/>
    <w:uiPriority w:val="10"/>
    <w:qFormat/>
    <w:rsid w:val="00260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F61"/>
    <w:pPr>
      <w:spacing w:before="160"/>
      <w:jc w:val="center"/>
    </w:pPr>
    <w:rPr>
      <w:i/>
      <w:iCs/>
      <w:color w:val="404040" w:themeColor="text1" w:themeTint="BF"/>
    </w:rPr>
  </w:style>
  <w:style w:type="character" w:customStyle="1" w:styleId="QuoteChar">
    <w:name w:val="Quote Char"/>
    <w:basedOn w:val="DefaultParagraphFont"/>
    <w:link w:val="Quote"/>
    <w:uiPriority w:val="29"/>
    <w:rsid w:val="00260F61"/>
    <w:rPr>
      <w:i/>
      <w:iCs/>
      <w:color w:val="404040" w:themeColor="text1" w:themeTint="BF"/>
    </w:rPr>
  </w:style>
  <w:style w:type="paragraph" w:styleId="ListParagraph">
    <w:name w:val="List Paragraph"/>
    <w:basedOn w:val="Normal"/>
    <w:uiPriority w:val="34"/>
    <w:qFormat/>
    <w:rsid w:val="00260F61"/>
    <w:pPr>
      <w:ind w:left="720"/>
      <w:contextualSpacing/>
    </w:pPr>
  </w:style>
  <w:style w:type="character" w:styleId="IntenseEmphasis">
    <w:name w:val="Intense Emphasis"/>
    <w:basedOn w:val="DefaultParagraphFont"/>
    <w:uiPriority w:val="21"/>
    <w:qFormat/>
    <w:rsid w:val="00260F61"/>
    <w:rPr>
      <w:i/>
      <w:iCs/>
      <w:color w:val="0F4761" w:themeColor="accent1" w:themeShade="BF"/>
    </w:rPr>
  </w:style>
  <w:style w:type="paragraph" w:styleId="IntenseQuote">
    <w:name w:val="Intense Quote"/>
    <w:basedOn w:val="Normal"/>
    <w:next w:val="Normal"/>
    <w:link w:val="IntenseQuoteChar"/>
    <w:uiPriority w:val="30"/>
    <w:qFormat/>
    <w:rsid w:val="00260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F61"/>
    <w:rPr>
      <w:i/>
      <w:iCs/>
      <w:color w:val="0F4761" w:themeColor="accent1" w:themeShade="BF"/>
    </w:rPr>
  </w:style>
  <w:style w:type="character" w:styleId="IntenseReference">
    <w:name w:val="Intense Reference"/>
    <w:basedOn w:val="DefaultParagraphFont"/>
    <w:uiPriority w:val="32"/>
    <w:qFormat/>
    <w:rsid w:val="00260F61"/>
    <w:rPr>
      <w:b/>
      <w:bCs/>
      <w:smallCaps/>
      <w:color w:val="0F4761" w:themeColor="accent1" w:themeShade="BF"/>
      <w:spacing w:val="5"/>
    </w:rPr>
  </w:style>
  <w:style w:type="character" w:styleId="PlaceholderText">
    <w:name w:val="Placeholder Text"/>
    <w:basedOn w:val="DefaultParagraphFont"/>
    <w:uiPriority w:val="99"/>
    <w:semiHidden/>
    <w:rsid w:val="00E41C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46733">
      <w:bodyDiv w:val="1"/>
      <w:marLeft w:val="0"/>
      <w:marRight w:val="0"/>
      <w:marTop w:val="0"/>
      <w:marBottom w:val="0"/>
      <w:divBdr>
        <w:top w:val="none" w:sz="0" w:space="0" w:color="auto"/>
        <w:left w:val="none" w:sz="0" w:space="0" w:color="auto"/>
        <w:bottom w:val="none" w:sz="0" w:space="0" w:color="auto"/>
        <w:right w:val="none" w:sz="0" w:space="0" w:color="auto"/>
      </w:divBdr>
    </w:div>
    <w:div w:id="1031804348">
      <w:bodyDiv w:val="1"/>
      <w:marLeft w:val="0"/>
      <w:marRight w:val="0"/>
      <w:marTop w:val="0"/>
      <w:marBottom w:val="0"/>
      <w:divBdr>
        <w:top w:val="none" w:sz="0" w:space="0" w:color="auto"/>
        <w:left w:val="none" w:sz="0" w:space="0" w:color="auto"/>
        <w:bottom w:val="none" w:sz="0" w:space="0" w:color="auto"/>
        <w:right w:val="none" w:sz="0" w:space="0" w:color="auto"/>
      </w:divBdr>
    </w:div>
    <w:div w:id="1670908541">
      <w:bodyDiv w:val="1"/>
      <w:marLeft w:val="0"/>
      <w:marRight w:val="0"/>
      <w:marTop w:val="0"/>
      <w:marBottom w:val="0"/>
      <w:divBdr>
        <w:top w:val="none" w:sz="0" w:space="0" w:color="auto"/>
        <w:left w:val="none" w:sz="0" w:space="0" w:color="auto"/>
        <w:bottom w:val="none" w:sz="0" w:space="0" w:color="auto"/>
        <w:right w:val="none" w:sz="0" w:space="0" w:color="auto"/>
      </w:divBdr>
    </w:div>
    <w:div w:id="1884830011">
      <w:bodyDiv w:val="1"/>
      <w:marLeft w:val="0"/>
      <w:marRight w:val="0"/>
      <w:marTop w:val="0"/>
      <w:marBottom w:val="0"/>
      <w:divBdr>
        <w:top w:val="none" w:sz="0" w:space="0" w:color="auto"/>
        <w:left w:val="none" w:sz="0" w:space="0" w:color="auto"/>
        <w:bottom w:val="none" w:sz="0" w:space="0" w:color="auto"/>
        <w:right w:val="none" w:sz="0" w:space="0" w:color="auto"/>
      </w:divBdr>
    </w:div>
    <w:div w:id="1899705790">
      <w:bodyDiv w:val="1"/>
      <w:marLeft w:val="0"/>
      <w:marRight w:val="0"/>
      <w:marTop w:val="0"/>
      <w:marBottom w:val="0"/>
      <w:divBdr>
        <w:top w:val="none" w:sz="0" w:space="0" w:color="auto"/>
        <w:left w:val="none" w:sz="0" w:space="0" w:color="auto"/>
        <w:bottom w:val="none" w:sz="0" w:space="0" w:color="auto"/>
        <w:right w:val="none" w:sz="0" w:space="0" w:color="auto"/>
      </w:divBdr>
    </w:div>
    <w:div w:id="1954247526">
      <w:bodyDiv w:val="1"/>
      <w:marLeft w:val="0"/>
      <w:marRight w:val="0"/>
      <w:marTop w:val="0"/>
      <w:marBottom w:val="0"/>
      <w:divBdr>
        <w:top w:val="none" w:sz="0" w:space="0" w:color="auto"/>
        <w:left w:val="none" w:sz="0" w:space="0" w:color="auto"/>
        <w:bottom w:val="none" w:sz="0" w:space="0" w:color="auto"/>
        <w:right w:val="none" w:sz="0" w:space="0" w:color="auto"/>
      </w:divBdr>
    </w:div>
    <w:div w:id="2010519692">
      <w:bodyDiv w:val="1"/>
      <w:marLeft w:val="0"/>
      <w:marRight w:val="0"/>
      <w:marTop w:val="0"/>
      <w:marBottom w:val="0"/>
      <w:divBdr>
        <w:top w:val="none" w:sz="0" w:space="0" w:color="auto"/>
        <w:left w:val="none" w:sz="0" w:space="0" w:color="auto"/>
        <w:bottom w:val="none" w:sz="0" w:space="0" w:color="auto"/>
        <w:right w:val="none" w:sz="0" w:space="0" w:color="auto"/>
      </w:divBdr>
    </w:div>
    <w:div w:id="21056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861D-9B2F-4046-AB04-C3C1B314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Huu An 20225467</dc:creator>
  <cp:keywords/>
  <dc:description/>
  <cp:lastModifiedBy>Vu Huu An 20225467</cp:lastModifiedBy>
  <cp:revision>4</cp:revision>
  <dcterms:created xsi:type="dcterms:W3CDTF">2024-12-14T08:27:00Z</dcterms:created>
  <dcterms:modified xsi:type="dcterms:W3CDTF">2024-12-15T12:10:00Z</dcterms:modified>
</cp:coreProperties>
</file>