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 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empirical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spillovers raise the convergence speed from about 3.0% to about 5.2% per year, which shortens the half-life of regional disparities from roughly 23 to 13 years.</w:t>
      </w:r>
      <w:r>
        <w:t xml:space="preserve"> </w:t>
      </w:r>
      <w:r>
        <w:t xml:space="preserve">We close by illustrating how the same reproducible workflow extends beyond economic output, with an exploratory analysis of how luminosity relates to cultural participation across Indian states.</w:t>
      </w:r>
    </w:p>
    <w:bookmarkStart w:id="23" w:name="introduction"/>
    <w:p>
      <w:pPr>
        <w:pStyle w:val="Heading2"/>
      </w:pPr>
      <w:r>
        <w:t xml:space="preserve">1 Introduction</w:t>
      </w:r>
    </w:p>
    <w:p>
      <w:pPr>
        <w:pStyle w:val="FirstParagraph"/>
      </w:pPr>
      <w:r>
        <w:t xml:space="preserve">Regional growth and convergence matter most in federal states such as India.</w:t>
      </w:r>
      <w:r>
        <w:t xml:space="preserve"> </w:t>
      </w:r>
      <w:r>
        <w:t xml:space="preserve">In such settings, spatial inequalities can threaten social cohesion and political stability.</w:t>
      </w:r>
      <w:r>
        <w:t xml:space="preserve"> </w:t>
      </w:r>
      <w:r>
        <w:t xml:space="preserve">Consistent economic data, however, are rarely available below the state level.</w:t>
      </w:r>
      <w:r>
        <w:t xml:space="preserve"> </w:t>
      </w:r>
      <w:r>
        <w:t xml:space="preserve">Satellite nighttime lights have relaxed that constraint by serving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However, their analysis does not account for spatial spillovers.</w:t>
      </w:r>
      <w:r>
        <w:t xml:space="preserve"> </w:t>
      </w:r>
      <w:r>
        <w:t xml:space="preserve">Such spillovers can arise from the diffusion of technology and from the movement of resources across neighboring districts.</w:t>
      </w:r>
    </w:p>
    <w:p>
      <w:pPr>
        <w:pStyle w:val="BodyText"/>
      </w:pPr>
      <w:r>
        <w:t xml:space="preserve">This article extends that analysis along three dimensions.</w:t>
      </w:r>
      <w:r>
        <w:t xml:space="preserve"> </w:t>
      </w:r>
      <w:r>
        <w:t xml:space="preserve">The first is replication: we adopt the data, the sample, and the conditioning variables of</w:t>
      </w:r>
      <w:r>
        <w:t xml:space="preserve"> </w:t>
      </w:r>
      <w:r>
        <w:t xml:space="preserve">Chanda and Kabiraj (2020)</w:t>
      </w:r>
      <w:r>
        <w:t xml:space="preserve"> </w:t>
      </w:r>
      <w:r>
        <w:t xml:space="preserve">without modification, so that any difference in the estimates reflects the spatial modeling alone.</w:t>
      </w:r>
      <w:r>
        <w:t xml:space="preserve"> </w:t>
      </w:r>
      <w:r>
        <w:t xml:space="preserve">The second is substantive: we build an interactive visualization of regional convergence, test formally for spatial dependence, and estimate a spatial Durbin model.</w:t>
      </w:r>
      <w:r>
        <w:t xml:space="preserve"> </w:t>
      </w:r>
      <w:r>
        <w:t xml:space="preserve">The model shows that catch-up across Indian districts has a significant neighborhood dimension.</w:t>
      </w:r>
      <w:r>
        <w:t xml:space="preserve"> </w:t>
      </w:r>
      <w:r>
        <w:t xml:space="preserve">The spatial spillover effect of initial luminosity is negative and statistically significant.</w:t>
      </w:r>
      <w:r>
        <w:t xml:space="preserve"> </w:t>
      </w:r>
      <w:r>
        <w:t xml:space="preserve">Districts whose neighbors started from a lower base therefore grew faster than their own initial conditions alone would predict.</w:t>
      </w:r>
    </w:p>
    <w:p>
      <w:pPr>
        <w:pStyle w:val="BodyText"/>
      </w:pPr>
      <w:r>
        <w:t xml:space="preserve">The third contribution is methodological, and it is the primary one.</w:t>
      </w:r>
      <w:r>
        <w:t xml:space="preserve"> </w:t>
      </w:r>
      <w:r>
        <w:t xml:space="preserve">This article shows that a comprehensive spatial econometric study can be implemented using only open-source software and cloud computing.</w:t>
      </w:r>
      <w:r>
        <w:t xml:space="preserve"> </w:t>
      </w:r>
      <w:r>
        <w:t xml:space="preserve">Our workflow covers every step, from visualizing the satellite imagery and constructing the neighborhood structure to testing for spatial dependence, modeling the spillovers, and running the robustness checks.</w:t>
      </w:r>
    </w:p>
    <w:p>
      <w:pPr>
        <w:pStyle w:val="BodyText"/>
      </w:pPr>
      <w:r>
        <w:t xml:space="preserve">That workflow delivers the main empirical result of the article.</w:t>
      </w:r>
      <w:r>
        <w:t xml:space="preserve"> </w:t>
      </w:r>
      <w:r>
        <w:t xml:space="preserve">Accounting for spatial spillovers raises the estimated speed of regional convergence from about 3.0% to about 5.2% per year.</w:t>
      </w:r>
      <w:r>
        <w:t xml:space="preserve"> </w:t>
      </w:r>
      <w:r>
        <w:t xml:space="preserve">The implied half-life of regional disparities therefore falls from roughly 23 years to 13.</w:t>
      </w:r>
      <w:r>
        <w:t xml:space="preserve"> </w:t>
      </w:r>
      <w:r>
        <w:t xml:space="preserve">The same workflow extends beyond economic output, and we illustrate that reach with an exploratory analysis of luminosity and cultural participation across Indian states.</w:t>
      </w:r>
      <w:r>
        <w:t xml:space="preserve"> </w:t>
      </w:r>
      <w:r>
        <w:t xml:space="preserve">Our results suggest that luminosity is positively associated with media-based cultural consumption and negatively associated with community-based participation.</w:t>
      </w:r>
      <w:r>
        <w:t xml:space="preserve"> </w:t>
      </w:r>
      <w:r>
        <w:t xml:space="preserve">This pattern is consistent with luminosity tracking electrification and urbanization rather than economic output alone.</w:t>
      </w:r>
    </w:p>
    <w:p>
      <w:pPr>
        <w:pStyle w:val="BodyText"/>
      </w:pPr>
      <w:r>
        <w:t xml:space="preserve">Every figure and table in this article is produced by one of the six cloud-based computational scripts and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remaining notebook,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and scripts underlying this article</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script</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six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The rest of this article is organized as follows.</w:t>
      </w:r>
      <w:r>
        <w:t xml:space="preserve"> </w:t>
      </w:r>
      <w:r>
        <w:t xml:space="preserve">Section 2 describes the data and the methods, and Section 3 presents the empirical results.</w:t>
      </w:r>
      <w:r>
        <w:t xml:space="preserve"> </w:t>
      </w:r>
      <w:r>
        <w:t xml:space="preserve">Section 4 discusses the policy implications, the extension to multiple periods, the analysis of cultural participation, and new directions for research.</w:t>
      </w:r>
      <w:r>
        <w:t xml:space="preserve"> </w:t>
      </w:r>
      <w:r>
        <w:t xml:space="preserve">Section 5 offers concluding remarks.</w:t>
      </w:r>
    </w:p>
    <w:bookmarkEnd w:id="23"/>
    <w:bookmarkStart w:id="44" w:name="data-and-methods"/>
    <w:p>
      <w:pPr>
        <w:pStyle w:val="Heading2"/>
      </w:pPr>
      <w:r>
        <w:t xml:space="preserve">2 Data and methods</w:t>
      </w:r>
    </w:p>
    <w:bookmarkStart w:id="26" w:name="X7ea9375581c7bfc07c5ca4d117157d7859929f0"/>
    <w:p>
      <w:pPr>
        <w:pStyle w:val="Heading3"/>
      </w:pPr>
      <w:r>
        <w:t xml:space="preserve">2.1 Data: Nighttime lights as a proxy for economic activity</w:t>
      </w:r>
    </w:p>
    <w:p>
      <w:pPr>
        <w:pStyle w:val="FirstParagraph"/>
      </w:pPr>
      <w:r>
        <w:t xml:space="preserve">Satellite images of nighttime light provide a proxy for economic activity below the national level.</w:t>
      </w:r>
      <w:r>
        <w:t xml:space="preserve"> </w:t>
      </w:r>
      <w:r>
        <w:t xml:space="preserve">Henderson, Storeygard, and Weil (2012)</w:t>
      </w:r>
      <w:r>
        <w:t xml:space="preserve"> </w:t>
      </w:r>
      <w:r>
        <w:t xml:space="preserve">pioneered this approach in economics.</w:t>
      </w:r>
      <w:r>
        <w:t xml:space="preserve"> </w:t>
      </w:r>
      <w:r>
        <w:t xml:space="preserve">Their work exploits the empirical correlation between the intensity of artificial light observed from space and economic output on the ground.</w:t>
      </w:r>
      <w:r>
        <w:t xml:space="preserve"> </w:t>
      </w:r>
      <w:r>
        <w:t xml:space="preserve">X. Chen and Nordhaus (2011)</w:t>
      </w:r>
      <w:r>
        <w:t xml:space="preserve"> </w:t>
      </w:r>
      <w:r>
        <w:t xml:space="preserve">show that the proxy is most informative where official statistics are of low quality.</w:t>
      </w:r>
      <w:r>
        <w:t xml:space="preserve"> </w:t>
      </w:r>
      <w:r>
        <w:t xml:space="preserve">Nighttime light (hereafter NTL) data have therefore become a standard tool for the study of growth and convergence across national and subnational regions.</w:t>
      </w:r>
    </w:p>
    <w:p>
      <w:pPr>
        <w:pStyle w:val="BodyText"/>
      </w:pPr>
      <w:r>
        <w:t xml:space="preserve">NTL data have been applied to a wide range of questions in development economics.</w:t>
      </w:r>
      <w:r>
        <w:t xml:space="preserve"> </w:t>
      </w:r>
      <w:r>
        <w:t xml:space="preserve">One line of work studies the effect of decentralization on regional convergence</w:t>
      </w:r>
      <w:r>
        <w:t xml:space="preserve"> </w:t>
      </w:r>
      <w:r>
        <w:t xml:space="preserve">(Adhikari and Dhital 2021)</w:t>
      </w:r>
      <w:r>
        <w:t xml:space="preserve">.</w:t>
      </w:r>
      <w:r>
        <w:t xml:space="preserve"> </w:t>
      </w:r>
      <w:r>
        <w:t xml:space="preserve">A second line adjudicates between national accounts and household surveys, and it finds that national accounts track the light data more closely</w:t>
      </w:r>
      <w:r>
        <w:t xml:space="preserve"> </w:t>
      </w:r>
      <w:r>
        <w:t xml:space="preserve">(Pinkovskiy and Sala-i-Martin 2016)</w:t>
      </w:r>
      <w:r>
        <w:t xml:space="preserve">.</w:t>
      </w:r>
      <w:r>
        <w:t xml:space="preserve"> </w:t>
      </w:r>
      <w:r>
        <w:t xml:space="preserve">A third line estimates GDP per capita and spatial inequality at the global scale</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large regional disparities in India and caution that the goods and services tax may widen them further.</w:t>
      </w:r>
      <w:r>
        <w:t xml:space="preserve"> </w:t>
      </w:r>
      <w:r>
        <w:t xml:space="preserve">Taken together, these studies show that NTL data are well suited to the analysis of subnational disparities.</w:t>
      </w:r>
    </w:p>
    <w:p>
      <w:pPr>
        <w:pStyle w:val="BodyText"/>
      </w:pPr>
      <w:r>
        <w:t xml:space="preserve">Our empirical design follows</w:t>
      </w:r>
      <w:r>
        <w:t xml:space="preserve"> </w:t>
      </w:r>
      <w:r>
        <w:t xml:space="preserve">Chanda and Kabiraj (2020)</w:t>
      </w:r>
      <w:r>
        <w:t xml:space="preserve">.</w:t>
      </w:r>
      <w:r>
        <w:t xml:space="preserve"> </w:t>
      </w:r>
      <w:r>
        <w:t xml:space="preserve">The dependent variable is the growth rate of nighttime lights per capita.</w:t>
      </w:r>
      <w:r>
        <w:t xml:space="preserve"> </w:t>
      </w:r>
      <w:r>
        <w:t xml:space="preserve">The primary explanatory variable is the initial level of nighttime lights per capita.</w:t>
      </w:r>
      <w:r>
        <w:t xml:space="preserve"> </w:t>
      </w:r>
      <w:r>
        <w:t xml:space="preserve">We construct both variables for 520 districts in India from data released by the National Geophysical Data Center (NGDC).</w:t>
      </w:r>
      <w:r>
        <w:t xml:space="preserve"> </w:t>
      </w:r>
      <w:r>
        <w:t xml:space="preserve">These data record observations from the DMSP-OLS satellites over the period from 1996 to 2010.</w:t>
      </w:r>
      <w:r>
        <w:t xml:space="preserve"> </w:t>
      </w:r>
      <w:r>
        <w:t xml:space="preserve">To mitigate top-coding in brightly lit areas, the NGDC also released a radiance-calibrated series for eight specific years, which combines high magnification settings for low-light regions with low magnification settings for bright ones.</w:t>
      </w:r>
      <w:r>
        <w:t xml:space="preserve"> </w:t>
      </w:r>
      <w:r>
        <w:t xml:space="preserve">Six of those eight years fall inside our 1996–2010 sample window, and they are the dates our dataset holds.</w:t>
      </w:r>
      <w:r>
        <w:t xml:space="preserve"> </w:t>
      </w:r>
      <w:r>
        <w:t xml:space="preserve">In this article, we use the radiance-calibrated series throughout.</w:t>
      </w:r>
      <w:r>
        <w:rPr>
          <w:rStyle w:val="FootnoteReference"/>
        </w:rPr>
        <w:footnoteReference w:id="25"/>
      </w:r>
    </w:p>
    <w:bookmarkEnd w:id="26"/>
    <w:bookmarkStart w:id="27" w:name="X449212fc3597f9e3fb4fbf099f12aa2882fbb23"/>
    <w:p>
      <w:pPr>
        <w:pStyle w:val="Heading3"/>
      </w:pPr>
      <w:r>
        <w:t xml:space="preserve">2.2 A reproducible workflow and interactive visualization</w:t>
      </w:r>
    </w:p>
    <w:p>
      <w:pPr>
        <w:pStyle w:val="FirstParagraph"/>
      </w:pPr>
      <w:r>
        <w:t xml:space="preserve">We implement the entire study in a reproducible workflow.</w:t>
      </w:r>
      <w:r>
        <w:t xml:space="preserve"> </w:t>
      </w:r>
      <w:r>
        <w:t xml:space="preserve">Jupyter notebooks combine executable code, explanatory narrative, and computational output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the data processing, the estimation, and the visualization in notebooks that run on a single Python kernel.</w:t>
      </w:r>
      <w:r>
        <w:t xml:space="preserve"> </w:t>
      </w:r>
      <w:r>
        <w:t xml:space="preserve">Each result can therefore be traced to the code that produced it.</w:t>
      </w:r>
      <w:r>
        <w:t xml:space="preserve"> </w:t>
      </w:r>
      <w:r>
        <w:t xml:space="preserve">Quarto then extends those notebooks into a manuscript framework</w:t>
      </w:r>
      <w:r>
        <w:t xml:space="preserve"> </w:t>
      </w:r>
      <w:r>
        <w:t xml:space="preserve">(Allaire et al. 2024)</w:t>
      </w:r>
      <w:r>
        <w:t xml:space="preserve">.</w:t>
      </w:r>
      <w:r>
        <w:t xml:space="preserve"> </w:t>
      </w:r>
      <w:r>
        <w:t xml:space="preserve">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w:t>
      </w:r>
      <w:r>
        <w:t xml:space="preserve"> </w:t>
      </w:r>
      <w:r>
        <w:t xml:space="preserve">(Peng 2011)</w:t>
      </w:r>
      <w:r>
        <w:t xml:space="preserve">.</w:t>
      </w:r>
      <w:r>
        <w:t xml:space="preserve"> </w:t>
      </w:r>
      <w:r>
        <w:t xml:space="preserve">Each notebook also runs in the cloud on Google Colaboratory, which requires no local installation.</w:t>
      </w:r>
      <w:r>
        <w:t xml:space="preserve"> </w:t>
      </w:r>
      <w:r>
        <w:t xml:space="preserve">Readers can therefore re-execute the whole pipeline in a browser and without proprietary software.</w:t>
      </w:r>
    </w:p>
    <w:p>
      <w:pPr>
        <w:pStyle w:val="BodyText"/>
      </w:pPr>
      <w:r>
        <w:t xml:space="preserve">Satellite data have opened new dimensions of economic measurement</w:t>
      </w:r>
      <w:r>
        <w:t xml:space="preserve"> </w:t>
      </w:r>
      <w:r>
        <w:t xml:space="preserve">(Donaldson and Storeygard 2016)</w:t>
      </w:r>
      <w:r>
        <w:t xml:space="preserve">.</w:t>
      </w:r>
      <w:r>
        <w:t xml:space="preserve"> </w:t>
      </w:r>
      <w:r>
        <w:t xml:space="preserve">Interactive visualization complements that measurement, because it reveals spatial and temporal heterogeneity that static maps obscure.</w:t>
      </w:r>
      <w:r>
        <w:t xml:space="preserve"> </w:t>
      </w:r>
      <w:r>
        <w:t xml:space="preserve">Google Earth Engine lowers the computational barriers to such visualization</w:t>
      </w:r>
      <w:r>
        <w:t xml:space="preserve"> </w:t>
      </w:r>
      <w:r>
        <w:t xml:space="preserve">(Gorelick et al. 2017)</w:t>
      </w:r>
      <w:r>
        <w:t xml:space="preserve">.</w:t>
      </w:r>
      <w:r>
        <w:t xml:space="preserve"> </w:t>
      </w:r>
      <w:r>
        <w:t xml:space="preserve">Its browser-based environment requires no local software, and its catalog already holds the DMSP-OLS and VIIRS nighttime lights collections</w:t>
      </w:r>
      <w:r>
        <w:t xml:space="preserve"> </w:t>
      </w:r>
      <w:r>
        <w:t xml:space="preserve">(Tamiminia et al. 2020)</w:t>
      </w:r>
      <w:r>
        <w:t xml:space="preserve">.</w:t>
      </w:r>
      <w:r>
        <w:t xml:space="preserve"> </w:t>
      </w:r>
      <w:r>
        <w:t xml:space="preserve">Readers can therefore track light intensity across regions over time, and they can see where initially dim regions brightened fastest.</w:t>
      </w:r>
      <w:r>
        <w:t xml:space="preserve"> </w:t>
      </w:r>
      <w:r>
        <w:t xml:space="preserve">That pattern is the visual counterpart of the convergence relationship estimated in Section 3.</w:t>
      </w:r>
    </w:p>
    <w:bookmarkEnd w:id="27"/>
    <w:bookmarkStart w:id="31" w:name="regional-convergence-modeling"/>
    <w:p>
      <w:pPr>
        <w:pStyle w:val="Heading3"/>
      </w:pPr>
      <w:r>
        <w:t xml:space="preserve">2.3 Regional convergence modeling</w:t>
      </w:r>
    </w:p>
    <w:p>
      <w:pPr>
        <w:pStyle w:val="FirstParagraph"/>
      </w:pPr>
      <w:r>
        <w:t xml:space="preserve">Neoclassical growth theory predicts that poor regions grow faster than rich ones.</w:t>
      </w:r>
      <w:r>
        <w:t xml:space="preserve"> </w:t>
      </w:r>
      <w:r>
        <w:t xml:space="preserve">Diminishing returns to capital accumulation make the per capita growth rate of a region negatively correlated with its initial endowment</w:t>
      </w:r>
      <w:r>
        <w:t xml:space="preserve"> </w:t>
      </w:r>
      <w:r>
        <w:t xml:space="preserve">(Solow 1956)</w:t>
      </w:r>
      <w:r>
        <w:t xml:space="preserve">.</w:t>
      </w:r>
      <w:r>
        <w:t xml:space="preserve"> </w:t>
      </w:r>
      <w:r>
        <w:t xml:space="preserve">Regions that share technology and preferences should therefore converge to a common steady state in the long run.</w:t>
      </w:r>
      <w:r>
        <w:t xml:space="preserve"> </w:t>
      </w:r>
      <w:r>
        <w:t xml:space="preserve">We test that prediction within the growth regression framework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states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collects the initial (log) per-capita NTL of the same regions, and</w:t>
      </w:r>
      <w:r>
        <w:t xml:space="preserve"> </w:t>
      </w:r>
      <m:oMath>
        <m:sSub>
          <m:e>
            <m:r>
              <m:rPr>
                <m:sty m:val="b"/>
              </m:rPr>
              <m:t>ε</m:t>
            </m:r>
          </m:e>
          <m:sub>
            <m:r>
              <m:rPr>
                <m:sty m:val="b"/>
              </m:rPr>
              <m:t>t</m:t>
            </m:r>
          </m:sub>
        </m:sSub>
      </m:oMath>
      <w:r>
        <w:t xml:space="preserve"> </w:t>
      </w:r>
      <w:r>
        <w:t xml:space="preserve">collects idiosyncratic error terms.</w:t>
      </w:r>
      <w:r>
        <w:t xml:space="preserve"> </w:t>
      </w:r>
      <w:r>
        <w:t xml:space="preserve">The parameter</w:t>
      </w:r>
      <w:r>
        <w:t xml:space="preserve"> </w:t>
      </w:r>
      <m:oMath>
        <m:sSub>
          <m:e>
            <m:r>
              <m:t>β</m:t>
            </m:r>
          </m:e>
          <m:sub>
            <m:r>
              <m:t>1</m:t>
            </m:r>
          </m:sub>
        </m:sSub>
      </m:oMath>
      <w:r>
        <w:t xml:space="preserve"> </w:t>
      </w:r>
      <w:r>
        <w:t xml:space="preserve">measures the direction and the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two quantities that are easier to interpret</w:t>
      </w:r>
      <w:r>
        <w:t xml:space="preserve"> </w:t>
      </w:r>
      <w:r>
        <w:t xml:space="preserve">(Barro and Sala-i-Martin 1992)</w:t>
      </w:r>
      <w:r>
        <w:t xml:space="preserve">.</w:t>
      </w:r>
      <w:r>
        <w:t xml:space="preserve"> </w:t>
      </w:r>
      <w:r>
        <w:t xml:space="preserve">The first is the annual speed of convergence, and the second is the half-life.</w:t>
      </w:r>
      <w:r>
        <w:t xml:space="preserve"> </w:t>
      </w:r>
      <w:r>
        <w:t xml:space="preserve">Because the dependent variable is average annual growth over</w:t>
      </w:r>
      <w:r>
        <w:t xml:space="preserve"> </w:t>
      </w:r>
      <m:oMath>
        <m:r>
          <m:t>T</m:t>
        </m:r>
      </m:oMath>
      <w:r>
        <w:t xml:space="preserve"> </w:t>
      </w:r>
      <w:r>
        <w:t xml:space="preserve">years, the implied convergence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w:t>
      </w:r>
      <w:r>
        <w:t xml:space="preserve"> </w:t>
      </w:r>
      <w:r>
        <w:t xml:space="preserve">The half-life is</w:t>
      </w:r>
      <w:r>
        <w:t xml:space="preserve"> </w:t>
      </w:r>
      <m:oMath>
        <m:r>
          <m:rPr>
            <m:sty m:val="p"/>
          </m:rPr>
          <m:t>ln</m:t>
        </m:r>
        <m:d>
          <m:dPr>
            <m:begChr m:val="("/>
            <m:sepChr m:val=""/>
            <m:endChr m:val=")"/>
            <m:grow/>
          </m:dPr>
          <m:e>
            <m:r>
              <m:t>2</m:t>
            </m:r>
          </m:e>
        </m:d>
        <m:r>
          <m:rPr>
            <m:sty m:val="p"/>
          </m:rPr>
          <m:t>/</m:t>
        </m:r>
        <m:r>
          <m:t>λ</m:t>
        </m:r>
      </m:oMath>
      <w:r>
        <w:t xml:space="preserve">, which is the time required to close half of the initial gap to the steady state.</w:t>
      </w:r>
      <w:r>
        <w:t xml:space="preserve"> </w:t>
      </w:r>
      <w:r>
        <w:t xml:space="preserve">In our application</w:t>
      </w:r>
      <w:r>
        <w:t xml:space="preserve"> </w:t>
      </w:r>
      <m:oMath>
        <m:r>
          <m:t>T</m:t>
        </m:r>
        <m:r>
          <m:rPr>
            <m:sty m:val="p"/>
          </m:rPr>
          <m:t>=</m:t>
        </m:r>
        <m:r>
          <m:t>14</m:t>
        </m:r>
      </m:oMath>
      <w:r>
        <w:t xml:space="preserve"> </w:t>
      </w:r>
      <w:r>
        <w:t xml:space="preserve">years.</w:t>
      </w:r>
      <w:r>
        <w:t xml:space="preserve"> </w:t>
      </w:r>
      <w:r>
        <w:t xml:space="preserve">We apply the same transformation to the total effect of initial luminosity in the spatial models.</w:t>
      </w:r>
    </w:p>
    <w:p>
      <w:pPr>
        <w:pStyle w:val="BodyText"/>
      </w:pPr>
      <w:r>
        <w:t xml:space="preserve">The unconditional framework contains no control variables, so it imposes a common steady state on every region.</w:t>
      </w:r>
      <w:r>
        <w:t xml:space="preserve"> </w:t>
      </w:r>
      <w:r>
        <w:t xml:space="preserve">That assumption is restrictive, because regions differ in geography, in socioeconomic conditions, and in policy implementation.</w:t>
      </w:r>
      <w:r>
        <w:t xml:space="preserve"> </w:t>
      </w:r>
      <w:r>
        <w:t xml:space="preserve">We therefore add state fixed effects, which absorb state-specific institutions and policies.</w:t>
      </w:r>
      <w:r>
        <w:t xml:space="preserve"> </w:t>
      </w:r>
      <w:r>
        <w:t xml:space="preserve">We also add geo-climatic controls and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the resulting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district in our sample, and it includes the state fixed effects.</w:t>
      </w:r>
      <w:r>
        <w:t xml:space="preserve"> </w:t>
      </w:r>
      <w:r>
        <w:t xml:space="preserve">The vector</w:t>
      </w:r>
      <w:r>
        <w:t xml:space="preserve"> </w:t>
      </w:r>
      <m:oMath>
        <m:r>
          <m:rPr>
            <m:sty m:val="b"/>
          </m:rPr>
          <m:t>α</m:t>
        </m:r>
      </m:oMath>
      <w:r>
        <w:t xml:space="preserve">, with dimensions</w:t>
      </w:r>
      <w:r>
        <w:t xml:space="preserve"> </w:t>
      </w:r>
      <m:oMath>
        <m:r>
          <m:t>k</m:t>
        </m:r>
        <m:r>
          <m:rPr>
            <m:nor/>
            <m:sty m:val="p"/>
          </m:rPr>
          <m:t>-by-</m:t>
        </m:r>
        <m:r>
          <m:t>1</m:t>
        </m:r>
      </m:oMath>
      <w:r>
        <w:t xml:space="preserve">, collects the associated regression coefficients.</w:t>
      </w:r>
      <w:r>
        <w:t xml:space="preserve"> </w:t>
      </w:r>
      <w:r>
        <w:t xml:space="preserve">The conditioning set is adopted unchanged from</w:t>
      </w:r>
      <w:r>
        <w:t xml:space="preserve"> </w:t>
      </w:r>
      <w:r>
        <w:t xml:space="preserve">Chanda and Kabiraj (2020)</w:t>
      </w:r>
      <w:r>
        <w:t xml:space="preserve">.</w:t>
      </w:r>
      <w:r>
        <w:t xml:space="preserve"> </w:t>
      </w:r>
      <w:r>
        <w:t xml:space="preserve">That choice is deliberate, because the present analysis extends that study rather than replacing it.</w:t>
      </w:r>
      <w:r>
        <w:t xml:space="preserve"> </w:t>
      </w:r>
      <w:r>
        <w:t xml:space="preserve">Holding the controls fixed ensures that any difference between our estimates and their estimates comes from the spatial specification and not from a different choice of covariates.</w:t>
      </w:r>
    </w:p>
    <w:p>
      <w:pPr>
        <w:pStyle w:val="BodyText"/>
      </w:pP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electricity grid and to markets.</w:t>
      </w:r>
      <w:r>
        <w:t xml:space="preserve"> </w:t>
      </w:r>
      <w:r>
        <w:t xml:space="preserve">This last group matters here, because luminosity is itself partly a measure of electrification.</w:t>
      </w:r>
      <w:r>
        <w:t xml:space="preserve"> </w:t>
      </w:r>
      <w:r>
        <w:t xml:space="preserve">The conditional models therefore compare districts that began the period with similar levels of grid access.</w:t>
      </w:r>
    </w:p>
    <w:p>
      <w:pPr>
        <w:pStyle w:val="BodyText"/>
      </w:pPr>
      <w:r>
        <w:t xml:space="preserve">The demographic, human-capital, and electrification controls are measured in 1996, at the start of the growth period.</w:t>
      </w:r>
      <w:r>
        <w:t xml:space="preserve"> </w:t>
      </w:r>
      <w:r>
        <w:t xml:space="preserve">They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We estimate both specifications on a single long difference.</w:t>
      </w:r>
      <w:r>
        <w:t xml:space="preserve"> </w:t>
      </w:r>
      <w:r>
        <w:t xml:space="preserve">The dependent variable is average annual growth between 1996 and 2010, and the regressors are measured at the start of that period.</w:t>
      </w:r>
      <w:r>
        <w:t xml:space="preserve"> </w:t>
      </w:r>
      <w:r>
        <w:t xml:space="preserve">This is the design of</w:t>
      </w:r>
      <w:r>
        <w:t xml:space="preserve"> </w:t>
      </w:r>
      <w:r>
        <w:t xml:space="preserve">Chanda and Kabiraj (2020)</w:t>
      </w:r>
      <w:r>
        <w:t xml:space="preserve">, and we retain it.</w:t>
      </w:r>
      <w:r>
        <w:t xml:space="preserve"> </w:t>
      </w:r>
      <w:r>
        <w:t xml:space="preserve">The design identifies the average rate at which districts converged over fourteen years.</w:t>
      </w:r>
      <w:r>
        <w:t xml:space="preserve"> </w:t>
      </w:r>
      <w:r>
        <w:t xml:space="preserve">It is silent, however, on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2.4 Spatial dependence testing</w:t>
      </w:r>
    </w:p>
    <w:p>
      <w:pPr>
        <w:pStyle w:val="FirstParagraph"/>
      </w:pPr>
      <w:r>
        <w:t xml:space="preserve">Spatial dependence is the tendency for observations at nearby locations to be more similar than observations at distant locations.</w:t>
      </w:r>
      <w:r>
        <w:t xml:space="preserve"> </w:t>
      </w:r>
      <w:r>
        <w:t xml:space="preserve">It can arise from spatial spillovers, from shared geographic conditions, or from inter-regional economic linkages</w:t>
      </w:r>
      <w:r>
        <w:t xml:space="preserve"> </w:t>
      </w:r>
      <w:r>
        <w:t xml:space="preserve">(Anselin 1988)</w:t>
      </w:r>
      <w:r>
        <w:t xml:space="preserve">.</w:t>
      </w:r>
      <w:r>
        <w:t xml:space="preserve"> </w:t>
      </w:r>
      <w:r>
        <w:t xml:space="preserve">When it is present and left unmodeled, standard regressions yield biased parameter estimates and invalid inference.</w:t>
      </w:r>
      <w:r>
        <w:t xml:space="preserve"> </w:t>
      </w:r>
      <w:r>
        <w:t xml:space="preserve">We therefore test for spatial dependence with the Global Moran’s I statistic and with Local Indicators of Spatial Association (LISA).</w:t>
      </w:r>
      <w:r>
        <w:t xml:space="preserve"> </w:t>
      </w:r>
      <w:r>
        <w:t xml:space="preserve">We apply both tests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quantifies the overall degree of spatial clustering among geographic units</w:t>
      </w:r>
      <w:r>
        <w:t xml:space="preserve"> </w:t>
      </w:r>
      <w:r>
        <w:t xml:space="preserve">(Moran 1950)</w:t>
      </w:r>
      <w:r>
        <w:t xml:space="preserve">.</w:t>
      </w:r>
      <w:r>
        <w:t xml:space="preserve"> </w:t>
      </w:r>
      <w:r>
        <w:t xml:space="preserve">It compares the deviation of each observation from the mean with the deviations of its neighbors.</w:t>
      </w:r>
      <w:r>
        <w:t xml:space="preserve"> </w:t>
      </w:r>
      <w:hyperlink w:anchor="eq-moran">
        <w:r>
          <w:rPr>
            <w:rStyle w:val="Hyperlink"/>
          </w:rPr>
          <w:t xml:space="preserve">Equation 3</w:t>
        </w:r>
      </w:hyperlink>
      <w:r>
        <w:t xml:space="preserve"> </w:t>
      </w:r>
      <w:r>
        <w:t xml:space="preserve">gives the formula.</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is the deviation of observation</w:t>
      </w:r>
      <w:r>
        <w:t xml:space="preserve"> </w:t>
      </w:r>
      <m:oMath>
        <m:r>
          <m:t>i</m:t>
        </m:r>
      </m:oMath>
      <w:r>
        <w:t xml:space="preserve"> </w:t>
      </w:r>
      <w:r>
        <w:t xml:space="preserve">from the mean, and</w:t>
      </w:r>
      <w:r>
        <w:t xml:space="preserve"> </w:t>
      </w:r>
      <m:oMath>
        <m:sSub>
          <m:e>
            <m:r>
              <m:t>w</m:t>
            </m:r>
          </m:e>
          <m:sub>
            <m:r>
              <m:t>i</m:t>
            </m:r>
            <m:r>
              <m:t>j</m:t>
            </m:r>
          </m:sub>
        </m:sSub>
      </m:oMath>
      <w:r>
        <w:t xml:space="preserve"> </w:t>
      </w:r>
      <w:r>
        <w:t xml:space="preserve">is the spatial weight that connects units</w:t>
      </w:r>
      <w:r>
        <w:t xml:space="preserve"> </w:t>
      </w:r>
      <m:oMath>
        <m:r>
          <m:t>i</m:t>
        </m:r>
      </m:oMath>
      <w:r>
        <w:t xml:space="preserve"> </w:t>
      </w:r>
      <w:r>
        <w:t xml:space="preserve">and</w:t>
      </w:r>
      <w:r>
        <w:t xml:space="preserve"> </w:t>
      </w:r>
      <m:oMath>
        <m:r>
          <m:t>j</m:t>
        </m:r>
      </m:oMath>
      <w:r>
        <w:t xml:space="preserve">.</w:t>
      </w:r>
      <w:r>
        <w:t xml:space="preserve"> </w:t>
      </w:r>
      <w:r>
        <w:t xml:space="preserve">The term</w:t>
      </w:r>
      <w:r>
        <w:t xml:space="preserve"> </w:t>
      </w:r>
      <m:oMath>
        <m:r>
          <m:t>n</m:t>
        </m:r>
      </m:oMath>
      <w:r>
        <w:t xml:space="preserve"> </w:t>
      </w:r>
      <w:r>
        <w:t xml:space="preserve">denotes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that similar values tend to be located near each other.</w:t>
      </w:r>
      <w:r>
        <w:rPr>
          <w:rStyle w:val="FootnoteReference"/>
        </w:rPr>
        <w:footnoteReference w:id="33"/>
      </w:r>
      <w:r>
        <w:t xml:space="preserve"> </w:t>
      </w:r>
      <w:r>
        <w:t xml:space="preserve">We assess significance with a permutation-based inference approach.</w:t>
      </w:r>
      <w:r>
        <w:rPr>
          <w:rStyle w:val="FootnoteReference"/>
        </w:rPr>
        <w:footnoteReference w:id="34"/>
      </w:r>
    </w:p>
    <w:p>
      <w:pPr>
        <w:pStyle w:val="BodyText"/>
      </w:pPr>
      <w:r>
        <w:t xml:space="preserve">The global statistic does not reveal where the clusters and outliers are located.</w:t>
      </w:r>
      <w:r>
        <w:t xml:space="preserve"> </w:t>
      </w:r>
      <w:r>
        <w:t xml:space="preserve">Anselin (1995)</w:t>
      </w:r>
      <w:r>
        <w:t xml:space="preserve"> </w:t>
      </w:r>
      <w:r>
        <w:t xml:space="preserve">therefore proposed Local Indicators of Spatial Association, which decompose the global statistic into a contribution from each observation.</w:t>
      </w:r>
      <w:r>
        <w:t xml:space="preserve"> </w:t>
      </w:r>
      <w:hyperlink w:anchor="eq-lisa">
        <w:r>
          <w:rPr>
            <w:rStyle w:val="Hyperlink"/>
          </w:rPr>
          <w:t xml:space="preserve">Equation 4</w:t>
        </w:r>
      </w:hyperlink>
      <w:r>
        <w:t xml:space="preserve"> </w:t>
      </w:r>
      <w:r>
        <w:t xml:space="preserve">defines the local statistic for observation</w:t>
      </w:r>
      <w:r>
        <w:t xml:space="preserve"> </w:t>
      </w:r>
      <m:oMath>
        <m:r>
          <m:t>i</m:t>
        </m:r>
      </m:oMath>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as defined by the spatial weight matrix.</w:t>
      </w:r>
      <w:r>
        <w:t xml:space="preserve"> </w:t>
      </w:r>
      <w:r>
        <w:t xml:space="preserve">Each observation is then classified into one of four categories, according to how its value relates to the values of its neighbors.</w:t>
      </w:r>
      <w:r>
        <w:t xml:space="preserve"> </w:t>
      </w:r>
      <w:r>
        <w:t xml:space="preserve">The High-High and Low-Low categories identify spatial clusters, and the High-Low and Low-High categories identify spatial outliers.</w:t>
      </w:r>
      <w:r>
        <w:rPr>
          <w:rStyle w:val="FootnoteReference"/>
        </w:rPr>
        <w:footnoteReference w:id="36"/>
      </w:r>
      <w:r>
        <w:t xml:space="preserve"> </w:t>
      </w:r>
      <w:r>
        <w:t xml:space="preserve">We assess significance with conditional permutation tests.</w:t>
      </w:r>
      <w:r>
        <w:t xml:space="preserve"> </w:t>
      </w:r>
      <w:r>
        <w:t xml:space="preserve">The LISA cluster maps report only the significant locations, typically at</w:t>
      </w:r>
      <w:r>
        <w:t xml:space="preserve"> </w:t>
      </w:r>
      <m:oMath>
        <m:r>
          <m:t>p</m:t>
        </m:r>
        <m:r>
          <m:rPr>
            <m:sty m:val="p"/>
          </m:rPr>
          <m:t>&lt;</m:t>
        </m:r>
        <m:r>
          <m:t>0.05</m:t>
        </m:r>
      </m:oMath>
      <w:r>
        <w:t xml:space="preserve">.</w:t>
      </w:r>
    </w:p>
    <w:p>
      <w:pPr>
        <w:pStyle w:val="BodyText"/>
      </w:pPr>
      <w:r>
        <w:t xml:space="preserve">The spatial weight matrix</w:t>
      </w:r>
      <w:r>
        <w:t xml:space="preserve"> </w:t>
      </w:r>
      <m:oMath>
        <m:r>
          <m:rPr>
            <m:sty m:val="b"/>
          </m:rPr>
          <m:t>W</m:t>
        </m:r>
      </m:oMath>
      <w:r>
        <w:t xml:space="preserve"> </w:t>
      </w:r>
      <w:r>
        <w:t xml:space="preserve">determines which districts are treated as neighbors, so its specification is central to the analysis.</w:t>
      </w:r>
      <w:r>
        <w:t xml:space="preserve"> </w:t>
      </w:r>
      <w:r>
        <w:t xml:space="preserve">We employ a six-nearest-neighbor (6NN) matrix.</w:t>
      </w:r>
      <w:r>
        <w:t xml:space="preserve"> </w:t>
      </w:r>
      <w:r>
        <w:t xml:space="preserve">It sets</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Each district therefore has the same number of neighbors, even though district sizes vary widely across the country.</w:t>
      </w:r>
      <w:r>
        <w:t xml:space="preserve"> </w:t>
      </w:r>
      <w:r>
        <w:t xml:space="preserve">We then row-normalize the matrix, as is standard practice, so that each row sums to one.</w:t>
      </w:r>
      <w:r>
        <w:t xml:space="preserve"> </w:t>
      </w:r>
      <w:r>
        <w:t xml:space="preserve">The spatial lag</w:t>
      </w:r>
      <w:r>
        <w:t xml:space="preserve"> </w:t>
      </w:r>
      <m:oMath>
        <m:r>
          <m:rPr>
            <m:sty m:val="b"/>
          </m:rPr>
          <m:t>W</m:t>
        </m:r>
        <m:r>
          <m:rPr>
            <m:sty m:val="b"/>
          </m:rPr>
          <m:t>x</m:t>
        </m:r>
      </m:oMath>
      <w:r>
        <w:t xml:space="preserve"> </w:t>
      </w:r>
      <w:r>
        <w:t xml:space="preserve">is then the average value among the neighbors of a district.</w:t>
      </w:r>
    </w:p>
    <w:p>
      <w:pPr>
        <w:pStyle w:val="BodyText"/>
      </w:pPr>
      <w:r>
        <w:t xml:space="preserve">The choice of</w:t>
      </w:r>
      <w:r>
        <w:t xml:space="preserve"> </w:t>
      </w:r>
      <m:oMath>
        <m:r>
          <m:t>k</m:t>
        </m:r>
        <m:r>
          <m:rPr>
            <m:sty m:val="p"/>
          </m:rPr>
          <m:t>=</m:t>
        </m:r>
        <m:r>
          <m:t>6</m:t>
        </m:r>
      </m:oMath>
      <w:r>
        <w:t xml:space="preserve"> </w:t>
      </w:r>
      <w:r>
        <w:t xml:space="preserve">balances two concerns.</w:t>
      </w:r>
      <w:r>
        <w:t xml:space="preserve"> </w:t>
      </w:r>
      <w:r>
        <w:t xml:space="preserve">It is large enough to capture local spatial interactions, and it is small enough to exclude distant districts that are unlikely to exert economic influence.</w:t>
      </w:r>
      <w:r>
        <w:t xml:space="preserve"> </w:t>
      </w:r>
      <w:r>
        <w:t xml:space="preserve">The data also support this choice.</w:t>
      </w:r>
      <w:r>
        <w:t xml:space="preserve"> </w:t>
      </w:r>
      <w:r>
        <w:t xml:space="preserve">Among the seven weight matrices considered in</w:t>
      </w:r>
      <w:r>
        <w:t xml:space="preserve"> </w:t>
      </w:r>
      <w:hyperlink w:anchor="tbl-altw">
        <w:r>
          <w:rPr>
            <w:rStyle w:val="Hyperlink"/>
          </w:rPr>
          <w:t xml:space="preserve">Table 4</w:t>
        </w:r>
      </w:hyperlink>
      <w:r>
        <w:t xml:space="preserve">, the 6NN specification attains the lowest AIC, which indicates the best fit to the spatial structure of the data.</w:t>
      </w:r>
      <w:r>
        <w:t xml:space="preserve"> </w:t>
      </w:r>
      <w:r>
        <w:t xml:space="preserve">We nevertheless treat the definition of the neighborhood as an open question.</w:t>
      </w:r>
      <w:r>
        <w:t xml:space="preserve"> </w:t>
      </w:r>
      <w:r>
        <w:t xml:space="preserve">In Section 3 we re-estimate the preferred model under six alternative weight matrices, which range from contiguity-based schemes to inverse-distance schemes.</w:t>
      </w:r>
      <w:r>
        <w:t xml:space="preserve"> </w:t>
      </w:r>
      <w:r>
        <w:t xml:space="preserve">Those results, reported in</w:t>
      </w:r>
      <w:r>
        <w:t xml:space="preser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 show that the direct and total convergence effects do not depend on this choice.</w:t>
      </w:r>
    </w:p>
    <w:p>
      <w:pPr>
        <w:pStyle w:val="BodyText"/>
      </w:pPr>
      <w:r>
        <w:t xml:space="preserve">Evidence of significant spatial dependence would justify the use of spatial econometric methods.</w:t>
      </w:r>
      <w:r>
        <w:t xml:space="preserve"> </w:t>
      </w:r>
      <w:r>
        <w:t xml:space="preserve">Ertur and Koch (2007)</w:t>
      </w:r>
      <w:r>
        <w:t xml:space="preserve"> </w:t>
      </w:r>
      <w:r>
        <w:t xml:space="preserve">argue that the spatial Durbin model (SDM) accounts for such dependence in the convergence process.</w:t>
      </w:r>
      <w:r>
        <w:t xml:space="preserve"> </w:t>
      </w:r>
      <w:r>
        <w:t xml:space="preserve">Fischer (2011)</w:t>
      </w:r>
      <w:r>
        <w:t xml:space="preserve"> </w:t>
      </w:r>
      <w:r>
        <w:t xml:space="preserve">derives the same specification as the reduced form of a spatially interdependent growth model.</w:t>
      </w:r>
      <w:r>
        <w:t xml:space="preserve"> </w:t>
      </w:r>
      <w:r>
        <w:t xml:space="preserve">The SDM also separates the direct effects of district characteristics from the indirect effects that operate through spatial channels</w:t>
      </w:r>
      <w:r>
        <w:t xml:space="preserve"> </w:t>
      </w:r>
      <w:r>
        <w:t xml:space="preserve">(LeSage and Pace 2009)</w:t>
      </w:r>
      <w:r>
        <w:t xml:space="preserve">.</w:t>
      </w:r>
    </w:p>
    <w:bookmarkEnd w:id="38"/>
    <w:bookmarkStart w:id="43" w:name="spatial-spillover-modeling"/>
    <w:p>
      <w:pPr>
        <w:pStyle w:val="Heading3"/>
      </w:pPr>
      <w:r>
        <w:t xml:space="preserve">2.5 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which was developed for countries.</w:t>
      </w:r>
      <w:r>
        <w:t xml:space="preserve"> </w:t>
      </w:r>
      <w:r>
        <w:t xml:space="preserve">It also builds on the regional Mankiw-Romer-Weil extension of that model by</w:t>
      </w:r>
      <w:r>
        <w:t xml:space="preserve"> </w:t>
      </w:r>
      <w:r>
        <w:t xml:space="preserve">Fischer (2011)</w:t>
      </w:r>
      <w:r>
        <w:t xml:space="preserve">.</w:t>
      </w:r>
      <w:r>
        <w:t xml:space="preserve"> </w:t>
      </w:r>
      <w:r>
        <w:t xml:space="preserve">Both models account for technological interdependence across economies.</w:t>
      </w:r>
      <w:r>
        <w:t xml:space="preserve"> </w:t>
      </w:r>
      <w:r>
        <w:t xml:space="preserve">We apply this framework to an economy of</w:t>
      </w:r>
      <w:r>
        <w:t xml:space="preserve"> </w:t>
      </w:r>
      <m:oMath>
        <m:r>
          <m:t>N</m:t>
        </m:r>
      </m:oMath>
      <w:r>
        <w:t xml:space="preserve"> </w:t>
      </w:r>
      <w:r>
        <w:t xml:space="preserve">subnational regions.</w:t>
      </w:r>
      <w:r>
        <w:t xml:space="preserve"> </w:t>
      </w:r>
      <w:r>
        <w:t xml:space="preserve">Each region is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is physical capital,</w:t>
      </w:r>
      <w:r>
        <w:t xml:space="preserve"> </w:t>
      </w:r>
      <m:oMath>
        <m:sSub>
          <m:e>
            <m:r>
              <m:t>H</m:t>
            </m:r>
          </m:e>
          <m:sub>
            <m:r>
              <m:t>i</m:t>
            </m:r>
            <m:r>
              <m:t>t</m:t>
            </m:r>
          </m:sub>
        </m:sSub>
      </m:oMath>
      <w:r>
        <w:t xml:space="preserve"> </w:t>
      </w:r>
      <w:r>
        <w:t xml:space="preserve">is human capital,</w:t>
      </w:r>
      <w:r>
        <w:t xml:space="preserve"> </w:t>
      </w:r>
      <m:oMath>
        <m:sSub>
          <m:e>
            <m:r>
              <m:t>L</m:t>
            </m:r>
          </m:e>
          <m:sub>
            <m:r>
              <m:t>i</m:t>
            </m:r>
            <m:r>
              <m:t>t</m:t>
            </m:r>
          </m:sub>
        </m:sSub>
      </m:oMath>
      <w:r>
        <w:t xml:space="preserve"> </w:t>
      </w:r>
      <w:r>
        <w:t xml:space="preserve">is the labor force, and</w:t>
      </w:r>
      <w:r>
        <w:t xml:space="preserve"> </w:t>
      </w:r>
      <m:oMath>
        <m:sSub>
          <m:e>
            <m:r>
              <m:t>A</m:t>
            </m:r>
          </m:e>
          <m:sub>
            <m:r>
              <m:t>i</m:t>
            </m:r>
            <m:r>
              <m:t>t</m:t>
            </m:r>
          </m:sub>
        </m:sSub>
      </m:oMath>
      <w:r>
        <w:t xml:space="preserve"> </w:t>
      </w:r>
      <w:r>
        <w:t xml:space="preserve">is 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Technological knowledge is not exogenous in this framework, because it depends on internal and on external factors.</w:t>
      </w:r>
      <w:r>
        <w:t xml:space="preserve"> </w:t>
      </w:r>
      <w:hyperlink w:anchor="eq-technology">
        <w:r>
          <w:rPr>
            <w:rStyle w:val="Hyperlink"/>
          </w:rPr>
          <w:t xml:space="preserve">Equation 6</w:t>
        </w:r>
      </w:hyperlink>
      <w:r>
        <w:t xml:space="preserve"> </w:t>
      </w:r>
      <w:r>
        <w:t xml:space="preserve">states that relation.</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The specification captures three components of technological progress:</w:t>
      </w:r>
    </w:p>
    <w:p>
      <w:pPr>
        <w:pStyle w:val="Compact"/>
        <w:numPr>
          <w:ilvl w:val="0"/>
          <w:numId w:val="1001"/>
        </w:numPr>
      </w:pPr>
      <w:r>
        <w:t xml:space="preserve">An exogenous component (</w:t>
      </w:r>
      <m:oMath>
        <m:sSub>
          <m:e>
            <m:r>
              <m:t>Ω</m:t>
            </m:r>
          </m:e>
          <m:sub>
            <m:r>
              <m:t>t</m:t>
            </m:r>
          </m:sub>
        </m:sSub>
      </m:oMath>
      <w:r>
        <w:t xml:space="preserve">) that represents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that reflects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that captures technological interdependence between regions.</w:t>
      </w:r>
    </w:p>
    <w:p>
      <w:pPr>
        <w:pStyle w:val="FirstParagraph"/>
      </w:pPr>
      <w:r>
        <w:t xml:space="preserve">The third component is absent from the standard Solow model, and it is the source of the spatial spillovers in growth.</w:t>
      </w:r>
    </w:p>
    <w:p>
      <w:pPr>
        <w:pStyle w:val="BodyText"/>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nor/>
            <m:sty m:val="p"/>
          </m:rPr>
          <m:t>-by-</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3 Results</w:t>
      </w:r>
    </w:p>
    <w:bookmarkStart w:id="62" w:name="Xe7539ad2a71fe769cfc70be6d950e02967fcd29"/>
    <w:p>
      <w:pPr>
        <w:pStyle w:val="Heading3"/>
      </w:pPr>
      <w:r>
        <w:t xml:space="preserve">3.1 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and the annotation reports its slope, the R-squared, the implied annual speed of convergence, and the half-life.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3.2 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No district that formed an HH cluster in initial luminosity forms one in luminosity growth: some appear instead as LL clusters, and most lose significance.</w:t>
      </w:r>
      <w:r>
        <w:t xml:space="preserve"> </w:t>
      </w:r>
      <w:r>
        <w:t xml:space="preserve">Part of the initially dimmest cluster, in turn, emerges as an HH cluster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3.3 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 Heteroskedasticity-robust (HC1) standard errors for OLS and Monte-Carlo standard errors for the SDM impacts in parentheses. *** p &lt; 0.01, ** p &lt; 0.05, * p &lt; 0.10.</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3.4 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3.5 Robustness to alternative spatial weight matrices</w:t>
      </w:r>
    </w:p>
    <w:p>
      <w:pPr>
        <w:pStyle w:val="FirstParagraph"/>
      </w:pPr>
      <w:r>
        <w:t xml:space="preserve">The spillover results above use the 6NN spatial weight matrix defined in Section 2.</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 *** p &lt; 0.01, ** p &lt; 0.05, * p &lt; 0.10.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4 Discussion</w:t>
      </w:r>
    </w:p>
    <w:bookmarkStart w:id="99" w:name="Xbb89b53bb4c3dfea59feafe78cc692969b43029"/>
    <w:p>
      <w:pPr>
        <w:pStyle w:val="Heading3"/>
      </w:pPr>
      <w:r>
        <w:t xml:space="preserve">4.1 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4.2 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would do so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4.3 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w:t>
      </w:r>
      <m:oMath>
        <m:r>
          <m:t>N</m:t>
        </m:r>
      </m:oMath>
      <w:r>
        <w:t xml:space="preserve"> </w:t>
      </w:r>
      <w:r>
        <w:t xml:space="preserve">=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r>
          <m:rPr>
            <m:sty m:val="p"/>
          </m:rPr>
          <m:t>=</m:t>
        </m:r>
        <m:r>
          <m:t>0.037</m:t>
        </m:r>
      </m:oMath>
      <w:r>
        <w:t xml:space="preserve">), so more luminous states tend to rank higher on that dimension.</w:t>
      </w:r>
      <w:r>
        <w:t xml:space="preserve"> </w:t>
      </w:r>
      <w:r>
        <w:t xml:space="preserve">Socio-cultural participation, in contrast, is negatively associated, with a Spearman rank correlation of</w:t>
      </w:r>
      <w:r>
        <w:t xml:space="preserve"> </w:t>
      </w:r>
      <m:oMath>
        <m:r>
          <m:rPr>
            <m:sty m:val="p"/>
          </m:rPr>
          <m:t>−</m:t>
        </m:r>
        <m:r>
          <m:t>0.404</m:t>
        </m:r>
      </m:oMath>
      <w:r>
        <w:t xml:space="preserve"> </w:t>
      </w:r>
      <w:r>
        <w:t xml:space="preserve">(</w:t>
      </w:r>
      <m:oMath>
        <m:r>
          <m:t>p</m:t>
        </m:r>
        <m:r>
          <m:rPr>
            <m:sty m:val="p"/>
          </m:rPr>
          <m:t>=</m:t>
        </m:r>
        <m:r>
          <m:t>0.022</m:t>
        </m:r>
      </m:oMath>
      <w:r>
        <w:t xml:space="preserve">), so less luminous states tend to rank higher on it.</w:t>
      </w:r>
      <w:r>
        <w:t xml:space="preserve"> </w:t>
      </w:r>
      <w:r>
        <w:t xml:space="preserve">We refer to these two dimensions as media-based cultural consumption and community-based participation, respectively.</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media-based cultural consumption in the northeast coincides with the Low-Low cluster in the nighttime lights data, whereas the High-High clusters do not coincide: media-based cultural consumption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4.4 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2025)</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4.5 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5 Concluding remarks</w:t>
      </w:r>
    </w:p>
    <w:p>
      <w:pPr>
        <w:pStyle w:val="FirstParagraph"/>
      </w:pPr>
      <w:r>
        <w:t xml:space="preserve">This article re-examines regional convergence across Indian districts using satellite nighttime lights, interactive visualization, and spatial econometric modeling.</w:t>
      </w:r>
      <w:r>
        <w:t xml:space="preserve"> </w:t>
      </w:r>
      <w:r>
        <w:t xml:space="preserve">Our tests show that spatial dependence characterizes both the satellite data and the convergence process itself.</w:t>
      </w:r>
      <w:r>
        <w:t xml:space="preserve"> </w:t>
      </w:r>
      <w:r>
        <w:t xml:space="preserve">In the fully specified spatial Durbin model, the total convergence effect is about 51% larger than the conventional non-spatial estimate, and the implied half-life of regional disparities falls from roughly 23 years to 13.</w:t>
      </w:r>
      <w:r>
        <w:t xml:space="preserve"> </w:t>
      </w:r>
      <w:r>
        <w:t xml:space="preserve">Non-spatial models therefore understate the speed of convergence in this setting, although comparison with other regional literatures shows that the direction of the adjustment is specific to the setting.</w:t>
      </w:r>
      <w:r>
        <w:t xml:space="preserve"> </w:t>
      </w:r>
      <w:r>
        <w:t xml:space="preserve">The policy reading depends on what the indirect effects represent.</w:t>
      </w:r>
      <w:r>
        <w:t xml:space="preserve"> </w:t>
      </w:r>
      <w:r>
        <w:t xml:space="preserve">Genuine spillovers would mean that place-based interventions reach beyond the districts they target.</w:t>
      </w:r>
      <w:r>
        <w:t xml:space="preserve"> </w:t>
      </w:r>
      <w:r>
        <w:t xml:space="preserve">Displaced activity would mean that the same estimates overstate what those interventions add in aggregate.</w:t>
      </w:r>
    </w:p>
    <w:p>
      <w:pPr>
        <w:pStyle w:val="BodyText"/>
      </w:pPr>
      <w:r>
        <w:t xml:space="preserve">Every step of the analysis is documented in Python notebooks, which run in the cloud and are embedded in the manuscript through the Quarto publishing framework.</w:t>
      </w:r>
      <w:r>
        <w:rPr>
          <w:rStyle w:val="FootnoteReference"/>
        </w:rPr>
        <w:footnoteReference w:id="124"/>
      </w:r>
      <w:r>
        <w:t xml:space="preserve"> </w:t>
      </w:r>
      <w:r>
        <w:t xml:space="preserve">The code and the data are hosted in a public GitHub repository, and we follow these open-science practices in the hope that other applied studies will adopt them.</w:t>
      </w:r>
      <w:r>
        <w:t xml:space="preserve"> </w:t>
      </w:r>
      <w:r>
        <w:t xml:space="preserve">That same workflow allowed us to extend the analysis beyond economic output.</w:t>
      </w:r>
      <w:r>
        <w:t xml:space="preserve"> </w:t>
      </w:r>
      <w:r>
        <w:t xml:space="preserve">Relating luminosity to cultural participation across Indian states required one additional notebook.</w:t>
      </w:r>
      <w:r>
        <w:t xml:space="preserve"> </w:t>
      </w:r>
      <w:r>
        <w:t xml:space="preserve">Luminosity correlates positively with media-based cultural consumption and negatively with community-based participation.</w:t>
      </w:r>
      <w:r>
        <w:t xml:space="preserve"> </w:t>
      </w:r>
      <w:r>
        <w:t xml:space="preserve">Those exploratory findings are reproducible on the same terms as the convergence estimates.</w:t>
      </w:r>
    </w:p>
    <w:p>
      <w:pPr>
        <w:pStyle w:val="BodyText"/>
      </w:pPr>
      <w:r>
        <w:t xml:space="preserve">The most valuable next steps are concrete: re-estimate this specification on the higher-resolution VIIRS data, validate luminosity against ground measurements in rural and sparsely electrified areas, and carry the same spatial framework to questions beyond convergence.</w:t>
      </w:r>
      <w:r>
        <w:t xml:space="preserve"> </w:t>
      </w:r>
      <w:r>
        <w:t xml:space="preserve">The convergence estimates reported here will eventually be superseded, and the workflow that produced them is built to be reused.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4"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Stata and Python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3" w:name="refs"/>
    <w:bookmarkStart w:id="129" w:name="ref-abrahams_etal_deblurring"/>
    <w:p>
      <w:pPr>
        <w:pStyle w:val="Bibliography"/>
      </w:pPr>
      <w:r>
        <w:t xml:space="preserve">Abrahams, Alexei, Christopher Oram, and Nancy Lozano-Gracia. 2018.</w:t>
      </w:r>
      <w:r>
        <w:t xml:space="preserve"> </w:t>
      </w:r>
      <w:r>
        <w:t xml:space="preserve">“Deblurring</w:t>
      </w:r>
      <w:r>
        <w:t xml:space="preserve"> </w:t>
      </w:r>
      <w:r>
        <w:t xml:space="preserve">DMSP</w:t>
      </w:r>
      <w:r>
        <w:t xml:space="preserve"> </w:t>
      </w:r>
      <w:r>
        <w:t xml:space="preserve">Nighttime Lights: A New Method Using</w:t>
      </w:r>
      <w:r>
        <w:t xml:space="preserve"> </w:t>
      </w:r>
      <w:r>
        <w:t xml:space="preserve">Gaussian</w:t>
      </w:r>
      <w:r>
        <w:t xml:space="preserve"> </w:t>
      </w:r>
      <w:r>
        <w:t xml:space="preserve">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w:t>
      </w:r>
      <w:r>
        <w:t xml:space="preserve"> </w:t>
      </w:r>
      <w:r>
        <w:t xml:space="preserve">India</w:t>
      </w:r>
      <w:r>
        <w:t xml:space="preserve"> </w:t>
      </w:r>
      <w:r>
        <w:t xml:space="preserve">Using the</w:t>
      </w:r>
      <w:r>
        <w:t xml:space="preserve"> </w:t>
      </w:r>
      <w:r>
        <w:t xml:space="preserve">SHRUG</w:t>
      </w:r>
      <w:r>
        <w:t xml:space="preserve"> </w:t>
      </w:r>
      <w:r>
        <w:t xml:space="preserve">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w:t>
      </w:r>
      <w:r>
        <w:t xml:space="preserve"> </w:t>
      </w:r>
      <w:r>
        <w:t xml:space="preserve">COVID</w:t>
      </w:r>
      <w:r>
        <w:t xml:space="preserve">-19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 3818578. Social Science Research Network.</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w:t>
      </w:r>
      <w:r>
        <w:t xml:space="preserve"> </w:t>
      </w:r>
      <w:r>
        <w:t xml:space="preserve">GDP</w:t>
      </w:r>
      <w:r>
        <w:t xml:space="preserve">.”</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w:t>
      </w:r>
      <w:r>
        <w:t xml:space="preserve"> </w:t>
      </w:r>
      <w:r>
        <w:t xml:space="preserve">India</w:t>
      </w:r>
      <w:r>
        <w:t xml:space="preserve">.”</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2">
        <w:r>
          <w:rPr>
            <w:rStyle w:val="Hyperlink"/>
          </w:rPr>
          <w:t xml:space="preserve">https://doi.org/10.1073/pnas.1017031108</w:t>
        </w:r>
      </w:hyperlink>
      <w:r>
        <w:t xml:space="preserve">.</w:t>
      </w:r>
    </w:p>
    <w:bookmarkEnd w:id="173"/>
    <w:bookmarkStart w:id="175" w:name="ref-chen_nordhaus_viirs_crosssection"/>
    <w:p>
      <w:pPr>
        <w:pStyle w:val="Bibliography"/>
      </w:pPr>
      <w:r>
        <w:t xml:space="preserve">———. 2019.</w:t>
      </w:r>
      <w:r>
        <w:t xml:space="preserve"> </w:t>
      </w:r>
      <w:r>
        <w:t xml:space="preserve">“</w:t>
      </w:r>
      <w:r>
        <w:t xml:space="preserve">VIIRS</w:t>
      </w:r>
      <w:r>
        <w:t xml:space="preserve"> </w:t>
      </w:r>
      <w:r>
        <w:t xml:space="preserve">Nighttime Lights in the Estimation of Cross-Sectional and Time-Series</w:t>
      </w:r>
      <w:r>
        <w:t xml:space="preserve"> </w:t>
      </w:r>
      <w:r>
        <w:t xml:space="preserve">GDP</w:t>
      </w:r>
      <w:r>
        <w:t xml:space="preserve">.”</w:t>
      </w:r>
      <w:r>
        <w:t xml:space="preserve"> </w:t>
      </w:r>
      <w:r>
        <w:rPr>
          <w:i/>
          <w:iCs/>
        </w:rPr>
        <w:t xml:space="preserve">Remote Sensing</w:t>
      </w:r>
      <w:r>
        <w:t xml:space="preserve"> </w:t>
      </w:r>
      <w:r>
        <w:t xml:space="preserve">11 (9): 1057.</w:t>
      </w:r>
      <w:r>
        <w:t xml:space="preserve"> </w:t>
      </w:r>
      <w:hyperlink r:id="rId174">
        <w:r>
          <w:rPr>
            <w:rStyle w:val="Hyperlink"/>
          </w:rPr>
          <w:t xml:space="preserve">https://doi.org/10.3390/rs11091057</w:t>
        </w:r>
      </w:hyperlink>
      <w:r>
        <w:t xml:space="preserve">.</w:t>
      </w:r>
    </w:p>
    <w:bookmarkEnd w:id="175"/>
    <w:bookmarkStart w:id="177"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6">
        <w:r>
          <w:rPr>
            <w:rStyle w:val="Hyperlink"/>
          </w:rPr>
          <w:t xml:space="preserve">https://doi.org/10.1007/s12076-024-00375-x</w:t>
        </w:r>
      </w:hyperlink>
      <w:r>
        <w:t xml:space="preserve">.</w:t>
      </w:r>
    </w:p>
    <w:bookmarkEnd w:id="177"/>
    <w:bookmarkStart w:id="179" w:name="ref-chiovelli_global_south"/>
    <w:p>
      <w:pPr>
        <w:pStyle w:val="Bibliography"/>
      </w:pPr>
      <w:r>
        <w:t xml:space="preserve">Chiovelli, Giorgio, Stelios Michalopoulos, Elias Papaioannou, and Tanner Regan. 2026.</w:t>
      </w:r>
      <w:r>
        <w:t xml:space="preserve"> </w:t>
      </w:r>
      <w:r>
        <w:t xml:space="preserve">“Illuminating the</w:t>
      </w:r>
      <w:r>
        <w:t xml:space="preserve"> </w:t>
      </w:r>
      <w:r>
        <w:t xml:space="preserve">Global South</w:t>
      </w:r>
      <w:r>
        <w:t xml:space="preserve">.”</w:t>
      </w:r>
      <w:r>
        <w:t xml:space="preserve"> </w:t>
      </w:r>
      <w:r>
        <w:rPr>
          <w:i/>
          <w:iCs/>
        </w:rPr>
        <w:t xml:space="preserve">The Economic Journal</w:t>
      </w:r>
      <w:r>
        <w:t xml:space="preserve">.</w:t>
      </w:r>
      <w:r>
        <w:t xml:space="preserve"> </w:t>
      </w:r>
      <w:hyperlink r:id="rId178">
        <w:r>
          <w:rPr>
            <w:rStyle w:val="Hyperlink"/>
          </w:rPr>
          <w:t xml:space="preserve">https://doi.org/10.1093/ej/ueaf134</w:t>
        </w:r>
      </w:hyperlink>
      <w:r>
        <w:t xml:space="preserve">.</w:t>
      </w:r>
    </w:p>
    <w:bookmarkEnd w:id="179"/>
    <w:bookmarkStart w:id="181" w:name="ref-cook_shah_nregs"/>
    <w:p>
      <w:pPr>
        <w:pStyle w:val="Bibliography"/>
      </w:pPr>
      <w:r>
        <w:t xml:space="preserve">Cook, C. Justin, and Manisha Shah. 2022.</w:t>
      </w:r>
      <w:r>
        <w:t xml:space="preserve"> </w:t>
      </w:r>
      <w:r>
        <w:t xml:space="preserve">“Aggregate Effects from Public Works: Evidence from</w:t>
      </w:r>
      <w:r>
        <w:t xml:space="preserve"> </w:t>
      </w:r>
      <w:r>
        <w:t xml:space="preserve">India</w:t>
      </w:r>
      <w:r>
        <w:t xml:space="preserve">.”</w:t>
      </w:r>
      <w:r>
        <w:t xml:space="preserve"> </w:t>
      </w:r>
      <w:r>
        <w:rPr>
          <w:i/>
          <w:iCs/>
        </w:rPr>
        <w:t xml:space="preserve">Review of Economics and Statistics</w:t>
      </w:r>
      <w:r>
        <w:t xml:space="preserve"> </w:t>
      </w:r>
      <w:r>
        <w:t xml:space="preserve">104 (4): 797–806.</w:t>
      </w:r>
      <w:r>
        <w:t xml:space="preserve"> </w:t>
      </w:r>
      <w:hyperlink r:id="rId180">
        <w:r>
          <w:rPr>
            <w:rStyle w:val="Hyperlink"/>
          </w:rPr>
          <w:t xml:space="preserve">https://doi.org/10.1162/rest_a_00993</w:t>
        </w:r>
      </w:hyperlink>
      <w:r>
        <w:t xml:space="preserve">.</w:t>
      </w:r>
    </w:p>
    <w:bookmarkEnd w:id="181"/>
    <w:bookmarkStart w:id="183"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2">
        <w:r>
          <w:rPr>
            <w:rStyle w:val="Hyperlink"/>
          </w:rPr>
          <w:t xml:space="preserve">https://doi.org/10.1093/jae/ejx027</w:t>
        </w:r>
      </w:hyperlink>
      <w:r>
        <w:t xml:space="preserve">.</w:t>
      </w:r>
    </w:p>
    <w:bookmarkEnd w:id="183"/>
    <w:bookmarkStart w:id="185"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4">
        <w:r>
          <w:rPr>
            <w:rStyle w:val="Hyperlink"/>
          </w:rPr>
          <w:t xml:space="preserve">https://doi.org/10.1257/jep.30.4.171</w:t>
        </w:r>
      </w:hyperlink>
      <w:r>
        <w:t xml:space="preserve">.</w:t>
      </w:r>
    </w:p>
    <w:bookmarkEnd w:id="185"/>
    <w:bookmarkStart w:id="187"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6">
        <w:r>
          <w:rPr>
            <w:rStyle w:val="Hyperlink"/>
          </w:rPr>
          <w:t xml:space="preserve">https://doi.org/10.1002/jae.3950100404</w:t>
        </w:r>
      </w:hyperlink>
      <w:r>
        <w:t xml:space="preserve">.</w:t>
      </w:r>
    </w:p>
    <w:bookmarkEnd w:id="187"/>
    <w:bookmarkStart w:id="189" w:name="ref-elvidge_etal_viirs"/>
    <w:p>
      <w:pPr>
        <w:pStyle w:val="Bibliography"/>
      </w:pPr>
      <w:r>
        <w:t xml:space="preserve">Elvidge, Christopher D., Kimberly E. Baugh, Mikhail Zhizhin, Feng-Chi Hsu, and Tilottama Ghosh. 2017.</w:t>
      </w:r>
      <w:r>
        <w:t xml:space="preserve"> </w:t>
      </w:r>
      <w:r>
        <w:t xml:space="preserve">“</w:t>
      </w:r>
      <w:r>
        <w:t xml:space="preserve">VIIRS</w:t>
      </w:r>
      <w:r>
        <w:t xml:space="preserve"> </w:t>
      </w:r>
      <w:r>
        <w:t xml:space="preserve">Night-Time Lights.”</w:t>
      </w:r>
      <w:r>
        <w:t xml:space="preserve"> </w:t>
      </w:r>
      <w:r>
        <w:rPr>
          <w:i/>
          <w:iCs/>
        </w:rPr>
        <w:t xml:space="preserve">International Journal of Remote Sensing</w:t>
      </w:r>
      <w:r>
        <w:t xml:space="preserve"> </w:t>
      </w:r>
      <w:r>
        <w:t xml:space="preserve">38 (21): 5860–79.</w:t>
      </w:r>
      <w:r>
        <w:t xml:space="preserve"> </w:t>
      </w:r>
      <w:hyperlink r:id="rId188">
        <w:r>
          <w:rPr>
            <w:rStyle w:val="Hyperlink"/>
          </w:rPr>
          <w:t xml:space="preserve">https://doi.org/10.1080/01431161.2017.1342050</w:t>
        </w:r>
      </w:hyperlink>
      <w:r>
        <w:t xml:space="preserve">.</w:t>
      </w:r>
    </w:p>
    <w:bookmarkEnd w:id="189"/>
    <w:bookmarkStart w:id="191"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0">
        <w:r>
          <w:rPr>
            <w:rStyle w:val="Hyperlink"/>
          </w:rPr>
          <w:t xml:space="preserve">https://doi.org/10.1002/jae.963</w:t>
        </w:r>
      </w:hyperlink>
      <w:r>
        <w:t xml:space="preserve">.</w:t>
      </w:r>
    </w:p>
    <w:bookmarkEnd w:id="191"/>
    <w:bookmarkStart w:id="193" w:name="ref-fischer_spatial_mrw"/>
    <w:p>
      <w:pPr>
        <w:pStyle w:val="Bibliography"/>
      </w:pPr>
      <w:r>
        <w:t xml:space="preserve">Fischer, Manfred M. 2011.</w:t>
      </w:r>
      <w:r>
        <w:t xml:space="preserve"> </w:t>
      </w:r>
      <w:r>
        <w:t xml:space="preserve">“A Spatial</w:t>
      </w:r>
      <w:r>
        <w:t xml:space="preserve"> </w:t>
      </w:r>
      <w:r>
        <w:t xml:space="preserve">Mankiw-Romer-Weil</w:t>
      </w:r>
      <w:r>
        <w:t xml:space="preserve"> </w:t>
      </w:r>
      <w:r>
        <w:t xml:space="preserve">Model: Theory and Evidence.”</w:t>
      </w:r>
      <w:r>
        <w:t xml:space="preserve"> </w:t>
      </w:r>
      <w:r>
        <w:rPr>
          <w:i/>
          <w:iCs/>
        </w:rPr>
        <w:t xml:space="preserve">Annals of Regional Science</w:t>
      </w:r>
      <w:r>
        <w:t xml:space="preserve"> </w:t>
      </w:r>
      <w:r>
        <w:t xml:space="preserve">47 (2): 419–36.</w:t>
      </w:r>
      <w:r>
        <w:t xml:space="preserve"> </w:t>
      </w:r>
      <w:hyperlink r:id="rId192">
        <w:r>
          <w:rPr>
            <w:rStyle w:val="Hyperlink"/>
          </w:rPr>
          <w:t xml:space="preserve">https://doi.org/10.1007/s00168-010-0384-6</w:t>
        </w:r>
      </w:hyperlink>
      <w:r>
        <w:t xml:space="preserve">.</w:t>
      </w:r>
    </w:p>
    <w:bookmarkEnd w:id="193"/>
    <w:bookmarkStart w:id="195"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4">
        <w:r>
          <w:rPr>
            <w:rStyle w:val="Hyperlink"/>
          </w:rPr>
          <w:t xml:space="preserve">https://doi.org/10.1007/s10887-014-9105-9</w:t>
        </w:r>
      </w:hyperlink>
      <w:r>
        <w:t xml:space="preserve">.</w:t>
      </w:r>
    </w:p>
    <w:bookmarkEnd w:id="195"/>
    <w:bookmarkStart w:id="197"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6">
        <w:r>
          <w:rPr>
            <w:rStyle w:val="Hyperlink"/>
          </w:rPr>
          <w:t xml:space="preserve">https://doi.org/10.1016/j.jdeveco.2020.102602</w:t>
        </w:r>
      </w:hyperlink>
      <w:r>
        <w:t xml:space="preserve">.</w:t>
      </w:r>
    </w:p>
    <w:bookmarkEnd w:id="197"/>
    <w:bookmarkStart w:id="199" w:name="ref-glawe_mendez_china_luminosity"/>
    <w:p>
      <w:pPr>
        <w:pStyle w:val="Bibliography"/>
      </w:pPr>
      <w:r>
        <w:t xml:space="preserve">Glawe, Linda, and Carlos Mendez. 2025.</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(59): 10677–93.</w:t>
      </w:r>
      <w:r>
        <w:t xml:space="preserve"> </w:t>
      </w:r>
      <w:hyperlink r:id="rId198">
        <w:r>
          <w:rPr>
            <w:rStyle w:val="Hyperlink"/>
          </w:rPr>
          <w:t xml:space="preserve">https://doi.org/10.1080/00036846.2024.2439583</w:t>
        </w:r>
      </w:hyperlink>
      <w:r>
        <w:t xml:space="preserve">.</w:t>
      </w:r>
    </w:p>
    <w:bookmarkEnd w:id="199"/>
    <w:bookmarkStart w:id="201"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0">
        <w:r>
          <w:rPr>
            <w:rStyle w:val="Hyperlink"/>
          </w:rPr>
          <w:t xml:space="preserve">https://doi.org/10.1016/j.rse.2017.06.031</w:t>
        </w:r>
      </w:hyperlink>
      <w:r>
        <w:t xml:space="preserve">.</w:t>
      </w:r>
    </w:p>
    <w:bookmarkEnd w:id="201"/>
    <w:bookmarkStart w:id="203"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2">
        <w:r>
          <w:rPr>
            <w:rStyle w:val="Hyperlink"/>
          </w:rPr>
          <w:t xml:space="preserve">https://doi.org/10.1016/j.jdeveco.2020.102621</w:t>
        </w:r>
      </w:hyperlink>
      <w:r>
        <w:t xml:space="preserve">.</w:t>
      </w:r>
    </w:p>
    <w:bookmarkEnd w:id="203"/>
    <w:bookmarkStart w:id="205"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4">
        <w:r>
          <w:rPr>
            <w:rStyle w:val="Hyperlink"/>
          </w:rPr>
          <w:t xml:space="preserve">https://doi.org/10.1257/aer.102.2.994</w:t>
        </w:r>
      </w:hyperlink>
      <w:r>
        <w:t xml:space="preserve">.</w:t>
      </w:r>
    </w:p>
    <w:bookmarkEnd w:id="205"/>
    <w:bookmarkStart w:id="207"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6">
        <w:r>
          <w:rPr>
            <w:rStyle w:val="Hyperlink"/>
          </w:rPr>
          <w:t xml:space="preserve">https://doi.org/10.1016/j.seps.2024.102012</w:t>
        </w:r>
      </w:hyperlink>
      <w:r>
        <w:t xml:space="preserve">.</w:t>
      </w:r>
    </w:p>
    <w:bookmarkEnd w:id="207"/>
    <w:bookmarkStart w:id="209"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08">
        <w:r>
          <w:rPr>
            <w:rStyle w:val="Hyperlink"/>
          </w:rPr>
          <w:t xml:space="preserve">https://doi.org/10.1126/science.aaf7894</w:t>
        </w:r>
      </w:hyperlink>
      <w:r>
        <w:t xml:space="preserve">.</w:t>
      </w:r>
    </w:p>
    <w:bookmarkEnd w:id="209"/>
    <w:bookmarkStart w:id="211"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0">
        <w:r>
          <w:rPr>
            <w:rStyle w:val="Hyperlink"/>
          </w:rPr>
          <w:t xml:space="preserve">https://doi.org/10.1086/725058</w:t>
        </w:r>
      </w:hyperlink>
      <w:r>
        <w:t xml:space="preserve">.</w:t>
      </w:r>
    </w:p>
    <w:bookmarkEnd w:id="211"/>
    <w:bookmarkStart w:id="213"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2">
        <w:r>
          <w:rPr>
            <w:rStyle w:val="Hyperlink"/>
          </w:rPr>
          <w:t xml:space="preserve">https://doi.org/10.1371/journal.pone.0318482</w:t>
        </w:r>
      </w:hyperlink>
      <w:r>
        <w:t xml:space="preserve">.</w:t>
      </w:r>
    </w:p>
    <w:bookmarkEnd w:id="213"/>
    <w:bookmarkStart w:id="215" w:name="ref-kacou_africa_convergence"/>
    <w:p>
      <w:pPr>
        <w:pStyle w:val="Bibliography"/>
      </w:pPr>
      <w:r>
        <w:t xml:space="preserve">Kacou, Kacou Yves Thierry. 2022.</w:t>
      </w:r>
      <w:r>
        <w:t xml:space="preserve"> </w:t>
      </w:r>
      <w:r>
        <w:t xml:space="preserve">“Interregional Inequality in</w:t>
      </w:r>
      <w:r>
        <w:t xml:space="preserve"> </w:t>
      </w:r>
      <w:r>
        <w:t xml:space="preserve">Africa</w:t>
      </w:r>
      <w:r>
        <w:t xml:space="preserve">,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4">
        <w:r>
          <w:rPr>
            <w:rStyle w:val="Hyperlink"/>
          </w:rPr>
          <w:t xml:space="preserve">https://doi.org/10.1111/rode.12851</w:t>
        </w:r>
      </w:hyperlink>
      <w:r>
        <w:t xml:space="preserve">.</w:t>
      </w:r>
    </w:p>
    <w:bookmarkEnd w:id="215"/>
    <w:bookmarkStart w:id="217"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6">
        <w:r>
          <w:rPr>
            <w:rStyle w:val="Hyperlink"/>
          </w:rPr>
          <w:t xml:space="preserve">https://doi.org/10.1016/j.worlddev.2014.08.017</w:t>
        </w:r>
      </w:hyperlink>
      <w:r>
        <w:t xml:space="preserve">.</w:t>
      </w:r>
    </w:p>
    <w:bookmarkEnd w:id="217"/>
    <w:bookmarkStart w:id="219"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18">
        <w:r>
          <w:rPr>
            <w:rStyle w:val="Hyperlink"/>
          </w:rPr>
          <w:t xml:space="preserve">https://doi.org/10.1007/s11205-025-03718-3</w:t>
        </w:r>
      </w:hyperlink>
      <w:r>
        <w:t xml:space="preserve">.</w:t>
      </w:r>
    </w:p>
    <w:bookmarkEnd w:id="219"/>
    <w:bookmarkStart w:id="220"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0"/>
    <w:bookmarkStart w:id="222"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1">
        <w:r>
          <w:rPr>
            <w:rStyle w:val="Hyperlink"/>
          </w:rPr>
          <w:t xml:space="preserve">https://doi.org/10.1093/comjnl/27.2.97</w:t>
        </w:r>
      </w:hyperlink>
      <w:r>
        <w:t xml:space="preserve">.</w:t>
      </w:r>
    </w:p>
    <w:bookmarkEnd w:id="222"/>
    <w:bookmarkStart w:id="224"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3">
        <w:r>
          <w:rPr>
            <w:rStyle w:val="Hyperlink"/>
          </w:rPr>
          <w:t xml:space="preserve">https://doi.org/10.1201/9781420064254</w:t>
        </w:r>
      </w:hyperlink>
      <w:r>
        <w:t xml:space="preserve">.</w:t>
      </w:r>
    </w:p>
    <w:bookmarkEnd w:id="224"/>
    <w:bookmarkStart w:id="226"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5">
        <w:r>
          <w:rPr>
            <w:rStyle w:val="Hyperlink"/>
          </w:rPr>
          <w:t xml:space="preserve">https://doi.org/10.1016/j.euroecorev.2016.11.009</w:t>
        </w:r>
      </w:hyperlink>
      <w:r>
        <w:t xml:space="preserve">.</w:t>
      </w:r>
    </w:p>
    <w:bookmarkEnd w:id="226"/>
    <w:bookmarkStart w:id="228"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7">
        <w:r>
          <w:rPr>
            <w:rStyle w:val="Hyperlink"/>
          </w:rPr>
          <w:t xml:space="preserve">https://doi.org/10.1038/s41597-020-0510-y</w:t>
        </w:r>
      </w:hyperlink>
      <w:r>
        <w:t xml:space="preserve">.</w:t>
      </w:r>
    </w:p>
    <w:bookmarkEnd w:id="228"/>
    <w:bookmarkStart w:id="230"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29">
        <w:r>
          <w:rPr>
            <w:rStyle w:val="Hyperlink"/>
          </w:rPr>
          <w:t xml:space="preserve">https://doi.org/10.1007/s10708-018-9893-0</w:t>
        </w:r>
      </w:hyperlink>
      <w:r>
        <w:t xml:space="preserve">.</w:t>
      </w:r>
    </w:p>
    <w:bookmarkEnd w:id="230"/>
    <w:bookmarkStart w:id="232"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 2459.</w:t>
      </w:r>
      <w:r>
        <w:t xml:space="preserve"> </w:t>
      </w:r>
      <w:hyperlink r:id="rId231">
        <w:r>
          <w:rPr>
            <w:rStyle w:val="Hyperlink"/>
          </w:rPr>
          <w:t xml:space="preserve">https://doi.org/10.1038/s41467-022-30099-9</w:t>
        </w:r>
      </w:hyperlink>
      <w:r>
        <w:t xml:space="preserve">.</w:t>
      </w:r>
    </w:p>
    <w:bookmarkEnd w:id="232"/>
    <w:bookmarkStart w:id="234"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3">
        <w:r>
          <w:rPr>
            <w:rStyle w:val="Hyperlink"/>
          </w:rPr>
          <w:t xml:space="preserve">https://doi.org/10.1371/journal.pone.0139779</w:t>
        </w:r>
      </w:hyperlink>
      <w:r>
        <w:t xml:space="preserve">.</w:t>
      </w:r>
    </w:p>
    <w:bookmarkEnd w:id="234"/>
    <w:bookmarkStart w:id="236" w:name="ref-min_etal_electrification"/>
    <w:p>
      <w:pPr>
        <w:pStyle w:val="Bibliography"/>
      </w:pPr>
      <w:r>
        <w:t xml:space="preserve">Min, Brian, Kwawu Mensan Gaba, Ousmane Fall Sarr, and Alassane Agalassou. 2013.</w:t>
      </w:r>
      <w:r>
        <w:t xml:space="preserve"> </w:t>
      </w:r>
      <w:r>
        <w:t xml:space="preserve">“Detection of Rural Electrification in</w:t>
      </w:r>
      <w:r>
        <w:t xml:space="preserve"> </w:t>
      </w:r>
      <w:r>
        <w:t xml:space="preserve">Africa</w:t>
      </w:r>
      <w:r>
        <w:t xml:space="preserve"> </w:t>
      </w:r>
      <w:r>
        <w:t xml:space="preserve">Using</w:t>
      </w:r>
      <w:r>
        <w:t xml:space="preserve"> </w:t>
      </w:r>
      <w:r>
        <w:t xml:space="preserve">DMSP-OLS</w:t>
      </w:r>
      <w:r>
        <w:t xml:space="preserve"> </w:t>
      </w:r>
      <w:r>
        <w:t xml:space="preserve">Night Lights Imagery.”</w:t>
      </w:r>
      <w:r>
        <w:t xml:space="preserve"> </w:t>
      </w:r>
      <w:r>
        <w:rPr>
          <w:i/>
          <w:iCs/>
        </w:rPr>
        <w:t xml:space="preserve">International Journal of Remote Sensing</w:t>
      </w:r>
      <w:r>
        <w:t xml:space="preserve"> </w:t>
      </w:r>
      <w:r>
        <w:t xml:space="preserve">34 (22): 8118–41.</w:t>
      </w:r>
      <w:r>
        <w:t xml:space="preserve"> </w:t>
      </w:r>
      <w:hyperlink r:id="rId235">
        <w:r>
          <w:rPr>
            <w:rStyle w:val="Hyperlink"/>
          </w:rPr>
          <w:t xml:space="preserve">https://doi.org/10.1080/01431161.2013.833358</w:t>
        </w:r>
      </w:hyperlink>
      <w:r>
        <w:t xml:space="preserve">.</w:t>
      </w:r>
    </w:p>
    <w:bookmarkEnd w:id="236"/>
    <w:bookmarkStart w:id="238"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7">
        <w:r>
          <w:rPr>
            <w:rStyle w:val="Hyperlink"/>
          </w:rPr>
          <w:t xml:space="preserve">https://doi.org/10.1080/00074918.2022.2071415</w:t>
        </w:r>
      </w:hyperlink>
      <w:r>
        <w:t xml:space="preserve">.</w:t>
      </w:r>
    </w:p>
    <w:bookmarkEnd w:id="238"/>
    <w:bookmarkStart w:id="240"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39">
        <w:r>
          <w:rPr>
            <w:rStyle w:val="Hyperlink"/>
          </w:rPr>
          <w:t xml:space="preserve">https://doi.org/10.2307/2332142</w:t>
        </w:r>
      </w:hyperlink>
      <w:r>
        <w:t xml:space="preserve">.</w:t>
      </w:r>
    </w:p>
    <w:bookmarkEnd w:id="240"/>
    <w:bookmarkStart w:id="242"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1">
        <w:r>
          <w:rPr>
            <w:rStyle w:val="Hyperlink"/>
          </w:rPr>
          <w:t xml:space="preserve">https://doi.org/10.18335/region.v11i1.493</w:t>
        </w:r>
      </w:hyperlink>
      <w:r>
        <w:t xml:space="preserve">.</w:t>
      </w:r>
    </w:p>
    <w:bookmarkEnd w:id="242"/>
    <w:bookmarkStart w:id="244"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3">
        <w:r>
          <w:rPr>
            <w:rStyle w:val="Hyperlink"/>
          </w:rPr>
          <w:t xml:space="preserve">https://doi.org/10.1126/science.1213847</w:t>
        </w:r>
      </w:hyperlink>
      <w:r>
        <w:t xml:space="preserve">.</w:t>
      </w:r>
    </w:p>
    <w:bookmarkEnd w:id="244"/>
    <w:bookmarkStart w:id="246"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5">
        <w:r>
          <w:rPr>
            <w:rStyle w:val="Hyperlink"/>
          </w:rPr>
          <w:t xml:space="preserve">https://doi.org/10.1093/qje/qjw003</w:t>
        </w:r>
      </w:hyperlink>
      <w:r>
        <w:t xml:space="preserve">.</w:t>
      </w:r>
    </w:p>
    <w:bookmarkEnd w:id="246"/>
    <w:bookmarkStart w:id="248"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7">
        <w:r>
          <w:rPr>
            <w:rStyle w:val="Hyperlink"/>
          </w:rPr>
          <w:t xml:space="preserve">https://doi.org/10.2307/2235377</w:t>
        </w:r>
      </w:hyperlink>
      <w:r>
        <w:t xml:space="preserve">.</w:t>
      </w:r>
    </w:p>
    <w:bookmarkEnd w:id="248"/>
    <w:bookmarkStart w:id="250" w:name="ref-rey_spatial_dynamics"/>
    <w:p>
      <w:pPr>
        <w:pStyle w:val="Bibliography"/>
      </w:pPr>
      <w:r>
        <w:t xml:space="preserve">Rey, Sergio J., and Brett D. Montouri. 1999.</w:t>
      </w:r>
      <w:r>
        <w:t xml:space="preserve"> </w:t>
      </w:r>
      <w:r>
        <w:t xml:space="preserve">“</w:t>
      </w:r>
      <w:r>
        <w:t xml:space="preserve">US</w:t>
      </w:r>
      <w:r>
        <w:t xml:space="preserve"> </w:t>
      </w:r>
      <w:r>
        <w:t xml:space="preserve">Regional Income Convergence: A Spatial Econometric Perspective.”</w:t>
      </w:r>
      <w:r>
        <w:t xml:space="preserve"> </w:t>
      </w:r>
      <w:r>
        <w:rPr>
          <w:i/>
          <w:iCs/>
        </w:rPr>
        <w:t xml:space="preserve">Regional Studies</w:t>
      </w:r>
      <w:r>
        <w:t xml:space="preserve"> </w:t>
      </w:r>
      <w:r>
        <w:t xml:space="preserve">33 (2): 143–56.</w:t>
      </w:r>
      <w:r>
        <w:t xml:space="preserve"> </w:t>
      </w:r>
      <w:hyperlink r:id="rId249">
        <w:r>
          <w:rPr>
            <w:rStyle w:val="Hyperlink"/>
          </w:rPr>
          <w:t xml:space="preserve">https://doi.org/10.1080/00343409950122945</w:t>
        </w:r>
      </w:hyperlink>
      <w:r>
        <w:t xml:space="preserve">.</w:t>
      </w:r>
    </w:p>
    <w:bookmarkEnd w:id="250"/>
    <w:bookmarkStart w:id="252" w:name="ref-salaimartin_regional_cohesion"/>
    <w:p>
      <w:pPr>
        <w:pStyle w:val="Bibliography"/>
      </w:pPr>
      <w:r>
        <w:t xml:space="preserve">Sala-i-Martin, Xavier.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1">
        <w:r>
          <w:rPr>
            <w:rStyle w:val="Hyperlink"/>
          </w:rPr>
          <w:t xml:space="preserve">https://doi.org/10.1016/0014-2921(95)00029-1</w:t>
        </w:r>
      </w:hyperlink>
      <w:r>
        <w:t xml:space="preserve">.</w:t>
      </w:r>
    </w:p>
    <w:bookmarkEnd w:id="252"/>
    <w:bookmarkStart w:id="254"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3">
        <w:r>
          <w:rPr>
            <w:rStyle w:val="Hyperlink"/>
          </w:rPr>
          <w:t xml:space="preserve">https://doi.org/10.1007/s10708-021-10377-7</w:t>
        </w:r>
      </w:hyperlink>
      <w:r>
        <w:t xml:space="preserve">.</w:t>
      </w:r>
    </w:p>
    <w:bookmarkEnd w:id="254"/>
    <w:bookmarkStart w:id="256" w:name="ref-sanyal_arora_state_performance"/>
    <w:p>
      <w:pPr>
        <w:pStyle w:val="Bibliography"/>
      </w:pPr>
      <w:r>
        <w:t xml:space="preserve">Sanyal, Sanjeev, and Aakanksha Arora. 2024.</w:t>
      </w:r>
      <w:r>
        <w:t xml:space="preserve"> </w:t>
      </w:r>
      <w:r>
        <w:t xml:space="preserve">“Relative Economic Performance of</w:t>
      </w:r>
      <w:r>
        <w:t xml:space="preserve"> </w:t>
      </w:r>
      <w:r>
        <w:t xml:space="preserve">Indian</w:t>
      </w:r>
      <w:r>
        <w:t xml:space="preserve"> </w:t>
      </w:r>
      <w:r>
        <w:t xml:space="preserve">States: 1960-61 to 2023-24.”</w:t>
      </w:r>
      <w:r>
        <w:t xml:space="preserve"> </w:t>
      </w:r>
      <w:r>
        <w:t xml:space="preserve">Working Paper EAC-PM/WP/31/2024. Economic Advisory Council to the Prime Minister.</w:t>
      </w:r>
      <w:r>
        <w:t xml:space="preserve"> </w:t>
      </w:r>
      <w:hyperlink r:id="rId255">
        <w:r>
          <w:rPr>
            <w:rStyle w:val="Hyperlink"/>
          </w:rPr>
          <w:t xml:space="preserve">https://eacpm.gov.in/reports/relative-economic-performance-of-indian-states/</w:t>
        </w:r>
      </w:hyperlink>
      <w:r>
        <w:t xml:space="preserve">.</w:t>
      </w:r>
    </w:p>
    <w:bookmarkEnd w:id="256"/>
    <w:bookmarkStart w:id="258"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57">
        <w:r>
          <w:rPr>
            <w:rStyle w:val="Hyperlink"/>
          </w:rPr>
          <w:t xml:space="preserve">https://doi.org/10.1016/j.jdeveco.2017.10.001</w:t>
        </w:r>
      </w:hyperlink>
      <w:r>
        <w:t xml:space="preserve">.</w:t>
      </w:r>
    </w:p>
    <w:bookmarkEnd w:id="258"/>
    <w:bookmarkStart w:id="260"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59">
        <w:r>
          <w:rPr>
            <w:rStyle w:val="Hyperlink"/>
          </w:rPr>
          <w:t xml:space="preserve">https://doi.org/10.2307/1884513</w:t>
        </w:r>
      </w:hyperlink>
      <w:r>
        <w:t xml:space="preserve">.</w:t>
      </w:r>
    </w:p>
    <w:bookmarkEnd w:id="260"/>
    <w:bookmarkStart w:id="262"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1">
        <w:r>
          <w:rPr>
            <w:rStyle w:val="Hyperlink"/>
          </w:rPr>
          <w:t xml:space="preserve">https://doi.org/10.1007/s12076-025-00397-z</w:t>
        </w:r>
      </w:hyperlink>
      <w:r>
        <w:t xml:space="preserve">.</w:t>
      </w:r>
    </w:p>
    <w:bookmarkEnd w:id="262"/>
    <w:bookmarkStart w:id="264"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3">
        <w:r>
          <w:rPr>
            <w:rStyle w:val="Hyperlink"/>
          </w:rPr>
          <w:t xml:space="preserve">https://doi.org/10.1016/j.isprsjprs.2020.04.001</w:t>
        </w:r>
      </w:hyperlink>
      <w:r>
        <w:t xml:space="preserve">.</w:t>
      </w:r>
    </w:p>
    <w:bookmarkEnd w:id="264"/>
    <w:bookmarkStart w:id="266"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5">
        <w:r>
          <w:rPr>
            <w:rStyle w:val="Hyperlink"/>
          </w:rPr>
          <w:t xml:space="preserve">https://doi.org/10.1080/13547860.2022.2041286</w:t>
        </w:r>
      </w:hyperlink>
      <w:r>
        <w:t xml:space="preserve">.</w:t>
      </w:r>
    </w:p>
    <w:bookmarkEnd w:id="266"/>
    <w:bookmarkStart w:id="268"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67">
        <w:r>
          <w:rPr>
            <w:rStyle w:val="Hyperlink"/>
          </w:rPr>
          <w:t xml:space="preserve">https://doi.org/10.1111/polp.70050</w:t>
        </w:r>
      </w:hyperlink>
      <w:r>
        <w:t xml:space="preserve">.</w:t>
      </w:r>
    </w:p>
    <w:bookmarkEnd w:id="268"/>
    <w:bookmarkStart w:id="270"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69">
        <w:r>
          <w:rPr>
            <w:rStyle w:val="Hyperlink"/>
          </w:rPr>
          <w:t xml:space="preserve">https://doi.org/10.1007/s00168-022-01168-0</w:t>
        </w:r>
      </w:hyperlink>
      <w:r>
        <w:t xml:space="preserve">.</w:t>
      </w:r>
    </w:p>
    <w:bookmarkEnd w:id="270"/>
    <w:bookmarkStart w:id="272" w:name="ref-witmer_lights_conflict"/>
    <w:p>
      <w:pPr>
        <w:pStyle w:val="Bibliography"/>
      </w:pPr>
      <w:r>
        <w:t xml:space="preserve">Witmer, Frank D. W., and John O’Loughlin. 2011.</w:t>
      </w:r>
      <w:r>
        <w:t xml:space="preserve"> </w:t>
      </w:r>
      <w:r>
        <w:t xml:space="preserve">“Detecting the Effects of Wars in the</w:t>
      </w:r>
      <w:r>
        <w:t xml:space="preserve"> </w:t>
      </w:r>
      <w:r>
        <w:t xml:space="preserve">Caucasus</w:t>
      </w:r>
      <w:r>
        <w:t xml:space="preserve"> </w:t>
      </w:r>
      <w:r>
        <w:t xml:space="preserve">Regions of</w:t>
      </w:r>
      <w:r>
        <w:t xml:space="preserve"> </w:t>
      </w:r>
      <w:r>
        <w:t xml:space="preserve">Russia</w:t>
      </w:r>
      <w:r>
        <w:t xml:space="preserve"> </w:t>
      </w:r>
      <w:r>
        <w:t xml:space="preserve">and</w:t>
      </w:r>
      <w:r>
        <w:t xml:space="preserve"> </w:t>
      </w:r>
      <w:r>
        <w:t xml:space="preserve">Georgia</w:t>
      </w:r>
      <w:r>
        <w:t xml:space="preserve"> </w:t>
      </w:r>
      <w:r>
        <w:t xml:space="preserve">Using Radiometrically Normalized</w:t>
      </w:r>
      <w:r>
        <w:t xml:space="preserve"> </w:t>
      </w:r>
      <w:r>
        <w:t xml:space="preserve">DMSP-OLS</w:t>
      </w:r>
      <w:r>
        <w:t xml:space="preserve"> </w:t>
      </w:r>
      <w:r>
        <w:t xml:space="preserve">Nighttime Lights Imagery.”</w:t>
      </w:r>
      <w:r>
        <w:t xml:space="preserve"> </w:t>
      </w:r>
      <w:r>
        <w:rPr>
          <w:i/>
          <w:iCs/>
        </w:rPr>
        <w:t xml:space="preserve">GIScience &amp; Remote Sensing</w:t>
      </w:r>
      <w:r>
        <w:t xml:space="preserve"> </w:t>
      </w:r>
      <w:r>
        <w:t xml:space="preserve">48 (4): 478–500.</w:t>
      </w:r>
      <w:r>
        <w:t xml:space="preserve"> </w:t>
      </w:r>
      <w:hyperlink r:id="rId271">
        <w:r>
          <w:rPr>
            <w:rStyle w:val="Hyperlink"/>
          </w:rPr>
          <w:t xml:space="preserve">https://doi.org/10.2747/1548-1603.48.4.478</w:t>
        </w:r>
      </w:hyperlink>
      <w:r>
        <w:t xml:space="preserve">.</w:t>
      </w:r>
    </w:p>
    <w:bookmarkEnd w:id="272"/>
    <w:bookmarkEnd w:id="273"/>
    <w:bookmarkEnd w:id="2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w:t>
      </w:r>
      <w:r>
        <w:t xml:space="preserve"> </w:t>
      </w:r>
      <w:r>
        <w:t xml:space="preserve">Sanyal and Arora (2024)</w:t>
      </w:r>
      <w:r>
        <w:t xml:space="preserve">, Working Paper EAC-PM/WP/31/2024.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9"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61"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3" Target="https://doi.org/10.1016/j.isprsjprs.2020.04.001" TargetMode="External" /><Relationship Type="http://schemas.openxmlformats.org/officeDocument/2006/relationships/hyperlink" Id="rId257"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5"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7"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9"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71"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55" Target="https://eacpm.gov.in/reports/relative-economic-performance-of-indian-states/"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6" Target="https://doi.org/10.1002/jae.3950100404" TargetMode="External" /><Relationship Type="http://schemas.openxmlformats.org/officeDocument/2006/relationships/hyperlink" Id="rId190"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2" Target="https://doi.org/10.1007/s00168-010-0384-6" TargetMode="External" /><Relationship Type="http://schemas.openxmlformats.org/officeDocument/2006/relationships/hyperlink" Id="rId269"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29" Target="https://doi.org/10.1007/s10708-018-9893-0" TargetMode="External" /><Relationship Type="http://schemas.openxmlformats.org/officeDocument/2006/relationships/hyperlink" Id="rId253" Target="https://doi.org/10.1007/s10708-021-10377-7" TargetMode="External" /><Relationship Type="http://schemas.openxmlformats.org/officeDocument/2006/relationships/hyperlink" Id="rId194" Target="https://doi.org/10.1007/s10887-014-9105-9" TargetMode="External" /><Relationship Type="http://schemas.openxmlformats.org/officeDocument/2006/relationships/hyperlink" Id="rId218" Target="https://doi.org/10.1007/s11205-025-03718-3" TargetMode="External" /><Relationship Type="http://schemas.openxmlformats.org/officeDocument/2006/relationships/hyperlink" Id="rId176" Target="https://doi.org/10.1007/s12076-024-00375-x" TargetMode="External" /><Relationship Type="http://schemas.openxmlformats.org/officeDocument/2006/relationships/hyperlink" Id="rId261" Target="https://doi.org/10.1007/s12076-025-00397-z" TargetMode="External" /><Relationship Type="http://schemas.openxmlformats.org/officeDocument/2006/relationships/hyperlink" Id="rId251"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5" Target="https://doi.org/10.1016/j.euroecorev.2016.11.009" TargetMode="External" /><Relationship Type="http://schemas.openxmlformats.org/officeDocument/2006/relationships/hyperlink" Id="rId263" Target="https://doi.org/10.1016/j.isprsjprs.2020.04.001" TargetMode="External" /><Relationship Type="http://schemas.openxmlformats.org/officeDocument/2006/relationships/hyperlink" Id="rId257" Target="https://doi.org/10.1016/j.jdeveco.2017.10.001" TargetMode="External" /><Relationship Type="http://schemas.openxmlformats.org/officeDocument/2006/relationships/hyperlink" Id="rId196" Target="https://doi.org/10.1016/j.jdeveco.2020.102602" TargetMode="External" /><Relationship Type="http://schemas.openxmlformats.org/officeDocument/2006/relationships/hyperlink" Id="rId202"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0"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6" Target="https://doi.org/10.1016/j.seps.2024.102012" TargetMode="External" /><Relationship Type="http://schemas.openxmlformats.org/officeDocument/2006/relationships/hyperlink" Id="rId216"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1" Target="https://doi.org/10.1038/s41467-022-30099-9" TargetMode="External" /><Relationship Type="http://schemas.openxmlformats.org/officeDocument/2006/relationships/hyperlink" Id="rId227" Target="https://doi.org/10.1038/s41597-020-0510-y" TargetMode="External" /><Relationship Type="http://schemas.openxmlformats.org/officeDocument/2006/relationships/hyperlink" Id="rId172" Target="https://doi.org/10.1073/pnas.1017031108" TargetMode="External" /><Relationship Type="http://schemas.openxmlformats.org/officeDocument/2006/relationships/hyperlink" Id="rId198" Target="https://doi.org/10.1080/00036846.2024.2439583" TargetMode="External" /><Relationship Type="http://schemas.openxmlformats.org/officeDocument/2006/relationships/hyperlink" Id="rId237" Target="https://doi.org/10.1080/00074918.2022.2071415" TargetMode="External" /><Relationship Type="http://schemas.openxmlformats.org/officeDocument/2006/relationships/hyperlink" Id="rId249" Target="https://doi.org/10.1080/00343409950122945" TargetMode="External" /><Relationship Type="http://schemas.openxmlformats.org/officeDocument/2006/relationships/hyperlink" Id="rId235" Target="https://doi.org/10.1080/01431161.2013.833358" TargetMode="External" /><Relationship Type="http://schemas.openxmlformats.org/officeDocument/2006/relationships/hyperlink" Id="rId188"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5"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0" Target="https://doi.org/10.1086/725058" TargetMode="External" /><Relationship Type="http://schemas.openxmlformats.org/officeDocument/2006/relationships/hyperlink" Id="rId221" Target="https://doi.org/10.1093/comjnl/27.2.97" TargetMode="External" /><Relationship Type="http://schemas.openxmlformats.org/officeDocument/2006/relationships/hyperlink" Id="rId178" Target="https://doi.org/10.1093/ej/ueaf134" TargetMode="External" /><Relationship Type="http://schemas.openxmlformats.org/officeDocument/2006/relationships/hyperlink" Id="rId182" Target="https://doi.org/10.1093/jae/ejx027" TargetMode="External" /><Relationship Type="http://schemas.openxmlformats.org/officeDocument/2006/relationships/hyperlink" Id="rId245"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67"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4" Target="https://doi.org/10.1111/rode.12851" TargetMode="External" /><Relationship Type="http://schemas.openxmlformats.org/officeDocument/2006/relationships/hyperlink" Id="rId243" Target="https://doi.org/10.1126/science.1213847" TargetMode="External" /><Relationship Type="http://schemas.openxmlformats.org/officeDocument/2006/relationships/hyperlink" Id="rId208" Target="https://doi.org/10.1126/science.aaf7894" TargetMode="External" /><Relationship Type="http://schemas.openxmlformats.org/officeDocument/2006/relationships/hyperlink" Id="rId180" Target="https://doi.org/10.1162/rest_a_00993" TargetMode="External" /><Relationship Type="http://schemas.openxmlformats.org/officeDocument/2006/relationships/hyperlink" Id="rId223" Target="https://doi.org/10.1201/9781420064254" TargetMode="External" /><Relationship Type="http://schemas.openxmlformats.org/officeDocument/2006/relationships/hyperlink" Id="rId204"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4" Target="https://doi.org/10.1257/jep.30.4.171" TargetMode="External" /><Relationship Type="http://schemas.openxmlformats.org/officeDocument/2006/relationships/hyperlink" Id="rId233" Target="https://doi.org/10.1371/journal.pone.0139779" TargetMode="External" /><Relationship Type="http://schemas.openxmlformats.org/officeDocument/2006/relationships/hyperlink" Id="rId212" Target="https://doi.org/10.1371/journal.pone.0318482" TargetMode="External" /><Relationship Type="http://schemas.openxmlformats.org/officeDocument/2006/relationships/hyperlink" Id="rId241" Target="https://doi.org/10.18335/region.v11i1.493" TargetMode="External" /><Relationship Type="http://schemas.openxmlformats.org/officeDocument/2006/relationships/hyperlink" Id="rId152" Target="https://doi.org/10.2139/ssrn.3818578" TargetMode="External" /><Relationship Type="http://schemas.openxmlformats.org/officeDocument/2006/relationships/hyperlink" Id="rId259" Target="https://doi.org/10.2307/1884513" TargetMode="External" /><Relationship Type="http://schemas.openxmlformats.org/officeDocument/2006/relationships/hyperlink" Id="rId247" Target="https://doi.org/10.2307/2235377" TargetMode="External" /><Relationship Type="http://schemas.openxmlformats.org/officeDocument/2006/relationships/hyperlink" Id="rId239" Target="https://doi.org/10.2307/2332142" TargetMode="External" /><Relationship Type="http://schemas.openxmlformats.org/officeDocument/2006/relationships/hyperlink" Id="rId271" Target="https://doi.org/10.2747/1548-1603.48.4.478" TargetMode="External" /><Relationship Type="http://schemas.openxmlformats.org/officeDocument/2006/relationships/hyperlink" Id="rId174"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55" Target="https://eacpm.gov.in/reports/relative-economic-performance-of-indian-states/"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 A reproducible view from outer space</dc:title>
  <dc:creator>Carlos Mendez; Sujana Kabiraj; Jiaqi Li</dc:creator>
  <cp:keywords>Regional convergence, Spatial dependence, Spatial Durbin model, Nighttime lights, Reproducible research, India</cp:keywords>
  <dcterms:created xsi:type="dcterms:W3CDTF">2026-09-20T06:36:00Z</dcterms:created>
  <dcterms:modified xsi:type="dcterms:W3CDTF">2026-09-20T06:36:00Z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empirical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spillovers raise the convergence speed from about 3.0% to about 5.2% per year, which shortens the half-life of regional disparities from roughly 23 to 13 years. We close by illustrating how the same reproducible workflow extends beyond economic output, with an exploratory analysis of how luminosity relates to cultural participation across Indian states.</vt:lpwstr>
  </property>
  <property fmtid="{D5CDD505-2E9C-101B-9397-08002B2CF9AE}" pid="3" name="accepted">
    <vt:lpwstr>September 19, 2026</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author">
    <vt:lpwstr>C. Mendez, S. Kabiraj, J. Li</vt:lpwstr>
  </property>
  <property fmtid="{D5CDD505-2E9C-101B-9397-08002B2CF9AE}" pid="17" name="jel">
    <vt:lpwstr/>
  </property>
  <property fmtid="{D5CDD505-2E9C-101B-9397-08002B2CF9AE}" pid="18" name="jpages">
    <vt:lpwstr>1–26</vt:lpwstr>
  </property>
  <property fmtid="{D5CDD505-2E9C-101B-9397-08002B2CF9AE}" pid="19" name="jyear">
    <vt:lpwstr>2026</vt:lpwstr>
  </property>
  <property fmtid="{D5CDD505-2E9C-101B-9397-08002B2CF9AE}" pid="20" name="labels">
    <vt:lpwstr/>
  </property>
  <property fmtid="{D5CDD505-2E9C-101B-9397-08002B2CF9AE}" pid="21" name="lightbox">
    <vt:lpwstr>auto</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ceived">
    <vt:lpwstr>February 5, 2026</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