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8.png" ContentType="image/png"/>
  <Override PartName="/word/media/rId52.png" ContentType="image/png"/>
  <Override PartName="/word/media/rId63.png" ContentType="image/png"/>
  <Override PartName="/word/media/rId76.png" ContentType="image/png"/>
  <Override PartName="/word/media/rId72.png" ContentType="image/png"/>
  <Override PartName="/word/media/rId68.png" ContentType="image/png"/>
  <Override PartName="/word/media/rId111.png" ContentType="image/png"/>
  <Override PartName="/word/media/rId107.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Carlos Mendez</w:t>
      </w:r>
    </w:p>
    <w:p>
      <w:pPr>
        <w:pStyle w:val="Author"/>
      </w:pPr>
      <w:r>
        <w:t xml:space="preserve">Sujana Kabiraj</w:t>
      </w:r>
    </w:p>
    <w:p>
      <w:pPr>
        <w:pStyle w:val="Author"/>
      </w:pPr>
      <w:r>
        <w:t xml:space="preserve">Jiaqi Li</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In our fully specified model, accounting for them raises the implied speed from about 3.0% to about 5.2% per year, which shortens the half-life of regional disparities from roughly 23 to 13 years.</w:t>
      </w:r>
      <w:r>
        <w:t xml:space="preserve"> </w:t>
      </w:r>
      <w:r>
        <w:t xml:space="preserve">The direct and total convergence effects are robust across seven definitions of the spatial weight matrix, and the spillover component is negative under all seven and statistically significant under five.</w:t>
      </w:r>
      <w:r>
        <w:t xml:space="preserve"> </w:t>
      </w:r>
      <w:r>
        <w:t xml:space="preserve">We close by illustrating how the same reproducible workflow extends beyond economic output, with an exploratory analysis of how luminosity relates to cultural participation across Indian states.</w:t>
      </w:r>
      <w:r>
        <w:t xml:space="preserve"> </w:t>
      </w:r>
      <w:r>
        <w:t xml:space="preserve">We also set out the gaps in data, geographic coverage, and theory that this line of work must close next.</w:t>
      </w:r>
    </w:p>
    <w:bookmarkStart w:id="23" w:name="introduction"/>
    <w:p>
      <w:pPr>
        <w:pStyle w:val="Heading2"/>
      </w:pPr>
      <w:r>
        <w:t xml:space="preserve">Introduction</w:t>
      </w:r>
    </w:p>
    <w:p>
      <w:pPr>
        <w:pStyle w:val="FirstParagraph"/>
      </w:pPr>
      <w:r>
        <w:t xml:space="preserve">Regional growth and convergence matter most in large federal states such as India, where spatial inequalities can threaten social cohesion and political stability.</w:t>
      </w:r>
      <w:r>
        <w:t xml:space="preserve"> </w:t>
      </w:r>
      <w:r>
        <w:t xml:space="preserve">Consistent economic data are rarely available below the state level, and satellite nighttime lights have relaxed that constraint as a proxy for economic activity.</w:t>
      </w:r>
      <w:r>
        <w:t xml:space="preserve"> </w:t>
      </w:r>
      <w:r>
        <w:t xml:space="preserve">Using those data,</w:t>
      </w:r>
      <w:r>
        <w:t xml:space="preserve"> </w:t>
      </w:r>
      <w:r>
        <w:t xml:space="preserve">Chanda and Kabiraj (2020)</w:t>
      </w:r>
      <w:r>
        <w:t xml:space="preserve"> </w:t>
      </w:r>
      <w:r>
        <w:t xml:space="preserve">document convergence across 520 Indian districts between 1996 and 2010.</w:t>
      </w:r>
      <w:r>
        <w:t xml:space="preserve"> </w:t>
      </w:r>
      <w:r>
        <w:t xml:space="preserve">Their approach, however, did not model spatial dependence: neighboring luminosity enters only as a robustness control, with no spatially lagged dependent variable and no impact decomposition.</w:t>
      </w:r>
      <w:r>
        <w:t xml:space="preserve"> </w:t>
      </w:r>
      <w:r>
        <w:t xml:space="preserve">The growth of a district may nevertheless depend on the initial conditions of its neighbors.</w:t>
      </w:r>
    </w:p>
    <w:p>
      <w:pPr>
        <w:pStyle w:val="BodyText"/>
      </w:pPr>
      <w:r>
        <w:t xml:space="preserve">This article extends that analysis, and its contribution has three dimensions.</w:t>
      </w:r>
      <w:r>
        <w:t xml:space="preserve"> </w:t>
      </w:r>
      <w:r>
        <w:t xml:space="preserve">It is in part a replication and extension, adopting the data, the sample, and the conditioning set of</w:t>
      </w:r>
      <w:r>
        <w:t xml:space="preserve"> </w:t>
      </w:r>
      <w:r>
        <w:t xml:space="preserve">Chanda and Kabiraj (2020)</w:t>
      </w:r>
      <w:r>
        <w:t xml:space="preserve"> </w:t>
      </w:r>
      <w:r>
        <w:t xml:space="preserve">unchanged, so that any difference in the estimates reflects the spatial specification alone.</w:t>
      </w:r>
      <w:r>
        <w:t xml:space="preserve"> </w:t>
      </w:r>
      <w:r>
        <w:t xml:space="preserve">It is in part substantive: we build an interactive visualization of convergence, test formally for spatial dependence in both variables of the convergence equation, and estimate a spatial Durbin model showing that catch-up across Indian districts has a neighborhood dimension as well as a district one.</w:t>
      </w:r>
      <w:r>
        <w:t xml:space="preserve"> </w:t>
      </w:r>
      <w:r>
        <w:t xml:space="preserve">The indirect effect of initial luminosity is negative and statistically significant at the 10% level, so districts whose neighbors started from a lower base grew faster than their own initial conditions alone would predict.</w:t>
      </w:r>
    </w:p>
    <w:p>
      <w:pPr>
        <w:pStyle w:val="BodyText"/>
      </w:pPr>
      <w:r>
        <w:t xml:space="preserve">Its primary contribution, however, is methodological: a complete spatial econometric study, from satellite imagery through the weight matrix and the impact decomposition to the robustness checks, can be published so that any reader can re-execute it in a browser.</w:t>
      </w:r>
      <w:r>
        <w:t xml:space="preserve"> </w:t>
      </w:r>
      <w:r>
        <w:t xml:space="preserve">This journal has argued for that form of publication</w:t>
      </w:r>
      <w:r>
        <w:t xml:space="preserve"> </w:t>
      </w:r>
      <w:r>
        <w:t xml:space="preserve">(Rowe et al. 2020; M. Chen et al. 2020)</w:t>
      </w:r>
      <w:r>
        <w:t xml:space="preserve">, and both a Python notebook for nighttime lights</w:t>
      </w:r>
      <w:r>
        <w:t xml:space="preserve"> </w:t>
      </w:r>
      <w:r>
        <w:t xml:space="preserve">(Patnaik and Mendez 2024)</w:t>
      </w:r>
      <w:r>
        <w:t xml:space="preserve"> </w:t>
      </w:r>
      <w:r>
        <w:t xml:space="preserve">and a study of spatial inequality in Python and Quarto</w:t>
      </w:r>
      <w:r>
        <w:t xml:space="preserve"> </w:t>
      </w:r>
      <w:r>
        <w:t xml:space="preserve">(Rey 2025)</w:t>
      </w:r>
      <w:r>
        <w:t xml:space="preserve"> </w:t>
      </w:r>
      <w:r>
        <w:t xml:space="preserve">have appeared here since.</w:t>
      </w:r>
      <w:r>
        <w:t xml:space="preserve"> </w:t>
      </w:r>
      <w:r>
        <w:t xml:space="preserve">What this article adds is a complete applied study rather than a tool or a demonstration dataset.</w:t>
      </w:r>
    </w:p>
    <w:p>
      <w:pPr>
        <w:pStyle w:val="BodyText"/>
      </w:pPr>
      <w:r>
        <w:t xml:space="preserve">That the spatial specification raises rather than lowers the measured speed is itself a substantive result.</w:t>
      </w:r>
      <w:r>
        <w:t xml:space="preserve"> </w:t>
      </w:r>
      <w:r>
        <w:t xml:space="preserve">Convergence estimates are known to respond to spatial dependence, but the direction of the response is not settled: allowing for it lowers the estimated speed across European regions and Indonesian districts, and reduces the estimated role of initial income across Indian states</w:t>
      </w:r>
      <w:r>
        <w:t xml:space="preserve"> </w:t>
      </w:r>
      <w:r>
        <w:t xml:space="preserve">(Isla-Castillo, Garashchuk, and Podadera-Rivera 2024; Santos-Marquez, Gunawan, and Mendez 2022; Lolayekar and Mukhopadhyay 2019)</w:t>
      </w:r>
      <w:r>
        <w:t xml:space="preserve">.</w:t>
      </w:r>
      <w:r>
        <w:t xml:space="preserve"> </w:t>
      </w:r>
      <w:r>
        <w:t xml:space="preserve">Across Indian districts it raises the speed, from about 3.0% to about 5.2% per year, so the article adds a signed estimate for a specific setting, benchmarked against the comparable literature in the results section.</w:t>
      </w:r>
    </w:p>
    <w:p>
      <w:pPr>
        <w:pStyle w:val="BodyText"/>
      </w:pPr>
      <w:r>
        <w:t xml:space="preserve">We also illustrate the wider potential of these data with an exploratory analysis of luminosity and cultural participation across Indian states.</w:t>
      </w:r>
      <w:r>
        <w:t xml:space="preserve"> </w:t>
      </w:r>
      <w:r>
        <w:t xml:space="preserve">That exercise uses state-level data for an adjacent period and rank correlations rather than the district-level convergence framework.</w:t>
      </w:r>
      <w:r>
        <w:t xml:space="preserve"> </w:t>
      </w:r>
      <w:r>
        <w:t xml:space="preserve">We present it as a demonstration of what the workflow makes possible, not as evidence on convergence.</w:t>
      </w:r>
    </w:p>
    <w:p>
      <w:pPr>
        <w:pStyle w:val="BodyText"/>
      </w:pPr>
      <w:r>
        <w:t xml:space="preserve">These findings carry implications for methodology and for policy: non-spatial approaches understate the speed of convergence in settings of this kind, because they omit the spatial structure of growth.</w:t>
      </w:r>
      <w:r>
        <w:t xml:space="preserve"> </w:t>
      </w:r>
      <w:r>
        <w:t xml:space="preserve">For policy, the implied half-life of regional disparities falls from roughly 23 years to 13, and if the indirect effects reflect genuine spillovers, place-based policies would reach more districts than they target and be more cost-effective than conventional estimates imply.</w:t>
      </w:r>
      <w:r>
        <w:t xml:space="preserve"> </w:t>
      </w:r>
      <w:r>
        <w:t xml:space="preserve">The Indian evidence also carries a warning, since a district-targeted tax program raised activity partly by displacing it from neighbors that narrowly missed qualifying</w:t>
      </w:r>
      <w:r>
        <w:t xml:space="preserve"> </w:t>
      </w:r>
      <w:r>
        <w:t xml:space="preserve">(Hasan, Jiang, and Rafols 2021)</w:t>
      </w:r>
      <w:r>
        <w:t xml:space="preserve">.</w:t>
      </w:r>
      <w:r>
        <w:t xml:space="preserve"> </w:t>
      </w:r>
      <w:r>
        <w:t xml:space="preserve">Displaced activity would appear in our framework as a spillover, so we weigh both readings in the discussion.</w:t>
      </w:r>
    </w:p>
    <w:p>
      <w:pPr>
        <w:pStyle w:val="BodyText"/>
      </w:pPr>
      <w:r>
        <w:t xml:space="preserve">Every empirical figure and table in this article is produced by one of the six computational notebooks listed in</w:t>
      </w:r>
      <w:r>
        <w:t xml:space="preserve"> </w:t>
      </w:r>
      <w:hyperlink w:anchor="tbl-notebooks">
        <w:r>
          <w:rPr>
            <w:rStyle w:val="Hyperlink"/>
          </w:rPr>
          <w:t xml:space="preserve">Table 1</w:t>
        </w:r>
      </w:hyperlink>
      <w:r>
        <w:t xml:space="preserve">.</w:t>
      </w:r>
      <w:r>
        <w:t xml:space="preserve"> </w:t>
      </w:r>
      <w:r>
        <w:t xml:space="preserve">The five analytical notebooks are written in Python and run in Google Colaboratory, so a reader needs no local installation and no licensed software: clicking</w:t>
      </w:r>
      <w:r>
        <w:t xml:space="preserve"> </w:t>
      </w:r>
      <w:r>
        <w:rPr>
          <w:i/>
          <w:iCs/>
        </w:rPr>
        <w:t xml:space="preserve">Run all</w:t>
      </w:r>
      <w:r>
        <w:t xml:space="preserve"> </w:t>
      </w:r>
      <w:r>
        <w:t xml:space="preserve">downloads the data and re-executes the analysis.</w:t>
      </w:r>
      <w:r>
        <w:t xml:space="preserve"> </w:t>
      </w:r>
      <w:r>
        <w:t xml:space="preserve">The sixth, N1, hosts the interactive visualization and its Google Earth Engine source code.</w:t>
      </w:r>
      <w:r>
        <w:t xml:space="preserve"> </w:t>
      </w:r>
      <w:r>
        <w:t xml:space="preserve">The notebooks, the data, and the manuscript source are in the project repository at</w:t>
      </w:r>
      <w:r>
        <w:t xml:space="preserve"> </w:t>
      </w:r>
      <w:hyperlink r:id="rId20">
        <w:r>
          <w:rPr>
            <w:rStyle w:val="Hyperlink"/>
          </w:rPr>
          <w:t xml:space="preserve">https://github.com/quarcs-lab/project2025s-py</w:t>
        </w:r>
      </w:hyperlink>
      <w:r>
        <w:t xml:space="preserve">, and their rendered versions are embedded in the online edition at</w:t>
      </w:r>
      <w:r>
        <w:t xml:space="preserve"> </w:t>
      </w:r>
      <w:hyperlink r:id="rId21">
        <w:r>
          <w:rPr>
            <w:rStyle w:val="Hyperlink"/>
          </w:rPr>
          <w:t xml:space="preserve">https://quarcs-lab.github.io/project2025s-py/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 w:name="tbl-notebooks"/>
          <w:p>
            <w:pPr>
              <w:jc w:val="center"/>
            </w:pPr>
            <w:pPr>
              <w:jc w:val="left"/>
              <w:spacing w:before="200"/>
              <w:pStyle w:val="ImageCaption"/>
            </w:pPr>
            <w:r>
              <w:t xml:space="preserve">Table 1: Computational notebooks underlying this article. N2 to N6 open in the browser through a Colab badge and run without local setup; N1 runs in the Earth Engine Code Editor.</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jc w:val="left"/>
                    <w:jc w:val="center"/>
                  </w:pPr>
                  <w:r>
                    <w:t xml:space="preserve">Notebook</w:t>
                  </w:r>
                </w:p>
              </w:tc>
              <w:tc>
                <w:tcPr/>
                <w:p>
                  <w:pPr>
                    <w:pStyle w:val="Compact"/>
                    <w:jc w:val="left"/>
                    <w:jc w:val="center"/>
                  </w:pPr>
                  <w:r>
                    <w:t xml:space="preserve">Content</w:t>
                  </w:r>
                </w:p>
              </w:tc>
            </w:tr>
            <w:tr>
              <w:tc>
                <w:tcPr/>
                <w:p>
                  <w:pPr>
                    <w:pStyle w:val="Compact"/>
                    <w:jc w:val="left"/>
                    <w:jc w:val="center"/>
                  </w:pPr>
                  <w:r>
                    <w:t xml:space="preserve">N1. View from outer space</w:t>
                  </w:r>
                </w:p>
              </w:tc>
              <w:tc>
                <w:tcPr/>
                <w:p>
                  <w:pPr>
                    <w:pStyle w:val="Compact"/>
                    <w:jc w:val="left"/>
                    <w:jc w:val="center"/>
                  </w:pPr>
                  <w:r>
                    <w:t xml:space="preserve">Interactive luminosity map with Earth Engine source code</w:t>
                  </w:r>
                </w:p>
              </w:tc>
            </w:tr>
            <w:tr>
              <w:tc>
                <w:tcPr/>
                <w:p>
                  <w:pPr>
                    <w:pStyle w:val="Compact"/>
                    <w:jc w:val="left"/>
                    <w:jc w:val="center"/>
                  </w:pPr>
                  <w:r>
                    <w:t xml:space="preserve">N2. Regional convergence</w:t>
                  </w:r>
                </w:p>
              </w:tc>
              <w:tc>
                <w:tcPr/>
                <w:p>
                  <w:pPr>
                    <w:pStyle w:val="Compact"/>
                    <w:jc w:val="left"/>
                    <w:jc w:val="center"/>
                  </w:pPr>
                  <w:r>
                    <w:t xml:space="preserve">Luminosity growth on initial luminosity, with speed and half-life</w:t>
                  </w:r>
                </w:p>
              </w:tc>
            </w:tr>
            <w:tr>
              <w:tc>
                <w:tcPr/>
                <w:p>
                  <w:pPr>
                    <w:pStyle w:val="Compact"/>
                    <w:jc w:val="left"/>
                    <w:jc w:val="center"/>
                  </w:pPr>
                  <w:r>
                    <w:t xml:space="preserve">N3. Spatial dependence</w:t>
                  </w:r>
                </w:p>
              </w:tc>
              <w:tc>
                <w:tcPr/>
                <w:p>
                  <w:pPr>
                    <w:pStyle w:val="Compact"/>
                    <w:jc w:val="left"/>
                    <w:jc w:val="center"/>
                  </w:pPr>
                  <w:r>
                    <w:t xml:space="preserve">Weight matrices, Global Moran’s I, and LISA cluster maps</w:t>
                  </w:r>
                </w:p>
              </w:tc>
            </w:tr>
            <w:tr>
              <w:tc>
                <w:tcPr/>
                <w:p>
                  <w:pPr>
                    <w:pStyle w:val="Compact"/>
                    <w:jc w:val="left"/>
                    <w:jc w:val="center"/>
                  </w:pPr>
                  <w:r>
                    <w:t xml:space="preserve">N4. Spillover modeling</w:t>
                  </w:r>
                </w:p>
              </w:tc>
              <w:tc>
                <w:tcPr/>
                <w:p>
                  <w:pPr>
                    <w:pStyle w:val="Compact"/>
                    <w:jc w:val="left"/>
                    <w:jc w:val="center"/>
                  </w:pPr>
                  <w:r>
                    <w:t xml:space="preserve">OLS and spatial Durbin estimates, impacts, and convergence speeds</w:t>
                  </w:r>
                </w:p>
              </w:tc>
            </w:tr>
            <w:tr>
              <w:tc>
                <w:tcPr/>
                <w:p>
                  <w:pPr>
                    <w:pStyle w:val="Compact"/>
                    <w:jc w:val="left"/>
                    <w:jc w:val="center"/>
                  </w:pPr>
                  <w:r>
                    <w:t xml:space="preserve">N5. Robustness</w:t>
                  </w:r>
                </w:p>
              </w:tc>
              <w:tc>
                <w:tcPr/>
                <w:p>
                  <w:pPr>
                    <w:pStyle w:val="Compact"/>
                    <w:jc w:val="left"/>
                    <w:jc w:val="center"/>
                  </w:pPr>
                  <w:r>
                    <w:t xml:space="preserve">Model 4 under seven alternative weight matrices</w:t>
                  </w:r>
                </w:p>
              </w:tc>
            </w:tr>
            <w:tr>
              <w:tc>
                <w:tcPr/>
                <w:p>
                  <w:pPr>
                    <w:pStyle w:val="Compact"/>
                    <w:jc w:val="left"/>
                    <w:jc w:val="center"/>
                  </w:pPr>
                  <w:r>
                    <w:t xml:space="preserve">N6. Spatial culture</w:t>
                  </w:r>
                </w:p>
              </w:tc>
              <w:tc>
                <w:tcPr/>
                <w:p>
                  <w:pPr>
                    <w:pStyle w:val="Compact"/>
                    <w:jc w:val="left"/>
                    <w:jc w:val="center"/>
                  </w:pPr>
                  <w:r>
                    <w:t xml:space="preserve">Luminosity and cultural participation across Indian states</w:t>
                  </w:r>
                </w:p>
              </w:tc>
            </w:tr>
          </w:tbl>
          <w:bookmarkEnd w:id="22"/>
          <w:p/>
        </w:tc>
      </w:tr>
    </w:tbl>
    <w:p>
      <w:pPr>
        <w:pStyle w:val="BodyText"/>
      </w:pPr>
      <w:r>
        <w:t xml:space="preserve">Three constraints on what this approach can do yet stand out.</w:t>
      </w:r>
      <w:r>
        <w:t xml:space="preserve"> </w:t>
      </w:r>
      <w:r>
        <w:t xml:space="preserve">The first is the data, since the DMSP-OLS series is coarse, saturates in bright urban cores, and blurs light across administrative boundaries.</w:t>
      </w:r>
      <w:r>
        <w:t xml:space="preserve"> </w:t>
      </w:r>
      <w:r>
        <w:t xml:space="preserve">The second is geography, since lights record only development that is illuminated, so they are least informative where conventional statistics are weakest.</w:t>
      </w:r>
      <w:r>
        <w:t xml:space="preserve"> </w:t>
      </w:r>
      <w:r>
        <w:t xml:space="preserve">The third is theory, since luminosity is now applied well beyond convergence analysis, yet it discriminates across places far better than over time.</w:t>
      </w:r>
      <w:r>
        <w:t xml:space="preserve"> </w:t>
      </w:r>
      <w:r>
        <w:t xml:space="preserve">We return to each in the discussion, where they define a research agenda rather than a list of caveats.</w:t>
      </w:r>
    </w:p>
    <w:p>
      <w:pPr>
        <w:pStyle w:val="BodyText"/>
      </w:pPr>
      <w:r>
        <w:t xml:space="preserve">The rest of this article is organized as follows.</w:t>
      </w:r>
      <w:r>
        <w:t xml:space="preserve"> </w:t>
      </w:r>
      <w:r>
        <w:t xml:space="preserve">Section 2 describes the data and methods and Section 3 the empirical results.</w:t>
      </w:r>
      <w:r>
        <w:t xml:space="preserve"> </w:t>
      </w:r>
      <w:r>
        <w:t xml:space="preserve">Section 4 takes up the policy implications, the single growth period, the cultural extension, and the three gaps above.</w:t>
      </w:r>
      <w:r>
        <w:t xml:space="preserve"> </w:t>
      </w:r>
      <w:r>
        <w:t xml:space="preserve">Section 5 offers concluding remarks.</w:t>
      </w:r>
    </w:p>
    <w:bookmarkEnd w:id="23"/>
    <w:bookmarkStart w:id="44" w:name="data-and-methods"/>
    <w:p>
      <w:pPr>
        <w:pStyle w:val="Heading2"/>
      </w:pPr>
      <w:r>
        <w:t xml:space="preserve">Data and methods</w:t>
      </w:r>
    </w:p>
    <w:bookmarkStart w:id="26" w:name="X7ea9375581c7bfc07c5ca4d117157d7859929f0"/>
    <w:p>
      <w:pPr>
        <w:pStyle w:val="Heading3"/>
      </w:pPr>
      <w:r>
        <w:t xml:space="preserve">Data: Nighttime lights as a proxy for economic activity</w:t>
      </w:r>
    </w:p>
    <w:p>
      <w:pPr>
        <w:pStyle w:val="FirstParagraph"/>
      </w:pPr>
      <w:r>
        <w:t xml:space="preserve">A growing literature pioneered by</w:t>
      </w:r>
      <w:r>
        <w:t xml:space="preserve"> </w:t>
      </w:r>
      <w:r>
        <w:t xml:space="preserve">Henderson, Storeygard, and Weil (2012)</w:t>
      </w:r>
      <w:r>
        <w:t xml:space="preserve"> </w:t>
      </w:r>
      <w:r>
        <w:t xml:space="preserve">uses satellite nighttime light data as a proxy for economic activity below the state level, exploiting the empirical correlation between the intensity of artificial light observed from satellites and economic output on the ground.</w:t>
      </w:r>
      <w:r>
        <w:t xml:space="preserve"> </w:t>
      </w:r>
      <w:r>
        <w:t xml:space="preserve">X. Chen and Nordhaus (2011)</w:t>
      </w:r>
      <w:r>
        <w:t xml:space="preserve"> </w:t>
      </w:r>
      <w:r>
        <w:t xml:space="preserve">show that the proxy carries most information where official statistics are of low quality.</w:t>
      </w:r>
      <w:r>
        <w:t xml:space="preserve"> </w:t>
      </w:r>
      <w:r>
        <w:t xml:space="preserve">Nighttime light (hereafter NTL) data have since been widely used to investigate economic growth and convergence across national and subnational regions.</w:t>
      </w:r>
    </w:p>
    <w:p>
      <w:pPr>
        <w:pStyle w:val="BodyText"/>
      </w:pPr>
      <w:r>
        <w:t xml:space="preserve">Applications include the effect of decentralization on convergence</w:t>
      </w:r>
      <w:r>
        <w:t xml:space="preserve"> </w:t>
      </w:r>
      <w:r>
        <w:t xml:space="preserve">(Adhikari and Dhital 2021)</w:t>
      </w:r>
      <w:r>
        <w:t xml:space="preserve">, the adjudication between national accounts and household surveys, which national accounts win</w:t>
      </w:r>
      <w:r>
        <w:t xml:space="preserve"> </w:t>
      </w:r>
      <w:r>
        <w:t xml:space="preserve">(Pinkovskiy and Sala-i-Martin 2016)</w:t>
      </w:r>
      <w:r>
        <w:t xml:space="preserve">, and the global estimation of GDP per capita and spatial inequality</w:t>
      </w:r>
      <w:r>
        <w:t xml:space="preserve"> </w:t>
      </w:r>
      <w:r>
        <w:t xml:space="preserve">(Lessmann and Seidel 2017)</w:t>
      </w:r>
      <w:r>
        <w:t xml:space="preserve">.</w:t>
      </w:r>
      <w:r>
        <w:t xml:space="preserve"> </w:t>
      </w:r>
      <w:r>
        <w:t xml:space="preserve">The Indian literature is equally varied, and it covers welfare programs, colonial institutions, demonetization, and the pandemic.</w:t>
      </w:r>
      <w:r>
        <w:rPr>
          <w:rStyle w:val="FootnoteReference"/>
        </w:rPr>
        <w:footnoteReference w:id="24"/>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per capita growth in nighttime lights as the dependent variable and initial nighttime lights per capita as the primary explanatory variable.</w:t>
      </w:r>
      <w:r>
        <w:t xml:space="preserve"> </w:t>
      </w:r>
      <w:r>
        <w:t xml:space="preserve">For 520 districts in India, these variables derive from NTL data released by the National Geophysical Data Center (NGDC), based on observations from the DMSP-OLS satellites over the period from 1996 to 2010.</w:t>
      </w:r>
      <w:r>
        <w:t xml:space="preserve"> </w:t>
      </w:r>
      <w:r>
        <w:t xml:space="preserve">To mitigate top-coding, the NGDC released radiance-calibrated nighttime lights for eight specific years, using high magnification settings for low-light regions and low magnification settings for brightly lit areas.</w:t>
      </w:r>
      <w:r>
        <w:t xml:space="preserve"> </w:t>
      </w:r>
      <w:r>
        <w:t xml:space="preserve">Six of those eight fall inside our sample window, and we use the radiance-calibrated series throughout.</w:t>
      </w:r>
      <w:r>
        <w:rPr>
          <w:rStyle w:val="FootnoteReference"/>
        </w:rPr>
        <w:footnoteReference w:id="25"/>
      </w:r>
    </w:p>
    <w:bookmarkEnd w:id="26"/>
    <w:bookmarkStart w:id="27" w:name="X449212fc3597f9e3fb4fbf099f12aa2882fbb23"/>
    <w:p>
      <w:pPr>
        <w:pStyle w:val="Heading3"/>
      </w:pPr>
      <w:r>
        <w:t xml:space="preserve">A reproducible workflow and interactive visualization</w:t>
      </w:r>
    </w:p>
    <w:p>
      <w:pPr>
        <w:pStyle w:val="FirstParagraph"/>
      </w:pPr>
      <w:r>
        <w:t xml:space="preserve">Jupyter notebooks integrate executable code, explanatory narrative, and computational outputs in a single document</w:t>
      </w:r>
      <w:r>
        <w:t xml:space="preserve"> </w:t>
      </w:r>
      <w:r>
        <w:t xml:space="preserve">(Kluyver et al. 2016)</w:t>
      </w:r>
      <w:r>
        <w:t xml:space="preserve">, which is the practical expression of literate programming</w:t>
      </w:r>
      <w:r>
        <w:t xml:space="preserve"> </w:t>
      </w:r>
      <w:r>
        <w:t xml:space="preserve">(Knuth 1984)</w:t>
      </w:r>
      <w:r>
        <w:t xml:space="preserve">.</w:t>
      </w:r>
      <w:r>
        <w:t xml:space="preserve"> </w:t>
      </w:r>
      <w:r>
        <w:t xml:space="preserve">We document our data processing, analysis, and visualization in notebooks running one Python kernel, so that each result can be traced to the code that produced it.</w:t>
      </w:r>
      <w:r>
        <w:t xml:space="preserve"> </w:t>
      </w:r>
      <w:r>
        <w:t xml:space="preserve">Quarto extends those notebooks into a manuscript framework</w:t>
      </w:r>
      <w:r>
        <w:t xml:space="preserve"> </w:t>
      </w:r>
      <w:r>
        <w:t xml:space="preserve">(Allaire et al. 2024)</w:t>
      </w:r>
      <w:r>
        <w:t xml:space="preserve">, in which every figure and table is embedded from an identified notebook cell and one source file generates the HTML, PDF, Word, and JATS XML versions without discrepancies between them.</w:t>
      </w:r>
      <w:r>
        <w:t xml:space="preserve"> </w:t>
      </w:r>
      <w:r>
        <w:t xml:space="preserve">The toolchain is open source and the data and code are public, so the whole pipeline can be re-executed without proprietary software</w:t>
      </w:r>
      <w:r>
        <w:t xml:space="preserve"> </w:t>
      </w:r>
      <w:r>
        <w:t xml:space="preserve">(Peng 2011)</w:t>
      </w:r>
      <w:r>
        <w:t xml:space="preserve">.</w:t>
      </w:r>
    </w:p>
    <w:p>
      <w:pPr>
        <w:pStyle w:val="BodyText"/>
      </w:pPr>
      <w:r>
        <w:t xml:space="preserve">Satellite data have opened new dimensions of economic measurement</w:t>
      </w:r>
      <w:r>
        <w:t xml:space="preserve"> </w:t>
      </w:r>
      <w:r>
        <w:t xml:space="preserve">(Donaldson and Storeygard 2016)</w:t>
      </w:r>
      <w:r>
        <w:t xml:space="preserve">, and interactive visualization reveals spatial and temporal heterogeneity that static maps obscure.</w:t>
      </w:r>
      <w:r>
        <w:t xml:space="preserve"> </w:t>
      </w:r>
      <w:r>
        <w:t xml:space="preserve">Google Earth Engine lowers the computational barriers to building such visualizations</w:t>
      </w:r>
      <w:r>
        <w:t xml:space="preserve"> </w:t>
      </w:r>
      <w:r>
        <w:t xml:space="preserve">(Gorelick et al. 2017)</w:t>
      </w:r>
      <w:r>
        <w:t xml:space="preserve">, since its browser-based environment needs no local software and its catalog already holds the DMSP-OLS and VIIRS nighttime lights collections</w:t>
      </w:r>
      <w:r>
        <w:t xml:space="preserve"> </w:t>
      </w:r>
      <w:r>
        <w:t xml:space="preserve">(Tamiminia et al. 2020)</w:t>
      </w:r>
      <w:r>
        <w:t xml:space="preserve">.</w:t>
      </w:r>
      <w:r>
        <w:t xml:space="preserve"> </w:t>
      </w:r>
      <w:r>
        <w:t xml:space="preserve">The platform lets readers track light intensity across regions over time, and therefore see where initially dim regions brightened fastest, which is the visual counterpart of the convergence relationship estimated in Section 3.</w:t>
      </w:r>
    </w:p>
    <w:bookmarkEnd w:id="27"/>
    <w:bookmarkStart w:id="31" w:name="regional-convergence-modeling"/>
    <w:p>
      <w:pPr>
        <w:pStyle w:val="Heading3"/>
      </w:pPr>
      <w:r>
        <w:t xml:space="preserve">Regional convergence modeling</w:t>
      </w:r>
    </w:p>
    <w:p>
      <w:pPr>
        <w:pStyle w:val="FirstParagraph"/>
      </w:pPr>
      <w:r>
        <w:t xml:space="preserve">In neoclassical growth models the per capita growth rate is negatively correlated with the initial endowment of a region, because of diminishing returns to capital accumulation</w:t>
      </w:r>
      <w:r>
        <w:t xml:space="preserve"> </w:t>
      </w:r>
      <w:r>
        <w:t xml:space="preserve">(Solow 1956)</w:t>
      </w:r>
      <w:r>
        <w:t xml:space="preserve">.</w:t>
      </w:r>
      <w:r>
        <w:t xml:space="preserve"> </w:t>
      </w:r>
      <w:r>
        <w:t xml:space="preserve">Regions that share technology and preferences should therefore converge over the long run to a common steady state.</w:t>
      </w:r>
      <w:r>
        <w:t xml:space="preserve"> </w:t>
      </w:r>
      <w:r>
        <w:t xml:space="preserve">We examine that hypothesis within the growth regression framework of</w:t>
      </w:r>
      <w:r>
        <w:t xml:space="preserve"> </w:t>
      </w:r>
      <w:r>
        <w:t xml:space="preserve">Barro and Sala-i-Martin (1992)</w:t>
      </w:r>
      <w:r>
        <w:t xml:space="preserve">, and</w:t>
      </w:r>
      <w:r>
        <w:t xml:space="preserve"> </w:t>
      </w:r>
      <w:hyperlink w:anchor="eq-matrix-form-abs">
        <w:r>
          <w:rPr>
            <w:rStyle w:val="Hyperlink"/>
          </w:rPr>
          <w:t xml:space="preserve">Equation 1</w:t>
        </w:r>
      </w:hyperlink>
      <w:r>
        <w:t xml:space="preserve"> </w:t>
      </w:r>
      <w:r>
        <w:t xml:space="preserve">presents the convergence process in its simplest unconditional form.</w:t>
      </w:r>
    </w:p>
    <w:p>
      <w:pPr>
        <w:pStyle w:val="BodyText"/>
      </w:pPr>
      <w:bookmarkStart w:id="28"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8"/>
    </w:p>
    <w:p>
      <w:pPr>
        <w:pStyle w:val="FirstParagraph"/>
      </w:pPr>
      <w:r>
        <w:t xml:space="preserve">where</w:t>
      </w:r>
      <w:r>
        <w:t xml:space="preserve"> </w:t>
      </w:r>
      <m:oMath>
        <m:sSub>
          <m:e>
            <m:r>
              <m:rPr>
                <m:sty m:val="b"/>
              </m:rPr>
              <m:t>g</m:t>
            </m:r>
          </m:e>
          <m:sub>
            <m:r>
              <m:rPr>
                <m:sty m:val="b"/>
              </m:rPr>
              <m:t>t</m:t>
            </m:r>
          </m:sub>
        </m:sSub>
      </m:oMath>
      <w:r>
        <w:t xml:space="preserve"> </w:t>
      </w:r>
      <w:r>
        <w:t xml:space="preserve">is an</w:t>
      </w:r>
      <w:r>
        <w:t xml:space="preserve"> </w:t>
      </w:r>
      <m:oMath>
        <m:r>
          <m:t>N</m:t>
        </m:r>
        <m:r>
          <m:rPr>
            <m:nor/>
            <m:sty m:val="p"/>
          </m:rPr>
          <m:t>-by-</m:t>
        </m:r>
        <m:r>
          <m:t>1</m:t>
        </m:r>
      </m:oMath>
      <w:r>
        <w:t xml:space="preserve"> </w:t>
      </w:r>
      <w:r>
        <w:t xml:space="preserve">vector of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is the corresponding vector of initial (log) per-capita NTL, and</w:t>
      </w:r>
      <w:r>
        <w:t xml:space="preserve"> </w:t>
      </w:r>
      <m:oMath>
        <m:sSub>
          <m:e>
            <m:r>
              <m:rPr>
                <m:sty m:val="b"/>
              </m:rPr>
              <m:t>ε</m:t>
            </m:r>
          </m:e>
          <m:sub>
            <m:r>
              <m:rPr>
                <m:sty m:val="b"/>
              </m:rPr>
              <m:t>t</m:t>
            </m:r>
          </m:sub>
        </m:sSub>
      </m:oMath>
      <w:r>
        <w:t xml:space="preserve"> </w:t>
      </w:r>
      <w:r>
        <w:t xml:space="preserve">is a vector of idiosyncratic error terms.</w:t>
      </w:r>
      <w:r>
        <w:t xml:space="preserve"> </w:t>
      </w:r>
      <w:r>
        <w:t xml:space="preserve">The parameter</w:t>
      </w:r>
      <w:r>
        <w:t xml:space="preserve"> </w:t>
      </w:r>
      <m:oMath>
        <m:sSub>
          <m:e>
            <m:r>
              <m:t>β</m:t>
            </m:r>
          </m:e>
          <m:sub>
            <m:r>
              <m:t>1</m:t>
            </m:r>
          </m:sub>
        </m:sSub>
      </m:oMath>
      <w:r>
        <w:t xml:space="preserve"> </w:t>
      </w:r>
      <w:r>
        <w:t xml:space="preserve">indicates the direction and strength of regional convergence.</w:t>
      </w:r>
      <w:r>
        <w:t xml:space="preserve"> </w:t>
      </w:r>
      <w:r>
        <w:t xml:space="preserve">A negative value implies that regions with lower initial NTL levels grow faster, which is the convergence hypothesis.</w:t>
      </w:r>
    </w:p>
    <w:p>
      <w:pPr>
        <w:pStyle w:val="BodyText"/>
      </w:pPr>
      <w:r>
        <w:t xml:space="preserve">The estimated convergence coefficient translates into an annual speed of convergence and a half-life</w:t>
      </w:r>
      <w:r>
        <w:t xml:space="preserve"> </w:t>
      </w:r>
      <w:r>
        <w:t xml:space="preserve">(Barro and Sala-i-Martin 1992)</w:t>
      </w:r>
      <w:r>
        <w:t xml:space="preserve">.</w:t>
      </w:r>
      <w:r>
        <w:t xml:space="preserve"> </w:t>
      </w:r>
      <w:r>
        <w:t xml:space="preserve">Because the dependent variable is average annual growth over</w:t>
      </w:r>
      <w:r>
        <w:t xml:space="preserve"> </w:t>
      </w:r>
      <m:oMath>
        <m:r>
          <m:t>T</m:t>
        </m:r>
      </m:oMath>
      <w:r>
        <w:t xml:space="preserve"> </w:t>
      </w:r>
      <w:r>
        <w:t xml:space="preserve">years, the implied speed is</w:t>
      </w:r>
      <w:r>
        <w:t xml:space="preserve"> </w:t>
      </w:r>
      <m:oMath>
        <m:r>
          <m:t>λ</m:t>
        </m:r>
        <m:r>
          <m:rPr>
            <m:sty m:val="p"/>
          </m:rPr>
          <m:t>=</m:t>
        </m:r>
        <m:r>
          <m:rPr>
            <m:sty m:val="p"/>
          </m:rPr>
          <m:t>−</m:t>
        </m:r>
        <m:r>
          <m:rPr>
            <m:sty m:val="p"/>
          </m:rPr>
          <m:t>ln</m:t>
        </m:r>
        <m:d>
          <m:dPr>
            <m:begChr m:val="("/>
            <m:sepChr m:val=""/>
            <m:endChr m:val=")"/>
            <m:grow/>
          </m:dPr>
          <m:e>
            <m:r>
              <m:t>1</m:t>
            </m:r>
            <m:r>
              <m:rPr>
                <m:sty m:val="p"/>
              </m:rPr>
              <m:t>+</m:t>
            </m:r>
            <m:sSub>
              <m:e>
                <m:r>
                  <m:t>β</m:t>
                </m:r>
              </m:e>
              <m:sub>
                <m:r>
                  <m:t>1</m:t>
                </m:r>
              </m:sub>
            </m:sSub>
            <m:r>
              <m:t>T</m:t>
            </m:r>
          </m:e>
        </m:d>
        <m:r>
          <m:rPr>
            <m:sty m:val="p"/>
          </m:rPr>
          <m:t>/</m:t>
        </m:r>
        <m:r>
          <m:t>T</m:t>
        </m:r>
      </m:oMath>
      <w:r>
        <w:t xml:space="preserve">, and the half-life, the time required to close half of the initial gap to the steady state, is</w:t>
      </w:r>
      <w:r>
        <w:t xml:space="preserve"> </w:t>
      </w:r>
      <m:oMath>
        <m:r>
          <m:rPr>
            <m:sty m:val="p"/>
          </m:rPr>
          <m:t>ln</m:t>
        </m:r>
        <m:d>
          <m:dPr>
            <m:begChr m:val="("/>
            <m:sepChr m:val=""/>
            <m:endChr m:val=")"/>
            <m:grow/>
          </m:dPr>
          <m:e>
            <m:r>
              <m:t>2</m:t>
            </m:r>
          </m:e>
        </m:d>
        <m:r>
          <m:rPr>
            <m:sty m:val="p"/>
          </m:rPr>
          <m:t>/</m:t>
        </m:r>
        <m:r>
          <m:t>λ</m:t>
        </m:r>
      </m:oMath>
      <w:r>
        <w:t xml:space="preserve">.</w:t>
      </w:r>
      <w:r>
        <w:t xml:space="preserve"> </w:t>
      </w:r>
      <w:r>
        <w:t xml:space="preserve">In our application</w:t>
      </w:r>
      <w:r>
        <w:t xml:space="preserve"> </w:t>
      </w:r>
      <m:oMath>
        <m:r>
          <m:t>T</m:t>
        </m:r>
        <m:r>
          <m:rPr>
            <m:sty m:val="p"/>
          </m:rPr>
          <m:t>=</m:t>
        </m:r>
        <m:r>
          <m:t>14</m:t>
        </m:r>
      </m:oMath>
      <w:r>
        <w:t xml:space="preserve"> </w:t>
      </w:r>
      <w:r>
        <w:t xml:space="preserve">years, and the same transformation is applied to the total effect of initial luminosity in the spatial models.</w:t>
      </w:r>
    </w:p>
    <w:p>
      <w:pPr>
        <w:pStyle w:val="BodyText"/>
      </w:pPr>
      <w:r>
        <w:t xml:space="preserve">Because this simple framework contains no control variables, it implies a common steady state, whereas regions differ in geography, socio-economic conditions, and policy implementation.</w:t>
      </w:r>
      <w:r>
        <w:t xml:space="preserve"> </w:t>
      </w:r>
      <w:r>
        <w:t xml:space="preserve">To account for these differences, we include state fixed effects that control for state-specific institutions and policies, and we add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9"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9"/>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 and the vector</w:t>
      </w:r>
      <w:r>
        <w:t xml:space="preserve"> </w:t>
      </w:r>
      <m:oMath>
        <m:r>
          <m:rPr>
            <m:sty m:val="b"/>
          </m:rPr>
          <m:t>α</m:t>
        </m:r>
      </m:oMath>
      <w:r>
        <w:t xml:space="preserve">, with dimensions</w:t>
      </w:r>
      <w:r>
        <w:t xml:space="preserve"> </w:t>
      </w:r>
      <m:oMath>
        <m:r>
          <m:t>k</m:t>
        </m:r>
        <m:r>
          <m:rPr>
            <m:sty m:val="p"/>
          </m:rPr>
          <m:t>×</m:t>
        </m:r>
        <m:r>
          <m:t>1</m:t>
        </m:r>
      </m:oMath>
      <w:r>
        <w:t xml:space="preserve">, captures their regression coefficients.</w:t>
      </w:r>
      <w:r>
        <w:t xml:space="preserve"> </w:t>
      </w:r>
      <w:r>
        <w:t xml:space="preserve">The conditioning set is adopted unchanged from</w:t>
      </w:r>
      <w:r>
        <w:t xml:space="preserve"> </w:t>
      </w:r>
      <w:r>
        <w:t xml:space="preserve">Chanda and Kabiraj (2020)</w:t>
      </w:r>
      <w:r>
        <w:t xml:space="preserve">, and this is deliberate: because the present analysis extends that study rather than replacing it, holding the controls fixed ensures that any difference between our estimates and theirs is attributable to the spatial specification and not to a different choice of covariates.</w:t>
      </w:r>
      <w:r>
        <w:t xml:space="preserve"> </w:t>
      </w:r>
      <w:r>
        <w:t xml:space="preserve">The 16 district-level controls fall into three groups.</w:t>
      </w:r>
      <w:r>
        <w:rPr>
          <w:rStyle w:val="FootnoteReference"/>
        </w:rPr>
        <w:footnoteReference w:id="30"/>
      </w:r>
      <w:r>
        <w:t xml:space="preserve"> </w:t>
      </w:r>
      <w:r>
        <w:t xml:space="preserve">Geography and agro-climate capture slow-moving determinants of the steady state that do not vary over the sample period.</w:t>
      </w:r>
      <w:r>
        <w:t xml:space="preserve"> </w:t>
      </w:r>
      <w:r>
        <w:t xml:space="preserve">Demographics and human capital capture the factor endowments through which districts accumulate.</w:t>
      </w:r>
      <w:r>
        <w:t xml:space="preserve"> </w:t>
      </w:r>
      <w:r>
        <w:t xml:space="preserve">Infrastructure captures access to the grid and to markets, which matters here because luminosity is itself partly a measure of electrification, so the conditional models compare districts that began the period with similar levels of grid access.</w:t>
      </w:r>
      <w:r>
        <w:t xml:space="preserve"> </w:t>
      </w:r>
      <w:r>
        <w:t xml:space="preserve">The demographic, human-capital, and electrification controls are measured in 1996, at the start of the growth period, and are therefore predetermined with respect to subsequent growth.</w:t>
      </w:r>
      <w:r>
        <w:t xml:space="preserve"> </w:t>
      </w:r>
      <w:r>
        <w:t xml:space="preserve">The paved-roads variable is measured in 2000.</w:t>
      </w:r>
      <w:r>
        <w:t xml:space="preserve"> </w:t>
      </w:r>
      <w:r>
        <w:t xml:space="preserve">The full list of control variables, with their measurement years and summary statistics, is given in Table A.1 of</w:t>
      </w:r>
      <w:r>
        <w:t xml:space="preserve"> </w:t>
      </w:r>
      <w:r>
        <w:t xml:space="preserve">Chanda and Kabiraj (2020)</w:t>
      </w:r>
      <w:r>
        <w:t xml:space="preserve">.</w:t>
      </w:r>
    </w:p>
    <w:p>
      <w:pPr>
        <w:pStyle w:val="BodyText"/>
      </w:pPr>
      <w:r>
        <w:t xml:space="preserve">Both specifications are estimated on a single long difference: average annual growth between 1996 and 2010, regressed on conditions at the start of that period.</w:t>
      </w:r>
      <w:r>
        <w:t xml:space="preserve"> </w:t>
      </w:r>
      <w:r>
        <w:t xml:space="preserve">This is the design of</w:t>
      </w:r>
      <w:r>
        <w:t xml:space="preserve"> </w:t>
      </w:r>
      <w:r>
        <w:t xml:space="preserve">Chanda and Kabiraj (2020)</w:t>
      </w:r>
      <w:r>
        <w:t xml:space="preserve"> </w:t>
      </w:r>
      <w:r>
        <w:t xml:space="preserve">and we retain it, but it should be stated plainly what it does and does not allow.</w:t>
      </w:r>
      <w:r>
        <w:t xml:space="preserve"> </w:t>
      </w:r>
      <w:r>
        <w:t xml:space="preserve">It identifies the average rate at which districts converged over fourteen years, but it cannot speak to how that rate evolved within the period.</w:t>
      </w:r>
      <w:r>
        <w:t xml:space="preserve"> </w:t>
      </w:r>
      <w:r>
        <w:t xml:space="preserve">We return to this limitation, and to what a panel design would require, in the discussion.</w:t>
      </w:r>
    </w:p>
    <w:bookmarkEnd w:id="31"/>
    <w:bookmarkStart w:id="38" w:name="spatial-dependence-testing"/>
    <w:p>
      <w:pPr>
        <w:pStyle w:val="Heading3"/>
      </w:pPr>
      <w:r>
        <w:t xml:space="preserve">Spatial dependence testing</w:t>
      </w:r>
    </w:p>
    <w:p>
      <w:pPr>
        <w:pStyle w:val="FirstParagraph"/>
      </w:pPr>
      <w:r>
        <w:t xml:space="preserve">Spatial dependence is the tendency for observations at nearby locations to be more similar than those at distant locations, and it 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it can lead to biased parameter estimates and invalid inference in standard regression models.</w:t>
      </w:r>
      <w:r>
        <w:t xml:space="preserve"> </w:t>
      </w:r>
      <w:r>
        <w:t xml:space="preserve">To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w:t>
      </w:r>
      <w:r>
        <w:t xml:space="preserve"> </w:t>
      </w:r>
      <w:r>
        <w:t xml:space="preserve">(Moran 1950)</w:t>
      </w:r>
      <w:r>
        <w:t xml:space="preserve"> </w:t>
      </w:r>
      <w:r>
        <w:t xml:space="preserve">quantifies the overall degree of spatial clustering among geographic units, and is given by</w:t>
      </w:r>
      <w:r>
        <w:t xml:space="preserve"> </w:t>
      </w:r>
      <w:hyperlink w:anchor="eq-moran">
        <w:r>
          <w:rPr>
            <w:rStyle w:val="Hyperlink"/>
          </w:rPr>
          <w:t xml:space="preserve">Equation 3</w:t>
        </w:r>
      </w:hyperlink>
      <w:r>
        <w:t xml:space="preserve">:</w:t>
      </w:r>
    </w:p>
    <w:p>
      <w:pPr>
        <w:pStyle w:val="BodyText"/>
      </w:pPr>
      <w:bookmarkStart w:id="32"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32"/>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 with positive values indicating that similar values tend to be located near each other,</w:t>
      </w:r>
      <w:r>
        <w:rPr>
          <w:rStyle w:val="FootnoteReference"/>
        </w:rPr>
        <w:footnoteReference w:id="33"/>
      </w:r>
      <w:r>
        <w:t xml:space="preserve"> </w:t>
      </w:r>
      <w:r>
        <w:t xml:space="preserve">and significance is assessed through a permutation-based inference approach.</w:t>
      </w:r>
      <w:r>
        <w:rPr>
          <w:rStyle w:val="FootnoteReference"/>
        </w:rPr>
        <w:footnoteReference w:id="34"/>
      </w:r>
    </w:p>
    <w:p>
      <w:pPr>
        <w:pStyle w:val="BodyText"/>
      </w:pPr>
      <w:r>
        <w:t xml:space="preserve">The global statistic does not reveal where significant clusters or outliers are located, so</w:t>
      </w:r>
      <w:r>
        <w:t xml:space="preserve"> </w:t>
      </w:r>
      <w:r>
        <w:t xml:space="preserve">Anselin (1995)</w:t>
      </w:r>
      <w:r>
        <w:t xml:space="preserve"> </w:t>
      </w:r>
      <w:r>
        <w:t xml:space="preserve">proposed Local Indicators of Spatial Association, which decompose it into contributions from each individual observation, as in</w:t>
      </w:r>
      <w:r>
        <w:t xml:space="preserve"> </w:t>
      </w:r>
      <w:hyperlink w:anchor="eq-lisa">
        <w:r>
          <w:rPr>
            <w:rStyle w:val="Hyperlink"/>
          </w:rPr>
          <w:t xml:space="preserve">Equation 4</w:t>
        </w:r>
      </w:hyperlink>
      <w:r>
        <w:t xml:space="preserve">:</w:t>
      </w:r>
    </w:p>
    <w:p>
      <w:pPr>
        <w:pStyle w:val="BodyText"/>
      </w:pPr>
      <w:bookmarkStart w:id="35"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35"/>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Each observation is classified into one of four categories according to how its value relates to those of its neighbors: High-High and Low-Low identify spatial clusters, while High-Low and Low-High identify spatial outliers.</w:t>
      </w:r>
      <w:r>
        <w:rPr>
          <w:rStyle w:val="FootnoteReference"/>
        </w:rPr>
        <w:footnoteReference w:id="36"/>
      </w:r>
      <w:r>
        <w:t xml:space="preserve"> </w:t>
      </w:r>
      <w:r>
        <w:t xml:space="preserve">Significance is assessed through conditional permutation tests, and only significant locations (typically at</w:t>
      </w:r>
      <w:r>
        <w:t xml:space="preserve"> </w:t>
      </w:r>
      <m:oMath>
        <m:r>
          <m:t>p</m:t>
        </m:r>
        <m:r>
          <m:rPr>
            <m:sty m:val="p"/>
          </m:rPr>
          <m:t>&lt;</m:t>
        </m:r>
        <m:r>
          <m:t>0.05</m:t>
        </m:r>
      </m:oMath>
      <w:r>
        <w:t xml:space="preserve">) are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 six-nearest-neighbors (6NN) weight matrix, in which</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districts to</w:t>
      </w:r>
      <w:r>
        <w:t xml:space="preserve"> </w:t>
      </w:r>
      <m:oMath>
        <m:r>
          <m:t>i</m:t>
        </m:r>
      </m:oMath>
      <w:r>
        <w:t xml:space="preserve"> </w:t>
      </w:r>
      <w:r>
        <w:t xml:space="preserve">by centroid distance and</w:t>
      </w:r>
      <w:r>
        <w:t xml:space="preserve"> </w:t>
      </w:r>
      <m:oMath>
        <m:sSub>
          <m:e>
            <m:r>
              <m:t>w</m:t>
            </m:r>
          </m:e>
          <m:sub>
            <m:r>
              <m:t>i</m:t>
            </m:r>
            <m:r>
              <m:t>j</m:t>
            </m:r>
          </m:sub>
        </m:sSub>
        <m:r>
          <m:rPr>
            <m:sty m:val="p"/>
          </m:rPr>
          <m:t>=</m:t>
        </m:r>
        <m:r>
          <m:t>0</m:t>
        </m:r>
      </m:oMath>
      <w:r>
        <w:t xml:space="preserve"> </w:t>
      </w:r>
      <w:r>
        <w:t xml:space="preserve">otherwise.</w:t>
      </w:r>
      <w:r>
        <w:rPr>
          <w:rStyle w:val="FootnoteReference"/>
        </w:rPr>
        <w:footnoteReference w:id="37"/>
      </w:r>
      <w:r>
        <w:t xml:space="preserve"> </w:t>
      </w:r>
      <w:r>
        <w:t xml:space="preserve">This gives each district a fixed number of connections regardless of the heterogeneity in district sizes across the country.</w:t>
      </w:r>
      <w:r>
        <w:t xml:space="preserve"> </w:t>
      </w:r>
      <w:r>
        <w:t xml:space="preserve">Following standard practice, we row-normalize the matrix so that each row sums to one, which makes the spatial lag</w:t>
      </w:r>
      <w:r>
        <w:t xml:space="preserve"> </w:t>
      </w:r>
      <m:oMath>
        <m:r>
          <m:rPr>
            <m:sty m:val="b"/>
          </m:rPr>
          <m:t>W</m:t>
        </m:r>
        <m:r>
          <m:rPr>
            <m:sty m:val="b"/>
          </m:rPr>
          <m:t>x</m:t>
        </m:r>
      </m:oMath>
      <w:r>
        <w:t xml:space="preserve"> </w:t>
      </w:r>
      <w:r>
        <w:t xml:space="preserve">the average value among the neighbors of a district.</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r>
        <w:t xml:space="preserve"> </w:t>
      </w:r>
      <w:r>
        <w:t xml:space="preserve">This choice is also supported empirically: among the seven weight matrices considered in</w:t>
      </w:r>
      <w:r>
        <w:t xml:space="preserve"> </w:t>
      </w:r>
      <w:hyperlink w:anchor="tbl-altw">
        <w:r>
          <w:rPr>
            <w:rStyle w:val="Hyperlink"/>
          </w:rPr>
          <w:t xml:space="preserve">Table 4</w:t>
        </w:r>
      </w:hyperlink>
      <w:r>
        <w:t xml:space="preserve">, the 6NN specification attains the lowest AIC, indicating the best fit to the spatial structure of the data.</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argues that the spatial Durbin model (SDM) can appropriately account for spatial dependence in the convergence process, and</w:t>
      </w:r>
      <w:r>
        <w:t xml:space="preserve"> </w:t>
      </w:r>
      <w:r>
        <w:t xml:space="preserve">Fischer (2011)</w:t>
      </w:r>
      <w:r>
        <w:t xml:space="preserve"> </w:t>
      </w:r>
      <w:r>
        <w:t xml:space="preserve">derives the same specification as the reduced form of a spatially interdependent growth model.</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8"/>
    <w:bookmarkStart w:id="43" w:name="spatial-spillover-modeling"/>
    <w:p>
      <w:pPr>
        <w:pStyle w:val="Heading3"/>
      </w:pPr>
      <w:r>
        <w:t xml:space="preserve">Spatial spillover modeling</w:t>
      </w:r>
    </w:p>
    <w:p>
      <w:pPr>
        <w:pStyle w:val="FirstParagraph"/>
      </w:pPr>
      <w:r>
        <w:t xml:space="preserve">Our spatial spillover modeling builds on the spatially augmented Solow model of</w:t>
      </w:r>
      <w:r>
        <w:t xml:space="preserve"> </w:t>
      </w:r>
      <w:r>
        <w:t xml:space="preserve">Ertur and Koch (2007)</w:t>
      </w:r>
      <w:r>
        <w:t xml:space="preserve">, developed for countries, and on its regional Mankiw-Romer-Weil extension by</w:t>
      </w:r>
      <w:r>
        <w:t xml:space="preserve"> </w:t>
      </w:r>
      <w:r>
        <w:t xml:space="preserve">Fischer (2011)</w:t>
      </w:r>
      <w:r>
        <w:t xml:space="preserve">, both of which account for technological interdependence across economies.</w:t>
      </w:r>
      <w:r>
        <w:t xml:space="preserve"> </w:t>
      </w:r>
      <w:r>
        <w:t xml:space="preserve">We apply that framework to an economy of</w:t>
      </w:r>
      <w:r>
        <w:t xml:space="preserve"> </w:t>
      </w:r>
      <m:oMath>
        <m:r>
          <m:t>N</m:t>
        </m:r>
      </m:oMath>
      <w:r>
        <w:t xml:space="preserve"> </w:t>
      </w:r>
      <w:r>
        <w:t xml:space="preserve">subnational regions, each characterized by the Cobb-Douglas production function with constant returns to scale in</w:t>
      </w:r>
      <w:r>
        <w:t xml:space="preserve"> </w:t>
      </w:r>
      <w:hyperlink w:anchor="eq-production">
        <w:r>
          <w:rPr>
            <w:rStyle w:val="Hyperlink"/>
          </w:rPr>
          <w:t xml:space="preserve">Equation 5</w:t>
        </w:r>
      </w:hyperlink>
      <w:r>
        <w:t xml:space="preserve">:</w:t>
      </w:r>
    </w:p>
    <w:p>
      <w:pPr>
        <w:pStyle w:val="BodyText"/>
      </w:pPr>
      <w:bookmarkStart w:id="39"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9"/>
    </w:p>
    <w:p>
      <w:pPr>
        <w:pStyle w:val="FirstParagraph"/>
      </w:pPr>
      <w:r>
        <w:t xml:space="preserve">where</w:t>
      </w:r>
      <w:r>
        <w:t xml:space="preserve"> </w:t>
      </w:r>
      <m:oMath>
        <m:sSub>
          <m:e>
            <m:r>
              <m:t>Y</m:t>
            </m:r>
          </m:e>
          <m:sub>
            <m:r>
              <m:t>i</m:t>
            </m:r>
            <m:r>
              <m:t>t</m:t>
            </m:r>
          </m:sub>
        </m:sSub>
      </m:oMath>
      <w:r>
        <w:t xml:space="preserve"> </w:t>
      </w:r>
      <w:r>
        <w:t xml:space="preserve">is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the 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 while</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are the output elasticities with respect to physical and human capital.</w:t>
      </w:r>
      <w:r>
        <w:t xml:space="preserve"> </w:t>
      </w:r>
      <w:r>
        <w:t xml:space="preserve">The framework models technological knowledge as in</w:t>
      </w:r>
      <w:r>
        <w:t xml:space="preserve"> </w:t>
      </w:r>
      <w:hyperlink w:anchor="eq-technology">
        <w:r>
          <w:rPr>
            <w:rStyle w:val="Hyperlink"/>
          </w:rPr>
          <w:t xml:space="preserve">Equation 6</w:t>
        </w:r>
      </w:hyperlink>
      <w:r>
        <w:t xml:space="preserve">, incorporating both internal and external factors:</w:t>
      </w:r>
    </w:p>
    <w:p>
      <w:pPr>
        <w:pStyle w:val="BodyText"/>
      </w:pPr>
      <w:bookmarkStart w:id="40"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40"/>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From this framework</w:t>
      </w:r>
      <w:r>
        <w:t xml:space="preserve"> </w:t>
      </w:r>
      <w:r>
        <w:t xml:space="preserve">Ertur and Koch (2007)</w:t>
      </w:r>
      <w:r>
        <w:t xml:space="preserve"> </w:t>
      </w:r>
      <w:r>
        <w:t xml:space="preserve">derived a spatial Durbin model that accounts for spillovers in the convergence process, with the human-capital terms following</w:t>
      </w:r>
      <w:r>
        <w:t xml:space="preserve"> </w:t>
      </w:r>
      <w:r>
        <w:t xml:space="preserve">Fischer (2011)</w:t>
      </w:r>
      <w:r>
        <w:t xml:space="preserve">.</w:t>
      </w:r>
      <w:r>
        <w:t xml:space="preserve"> </w:t>
      </w:r>
      <w:r>
        <w:t xml:space="preserve">The model augments the conditional specification of</w:t>
      </w:r>
      <w:r>
        <w:t xml:space="preserve"> </w:t>
      </w:r>
      <w:hyperlink w:anchor="eq-matrix-form-cond">
        <w:r>
          <w:rPr>
            <w:rStyle w:val="Hyperlink"/>
          </w:rPr>
          <w:t xml:space="preserve">Equation 2</w:t>
        </w:r>
      </w:hyperlink>
      <w:r>
        <w:t xml:space="preserve"> </w:t>
      </w:r>
      <w:r>
        <w:t xml:space="preserve">with spatial lags of the dependent variable, of initial luminosity, and of the control variables, and can be written compactly as</w:t>
      </w:r>
      <w:r>
        <w:t xml:space="preserve"> </w:t>
      </w:r>
      <w:hyperlink w:anchor="eq-matrix-form-sdm">
        <w:r>
          <w:rPr>
            <w:rStyle w:val="Hyperlink"/>
          </w:rPr>
          <w:t xml:space="preserve">Equation 7</w:t>
        </w:r>
      </w:hyperlink>
      <w:r>
        <w:t xml:space="preserve">:</w:t>
      </w:r>
    </w:p>
    <w:p>
      <w:pPr>
        <w:pStyle w:val="BodyText"/>
      </w:pPr>
      <w:bookmarkStart w:id="41" w:name="eq-matrix-form-sd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ρ</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41"/>
    </w:p>
    <w:p>
      <w:pPr>
        <w:pStyle w:val="FirstParagraph"/>
      </w:pPr>
      <w:r>
        <w:t xml:space="preserve">The vectors</w:t>
      </w:r>
      <w:r>
        <w:t xml:space="preserve"> </w:t>
      </w:r>
      <m:oMath>
        <m:sSub>
          <m:e>
            <m:r>
              <m:rPr>
                <m:sty m:val="b"/>
              </m:rPr>
              <m:t>g</m:t>
            </m:r>
          </m:e>
          <m:sub>
            <m:r>
              <m:rPr>
                <m:sty m:val="b"/>
              </m:rPr>
              <m:t>t</m:t>
            </m:r>
          </m:sub>
        </m:sSub>
      </m:oMath>
      <w:r>
        <w:t xml:space="preserve">,</w:t>
      </w:r>
      <w:r>
        <w:t xml:space="preserve"> </w:t>
      </w:r>
      <m:oMath>
        <m:sSub>
          <m:e>
            <m:r>
              <m:rPr>
                <m:sty m:val="b"/>
              </m:rPr>
              <m:t>x</m:t>
            </m:r>
          </m:e>
          <m:sub>
            <m:r>
              <m:rPr>
                <m:sty m:val="b"/>
              </m:rPr>
              <m:t>t</m:t>
            </m:r>
            <m:r>
              <m:rPr>
                <m:sty m:val="b"/>
              </m:rPr>
              <m:t>−</m:t>
            </m:r>
            <m:r>
              <m:rPr>
                <m:sty m:val="b"/>
              </m:rPr>
              <m:t>1</m:t>
            </m:r>
          </m:sub>
        </m:sSub>
      </m:oMath>
      <w:r>
        <w:t xml:space="preserve"> </w:t>
      </w:r>
      <w:r>
        <w:t xml:space="preserve">and</w:t>
      </w:r>
      <w:r>
        <w:t xml:space="preserve"> </w:t>
      </w:r>
      <m:oMath>
        <m:sSub>
          <m:e>
            <m:r>
              <m:rPr>
                <m:sty m:val="b"/>
              </m:rPr>
              <m:t>ε</m:t>
            </m:r>
          </m:e>
          <m:sub>
            <m:r>
              <m:rPr>
                <m:sty m:val="b"/>
              </m:rPr>
              <m:t>t</m:t>
            </m:r>
          </m:sub>
        </m:sSub>
      </m:oMath>
      <w:r>
        <w:t xml:space="preserve">, the matrix</w:t>
      </w:r>
      <w:r>
        <w:t xml:space="preserve"> </w:t>
      </w:r>
      <m:oMath>
        <m:sSub>
          <m:e>
            <m:r>
              <m:rPr>
                <m:sty m:val="b"/>
              </m:rPr>
              <m:t>X</m:t>
            </m:r>
          </m:e>
          <m:sub>
            <m:r>
              <m:rPr>
                <m:sty m:val="b"/>
              </m:rPr>
              <m:t>t</m:t>
            </m:r>
          </m:sub>
        </m:sSub>
      </m:oMath>
      <w:r>
        <w:t xml:space="preserve">, and the parameters</w:t>
      </w:r>
      <w:r>
        <w:t xml:space="preserve"> </w:t>
      </w:r>
      <m:oMath>
        <m:sSub>
          <m:e>
            <m:r>
              <m:t>β</m:t>
            </m:r>
          </m:e>
          <m:sub>
            <m:r>
              <m:t>1</m:t>
            </m:r>
          </m:sub>
        </m:sSub>
      </m:oMath>
      <w:r>
        <w:t xml:space="preserve"> </w:t>
      </w:r>
      <w:r>
        <w:t xml:space="preserve">and</w:t>
      </w:r>
      <w:r>
        <w:t xml:space="preserve"> </w:t>
      </w:r>
      <m:oMath>
        <m:r>
          <m:rPr>
            <m:sty m:val="b"/>
          </m:rPr>
          <m:t>α</m:t>
        </m:r>
      </m:oMath>
      <w:r>
        <w:t xml:space="preserve"> </w:t>
      </w:r>
      <w:r>
        <w:t xml:space="preserve">are defined as in</w:t>
      </w:r>
      <w:r>
        <w:t xml:space="preserve"> </w:t>
      </w:r>
      <w:hyperlink w:anchor="eq-matrix-form-cond">
        <w:r>
          <w:rPr>
            <w:rStyle w:val="Hyperlink"/>
          </w:rPr>
          <w:t xml:space="preserve">Equation 2</w:t>
        </w:r>
      </w:hyperlink>
      <w:r>
        <w:t xml:space="preserve"> </w:t>
      </w:r>
      <w:r>
        <w:t xml:space="preserve">above.</w:t>
      </w:r>
      <w:r>
        <w:t xml:space="preserve"> </w:t>
      </w:r>
      <w:r>
        <w:t xml:space="preserve">The new terms are the spatial lags: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are</w:t>
      </w:r>
      <w:r>
        <w:t xml:space="preserve"> </w:t>
      </w:r>
      <m:oMath>
        <m:r>
          <m:t>N</m:t>
        </m:r>
        <m:r>
          <m:rPr>
            <m:nor/>
            <m:sty m:val="p"/>
          </m:rPr>
          <m:t>-by-</m:t>
        </m:r>
        <m:r>
          <m:t>1</m:t>
        </m:r>
      </m:oMath>
      <w:r>
        <w:t xml:space="preserve"> </w:t>
      </w:r>
      <w:r>
        <w:t xml:space="preserve">vectors of neighborhood averages of initial luminosity and of growth, while</w:t>
      </w:r>
      <w:r>
        <w:t xml:space="preserve"> </w:t>
      </w:r>
      <m:oMath>
        <m:r>
          <m:rPr>
            <m:sty m:val="b"/>
          </m:rPr>
          <m:t>W</m:t>
        </m:r>
        <m:sSub>
          <m:e>
            <m:r>
              <m:rPr>
                <m:sty m:val="b"/>
              </m:rPr>
              <m:t>X</m:t>
            </m:r>
          </m:e>
          <m:sub>
            <m:r>
              <m:rPr>
                <m:sty m:val="b"/>
              </m:rPr>
              <m:t>t</m:t>
            </m:r>
          </m:sub>
        </m:sSub>
      </m:oMath>
      <w:r>
        <w:t xml:space="preserve"> </w:t>
      </w:r>
      <w:r>
        <w:t xml:space="preserve">is the corresponding</w:t>
      </w:r>
      <w:r>
        <w:t xml:space="preserve"> </w:t>
      </w:r>
      <m:oMath>
        <m:r>
          <m:t>N</m:t>
        </m:r>
        <m:r>
          <m:rPr>
            <m:sty m:val="p"/>
          </m:rPr>
          <m:t>×</m:t>
        </m:r>
        <m:r>
          <m:t>k</m:t>
        </m:r>
      </m:oMath>
      <w:r>
        <w:t xml:space="preserve"> </w:t>
      </w:r>
      <w:r>
        <w:t xml:space="preserve">matrix for the control variables.</w:t>
      </w:r>
      <w:r>
        <w:t xml:space="preserve"> </w:t>
      </w:r>
      <w:r>
        <w:t xml:space="preserve">The coefficients</w:t>
      </w:r>
      <w:r>
        <w:t xml:space="preserve"> </w:t>
      </w:r>
      <m:oMath>
        <m:sSub>
          <m:e>
            <m:r>
              <m:t>β</m:t>
            </m:r>
          </m:e>
          <m:sub>
            <m:r>
              <m:t>2</m:t>
            </m:r>
          </m:sub>
        </m:sSub>
      </m:oMath>
      <w:r>
        <w:t xml:space="preserve">,</w:t>
      </w:r>
      <w:r>
        <w:t xml:space="preserve"> </w:t>
      </w:r>
      <m:oMath>
        <m:r>
          <m:rPr>
            <m:sty m:val="b"/>
          </m:rPr>
          <m:t>γ</m:t>
        </m:r>
      </m:oMath>
      <w:r>
        <w:t xml:space="preserve"> </w:t>
      </w:r>
      <w:r>
        <w:t xml:space="preserve">and</w:t>
      </w:r>
      <w:r>
        <w:t xml:space="preserve"> </w:t>
      </w:r>
      <m:oMath>
        <m:r>
          <m:t>ρ</m:t>
        </m:r>
      </m:oMath>
      <w:r>
        <w:t xml:space="preserve"> </w:t>
      </w:r>
      <w:r>
        <w:t xml:space="preserve">measure how strongly each of these neighborhood averages enters the growth of a district.</w:t>
      </w:r>
      <w:r>
        <w:rPr>
          <w:rStyle w:val="FootnoteReference"/>
        </w:rPr>
        <w:footnoteReference w:id="42"/>
      </w:r>
    </w:p>
    <w:bookmarkEnd w:id="43"/>
    <w:bookmarkEnd w:id="44"/>
    <w:bookmarkStart w:id="96" w:name="results"/>
    <w:p>
      <w:pPr>
        <w:pStyle w:val="Heading2"/>
      </w:pPr>
      <w:r>
        <w:t xml:space="preserve">Results</w:t>
      </w:r>
    </w:p>
    <w:bookmarkStart w:id="62"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illustrate growth and convergence in nighttime lights visually, through an interactive map of India, a convergence scatterplot, and case studies of some of the poorest regions of the country.</w:t>
      </w:r>
      <w:r>
        <w:rPr>
          <w:rStyle w:val="FootnoteReference"/>
        </w:rPr>
        <w:footnoteReference w:id="45"/>
      </w:r>
    </w:p>
    <w:tbl>
      <w:tblPr>
        <w:tblStyle w:val="Table"/>
        <w:tblW w:type="pct" w:w="5000"/>
        <w:tblLayout w:type="fixed"/>
        <w:tblLook w:firstRow="0" w:lastRow="0" w:firstColumn="0" w:lastColumn="0" w:noHBand="0" w:noVBand="0" w:val="0000"/>
      </w:tblPr>
      <w:tblGrid>
        <w:gridCol w:w="7920"/>
      </w:tblGrid>
      <w:tr>
        <w:tc>
          <w:tcPr/>
          <w:bookmarkStart w:id="51" w:name="fig-map"/>
          <w:p>
            <w:pPr>
              <w:pStyle w:val="Compact"/>
              <w:jc w:val="center"/>
            </w:pPr>
            <w:r>
              <w:drawing>
                <wp:inline>
                  <wp:extent cx="5334000" cy="3030721"/>
                  <wp:effectExtent b="0" l="0" r="0" t="0"/>
                  <wp:docPr descr="" title="" id="49" name="Picture"/>
                  <a:graphic>
                    <a:graphicData uri="http://schemas.openxmlformats.org/drawingml/2006/picture">
                      <pic:pic>
                        <pic:nvPicPr>
                          <pic:cNvPr descr="images/luminosity_map.png" id="50" name="Picture"/>
                          <pic:cNvPicPr>
                            <a:picLocks noChangeArrowheads="1" noChangeAspect="1"/>
                          </pic:cNvPicPr>
                        </pic:nvPicPr>
                        <pic:blipFill>
                          <a:blip r:embed="rId48"/>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4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7">
              <w:r>
                <w:rPr>
                  <w:rStyle w:val="Hyperlink"/>
                </w:rPr>
                <w:t xml:space="preserve">View from outer space</w:t>
              </w:r>
            </w:hyperlink>
            <w:r>
              <w:t xml:space="preserve"> </w:t>
            </w:r>
            <w:r>
              <w:t xml:space="preserve">notebook for source code.</w:t>
            </w:r>
          </w:p>
          <w:bookmarkEnd w:id="51"/>
        </w:tc>
      </w:tr>
    </w:tbl>
    <w:p>
      <w:pPr>
        <w:pStyle w:val="BodyText"/>
      </w:pPr>
      <w:hyperlink w:anchor="fig-map">
        <w:r>
          <w:rPr>
            <w:rStyle w:val="Hyperlink"/>
          </w:rPr>
          <w:t xml:space="preserve">Figure 1</w:t>
        </w:r>
      </w:hyperlink>
      <w:r>
        <w:t xml:space="preserve"> </w:t>
      </w:r>
      <w:r>
        <w:t xml:space="preserve">presents static maps of luminosity in the initial and final years, 1996 and 2010, captured from our interactive application.</w:t>
      </w:r>
      <w:r>
        <w:t xml:space="preserve"> </w:t>
      </w:r>
      <w:r>
        <w:t xml:space="preserve">The maps show a noticeable increase in brightness across most of India by 2010, which, since nighttime lights proxy for economic activity, reflects economic growth over the period.</w:t>
      </w:r>
      <w:r>
        <w:t xml:space="preserve"> </w:t>
      </w:r>
      <w:hyperlink w:anchor="fig-convergence">
        <w:r>
          <w:rPr>
            <w:rStyle w:val="Hyperlink"/>
          </w:rPr>
          <w:t xml:space="preserve">Figure 2</w:t>
        </w:r>
      </w:hyperlink>
      <w:r>
        <w:t xml:space="preserve"> </w:t>
      </w:r>
      <w:r>
        <w:t xml:space="preserve">then relates per-capita growth in nighttime lights to initial per-capita luminosity, and the relationship is inverse: the estimated</w:t>
      </w:r>
      <w:r>
        <w:t xml:space="preserve"> </w:t>
      </w:r>
      <m:oMath>
        <m:r>
          <m:t>β</m:t>
        </m:r>
      </m:oMath>
      <w:r>
        <w:t xml:space="preserve">-convergence coefficient of about</w:t>
      </w:r>
      <w:r>
        <w:t xml:space="preserve"> </w:t>
      </w:r>
      <m:oMath>
        <m:r>
          <m:rPr>
            <m:sty m:val="p"/>
          </m:rPr>
          <m:t>−</m:t>
        </m:r>
        <m:r>
          <m:t>0.02</m:t>
        </m:r>
      </m:oMath>
      <w:r>
        <w:t xml:space="preserve"> </w:t>
      </w:r>
      <w:r>
        <w:t xml:space="preserve">implies an annual speed of convergence of roughly 2.3% and a half-life of about 30 years, consistent with the seminal finding of</w:t>
      </w:r>
      <w:r>
        <w:t xml:space="preserve"> </w:t>
      </w:r>
      <w:r>
        <w:t xml:space="preserve">Barro and Sala-i-Martin (1992)</w:t>
      </w:r>
      <w:r>
        <w:t xml:space="preserve">.</w:t>
      </w:r>
      <w:r>
        <w:t xml:space="preserve"> </w:t>
      </w:r>
      <w:r>
        <w:t xml:space="preserve">Because</w:t>
      </w:r>
      <w:r>
        <w:t xml:space="preserve"> </w:t>
      </w:r>
      <m:oMath>
        <m:r>
          <m:t>β</m:t>
        </m:r>
      </m:oMath>
      <w:r>
        <w:t xml:space="preserve">-convergence need not imply a narrowing of the distribution, we also check</w:t>
      </w:r>
      <w:r>
        <w:t xml:space="preserve"> </w:t>
      </w:r>
      <m:oMath>
        <m:r>
          <m:t>σ</m:t>
        </m:r>
      </m:oMath>
      <w:r>
        <w:t xml:space="preserve">-convergence: the cross-district standard deviation of log per-capita luminosity falls from 1.09 in 1996 to 0.95 in 2010, a reduction of 13.5%, so spatial disparities did narrow over the period.</w:t>
      </w:r>
    </w:p>
    <w:tbl>
      <w:tblPr>
        <w:tblStyle w:val="Table"/>
        <w:tblW w:type="pct" w:w="5000"/>
        <w:tblLayout w:type="fixed"/>
        <w:tblLook w:firstRow="0" w:lastRow="0" w:firstColumn="0" w:lastColumn="0" w:noHBand="0" w:noVBand="0" w:val="0000"/>
      </w:tblPr>
      <w:tblGrid>
        <w:gridCol w:w="7920"/>
      </w:tblGrid>
      <w:tr>
        <w:tc>
          <w:tcPr/>
          <w:bookmarkStart w:id="56" w:name="fig-convergence"/>
          <w:p>
            <w:pPr>
              <w:pStyle w:val="Compact"/>
              <w:jc w:val="center"/>
            </w:pPr>
            <w:r>
              <w:drawing>
                <wp:inline>
                  <wp:extent cx="5334000" cy="3976868"/>
                  <wp:effectExtent b="0" l="0" r="0" t="0"/>
                  <wp:docPr descr="" title="" id="53" name="Picture"/>
                  <a:graphic>
                    <a:graphicData uri="http://schemas.openxmlformats.org/drawingml/2006/picture">
                      <pic:pic>
                        <pic:nvPicPr>
                          <pic:cNvPr descr="index_files/figure-docx/notebooks-c02_regional_convergence_sc-fig-convergence-output-1.png" id="54" name="Picture"/>
                          <pic:cNvPicPr>
                            <a:picLocks noChangeArrowheads="1" noChangeAspect="1"/>
                          </pic:cNvPicPr>
                        </pic:nvPicPr>
                        <pic:blipFill>
                          <a:blip r:embed="rId52"/>
                          <a:stretch>
                            <a:fillRect/>
                          </a:stretch>
                        </pic:blipFill>
                        <pic:spPr bwMode="auto">
                          <a:xfrm>
                            <a:off x="0" y="0"/>
                            <a:ext cx="5334000" cy="397686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55">
              <w:r>
                <w:rPr>
                  <w:rStyle w:val="Hyperlink"/>
                </w:rPr>
                <w:t xml:space="preserve">Regional convergence</w:t>
              </w:r>
            </w:hyperlink>
            <w:r>
              <w:t xml:space="preserve"> </w:t>
            </w:r>
            <w:r>
              <w:t xml:space="preserve">notebook for source code.</w:t>
            </w:r>
          </w:p>
          <w:bookmarkEnd w:id="56"/>
        </w:tc>
      </w:tr>
    </w:tbl>
    <w:p>
      <w:pPr>
        <w:pStyle w:val="BodyText"/>
      </w:pPr>
      <w:hyperlink w:anchor="fig-map2">
        <w:r>
          <w:rPr>
            <w:rStyle w:val="Hyperlink"/>
          </w:rPr>
          <w:t xml:space="preserve">Figure 3</w:t>
        </w:r>
      </w:hyperlink>
      <w:r>
        <w:t xml:space="preserve"> </w:t>
      </w:r>
      <w:r>
        <w:t xml:space="preserve">displays the change in luminosity over the study period in three economically disadvantaged states.</w:t>
      </w:r>
      <w:r>
        <w:t xml:space="preserve"> </w:t>
      </w:r>
      <w:r>
        <w:t xml:space="preserve">Bihar is the poorest of them, with a per-capita income at 31.2% of the national average, while Uttar Pradesh and Chhattisgarh stand at 55.3% and 59.9% respectively.</w:t>
      </w:r>
      <w:r>
        <w:rPr>
          <w:rStyle w:val="FootnoteReference"/>
        </w:rPr>
        <w:footnoteReference w:id="57"/>
      </w:r>
      <w:r>
        <w:t xml:space="preserve"> </w:t>
      </w:r>
      <w:r>
        <w:t xml:space="preserve">All three remain among the poorest states, but all three brightened noticeably over the period.</w:t>
      </w:r>
    </w:p>
    <w:tbl>
      <w:tblPr>
        <w:tblStyle w:val="Table"/>
        <w:tblW w:type="pct" w:w="5000"/>
        <w:tblLayout w:type="fixed"/>
        <w:tblLook w:firstRow="0" w:lastRow="0" w:firstColumn="0" w:lastColumn="0" w:noHBand="0" w:noVBand="0" w:val="0000"/>
      </w:tblPr>
      <w:tblGrid>
        <w:gridCol w:w="7920"/>
      </w:tblGrid>
      <w:tr>
        <w:tc>
          <w:tcPr/>
          <w:bookmarkStart w:id="61" w:name="fig-map2"/>
          <w:p>
            <w:pPr>
              <w:pStyle w:val="Compact"/>
              <w:jc w:val="center"/>
            </w:pPr>
            <w:r>
              <w:drawing>
                <wp:inline>
                  <wp:extent cx="4000500" cy="7241369"/>
                  <wp:effectExtent b="0" l="0" r="0" t="0"/>
                  <wp:docPr descr="" title="" id="59" name="Picture"/>
                  <a:graphic>
                    <a:graphicData uri="http://schemas.openxmlformats.org/drawingml/2006/picture">
                      <pic:pic>
                        <pic:nvPicPr>
                          <pic:cNvPr descr="images/luminosity_map2.png" id="60" name="Picture"/>
                          <pic:cNvPicPr>
                            <a:picLocks noChangeArrowheads="1" noChangeAspect="1"/>
                          </pic:cNvPicPr>
                        </pic:nvPicPr>
                        <pic:blipFill>
                          <a:blip r:embed="rId58"/>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46">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47">
              <w:r>
                <w:rPr>
                  <w:rStyle w:val="Hyperlink"/>
                </w:rPr>
                <w:t xml:space="preserve">View from outer space</w:t>
              </w:r>
            </w:hyperlink>
            <w:r>
              <w:t xml:space="preserve"> </w:t>
            </w:r>
            <w:r>
              <w:t xml:space="preserve">notebook for source code.</w:t>
            </w:r>
          </w:p>
          <w:bookmarkEnd w:id="61"/>
        </w:tc>
      </w:tr>
    </w:tbl>
    <w:bookmarkEnd w:id="62"/>
    <w:bookmarkStart w:id="80" w:name="Xa63e35bf71f6213d31601c7d64926d62b07cc52"/>
    <w:p>
      <w:pPr>
        <w:pStyle w:val="Heading3"/>
      </w:pPr>
      <w:r>
        <w:t xml:space="preserve">Spatial dependence is a feature of the convergence process</w:t>
      </w:r>
    </w:p>
    <w:p>
      <w:pPr>
        <w:pStyle w:val="FirstParagraph"/>
      </w:pPr>
      <w:r>
        <w:t xml:space="preserve">Before the formal econometric analysis, we examine the spatial distribution of the variables under study.</w:t>
      </w:r>
      <w:r>
        <w:t xml:space="preserve"> </w:t>
      </w:r>
      <w:hyperlink w:anchor="fig-chorophleths">
        <w:r>
          <w:rPr>
            <w:rStyle w:val="Hyperlink"/>
          </w:rPr>
          <w:t xml:space="preserve">Figure 4</w:t>
        </w:r>
      </w:hyperlink>
      <w:r>
        <w:t xml:space="preserve"> </w:t>
      </w:r>
      <w:r>
        <w:t xml:space="preserve">maps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67" w:name="fig-chorophleths"/>
          <w:p>
            <w:pPr>
              <w:pStyle w:val="Compact"/>
              <w:jc w:val="center"/>
            </w:pPr>
            <w:r>
              <w:drawing>
                <wp:inline>
                  <wp:extent cx="5334000" cy="2769972"/>
                  <wp:effectExtent b="0" l="0" r="0" t="0"/>
                  <wp:docPr descr="" title="" id="64" name="Picture"/>
                  <a:graphic>
                    <a:graphicData uri="http://schemas.openxmlformats.org/drawingml/2006/picture">
                      <pic:pic>
                        <pic:nvPicPr>
                          <pic:cNvPr descr="index_files/figure-docx/notebooks-c03_spatial_dependence_lisa-fig-chorophleths-output-1.png" id="65" name="Picture"/>
                          <pic:cNvPicPr>
                            <a:picLocks noChangeArrowheads="1" noChangeAspect="1"/>
                          </pic:cNvPicPr>
                        </pic:nvPicPr>
                        <pic:blipFill>
                          <a:blip r:embed="rId63"/>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67"/>
        </w:tc>
      </w:tr>
    </w:tbl>
    <w:p>
      <w:pPr>
        <w:pStyle w:val="BodyText"/>
      </w:pPr>
      <w:r>
        <w:t xml:space="preserve">Panel (a) shows initial luminosity concentrated in specific geographic corridors, with higher values clustered in western and north-western India and markedly lower values across large parts of eastern and northern India.</w:t>
      </w:r>
      <w:r>
        <w:t xml:space="preserve"> </w:t>
      </w:r>
      <w:r>
        <w:t xml:space="preserve">Panel (b) shows a pattern that is largely the inverse: districts that were initially bright grew more slowly, and districts that were initially dim grew faster.</w:t>
      </w:r>
      <w:r>
        <w:t xml:space="preserve"> </w:t>
      </w:r>
      <w:r>
        <w:t xml:space="preserve">This spatial inversion provides a first visual indication that regional convergence in India may have an important spatial dimension.</w:t>
      </w:r>
    </w:p>
    <w:p>
      <w:pPr>
        <w:pStyle w:val="BodyText"/>
      </w:pPr>
      <w:r>
        <w:t xml:space="preserve">A formal analysis of spatial dependence requires the neighborhood of each district, which the 6NN weight matrix described above supplies.</w:t>
      </w:r>
      <w:r>
        <w:t xml:space="preserve"> </w:t>
      </w:r>
      <w:hyperlink w:anchor="fig-wmatrix6nn">
        <w:r>
          <w:rPr>
            <w:rStyle w:val="Hyperlink"/>
          </w:rPr>
          <w:t xml:space="preserve">Figure 5</w:t>
        </w:r>
      </w:hyperlink>
      <w:r>
        <w:t xml:space="preserve"> </w:t>
      </w:r>
      <w:r>
        <w:t xml:space="preserve">visualizes that connectivity as a network, in which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71" w:name="fig-wmatrix6nn"/>
          <w:p>
            <w:pPr>
              <w:pStyle w:val="Compact"/>
              <w:jc w:val="center"/>
            </w:pPr>
            <w:r>
              <w:drawing>
                <wp:inline>
                  <wp:extent cx="5334000" cy="5052589"/>
                  <wp:effectExtent b="0" l="0" r="0" t="0"/>
                  <wp:docPr descr="" title="" id="69" name="Picture"/>
                  <a:graphic>
                    <a:graphicData uri="http://schemas.openxmlformats.org/drawingml/2006/picture">
                      <pic:pic>
                        <pic:nvPicPr>
                          <pic:cNvPr descr="index_files/figure-docx/notebooks-c03_spatial_dependence_lisa-fig-wmatrix6nn-output-1.png" id="70" name="Picture"/>
                          <pic:cNvPicPr>
                            <a:picLocks noChangeArrowheads="1" noChangeAspect="1"/>
                          </pic:cNvPicPr>
                        </pic:nvPicPr>
                        <pic:blipFill>
                          <a:blip r:embed="rId68"/>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1"/>
        </w:tc>
      </w:tr>
    </w:tbl>
    <w:p>
      <w:pPr>
        <w:pStyle w:val="BodyText"/>
      </w:pPr>
      <w:r>
        <w:t xml:space="preserve">Spatial dependence can be understood through two complementary concepts: the overall degree of clustering in the data, and the specific locations of statistically significant clusters and spatial outliers.</w:t>
      </w:r>
      <w:r>
        <w:t xml:space="preserve"> </w:t>
      </w:r>
      <w:r>
        <w:t xml:space="preserve">The Global Moran’s I statistic captures the first of these concepts.</w:t>
      </w:r>
      <w:r>
        <w:t xml:space="preserve"> </w:t>
      </w:r>
      <w:r>
        <w:t xml:space="preserve">In our data, the Moran’s I for initial luminosity per capita is 0.73 (</w:t>
      </w:r>
      <m:oMath>
        <m:r>
          <m:t>p</m:t>
        </m:r>
        <m:r>
          <m:rPr>
            <m:sty m:val="p"/>
          </m:rPr>
          <m:t>=</m:t>
        </m:r>
        <m:r>
          <m:t>0.001</m:t>
        </m:r>
      </m:oMath>
      <w:r>
        <w:t xml:space="preserve">), which indicates strong positive spatial autocorrelation: districts with high (low) initial luminosity tend to be surrounded by districts that are also bright (dim).</w:t>
      </w:r>
      <w:r>
        <w:t xml:space="preserve"> </w:t>
      </w:r>
      <w:r>
        <w:t xml:space="preserve">The Moran’s I for luminosity growth is 0.60 (</w:t>
      </w:r>
      <m:oMath>
        <m:r>
          <m:t>p</m:t>
        </m:r>
        <m:r>
          <m:rPr>
            <m:sty m:val="p"/>
          </m:rPr>
          <m:t>=</m:t>
        </m:r>
        <m:r>
          <m:t>0.001</m:t>
        </m:r>
      </m:oMath>
      <w:r>
        <w:t xml:space="preserve">), which confirms that the growth rates of neighboring districts are also significantly correlated.</w:t>
      </w:r>
    </w:p>
    <w:p>
      <w:pPr>
        <w:pStyle w:val="BodyText"/>
      </w:pPr>
      <w:r>
        <w:t xml:space="preserve">We now turn to the LISA statistics, which locate the significant clusters and outliers behind these global measures.</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HH clusters mark the most luminous regions and their bright neighbors, while LL clusters highlight contiguous areas of low luminosity.</w:t>
      </w:r>
      <w:r>
        <w:t xml:space="preserve"> </w:t>
      </w:r>
      <w:r>
        <w:t xml:space="preserve">These are predominantly in eastern and northern India, in Bihar, eastern Uttar Pradesh, and Jharkhand, together with the Himalayan north and the northeast.</w:t>
      </w:r>
    </w:p>
    <w:tbl>
      <w:tblPr>
        <w:tblStyle w:val="Table"/>
        <w:tblW w:type="pct" w:w="5000"/>
        <w:tblLayout w:type="fixed"/>
        <w:tblLook w:firstRow="0" w:lastRow="0" w:firstColumn="0" w:lastColumn="0" w:noHBand="0" w:noVBand="0" w:val="0000"/>
      </w:tblPr>
      <w:tblGrid>
        <w:gridCol w:w="7920"/>
      </w:tblGrid>
      <w:tr>
        <w:tc>
          <w:tcPr/>
          <w:bookmarkStart w:id="75" w:name="fig-dependence-initial"/>
          <w:p>
            <w:pPr>
              <w:pStyle w:val="Compact"/>
              <w:jc w:val="center"/>
            </w:pPr>
            <w:r>
              <w:drawing>
                <wp:inline>
                  <wp:extent cx="5334000" cy="2634591"/>
                  <wp:effectExtent b="0" l="0" r="0" t="0"/>
                  <wp:docPr descr="" title="" id="73" name="Picture"/>
                  <a:graphic>
                    <a:graphicData uri="http://schemas.openxmlformats.org/drawingml/2006/picture">
                      <pic:pic>
                        <pic:nvPicPr>
                          <pic:cNvPr descr="index_files/figure-docx/notebooks-c03_spatial_dependence_lisa-fig-dependence-initial-output-1.png" id="74" name="Picture"/>
                          <pic:cNvPicPr>
                            <a:picLocks noChangeArrowheads="1" noChangeAspect="1"/>
                          </pic:cNvPicPr>
                        </pic:nvPicPr>
                        <pic:blipFill>
                          <a:blip r:embed="rId72"/>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5"/>
        </w:tc>
      </w:tr>
    </w:tbl>
    <w:p>
      <w:pPr>
        <w:pStyle w:val="BodyText"/>
      </w:pPr>
      <w:r>
        <w:t xml:space="preserve">The same analysis applied to luminosity growth rates reveals a pattern that is largely the inverse of the initial clusters, as</w:t>
      </w:r>
      <w:r>
        <w:t xml:space="preserve"> </w:t>
      </w:r>
      <w:hyperlink w:anchor="fig-dependence-growth">
        <w:r>
          <w:rPr>
            <w:rStyle w:val="Hyperlink"/>
          </w:rPr>
          <w:t xml:space="preserve">Figure 7</w:t>
        </w:r>
      </w:hyperlink>
      <w:r>
        <w:t xml:space="preserve"> </w:t>
      </w:r>
      <w:r>
        <w:t xml:space="preserve">shows.</w:t>
      </w:r>
      <w:r>
        <w:t xml:space="preserve"> </w:t>
      </w:r>
      <w:r>
        <w:t xml:space="preserve">Districts that formed HH clusters in initial luminosity appear as LL clusters in luminosity growth, and the dimmest clusters emerge as HH clusters in growth.</w:t>
      </w:r>
      <w:r>
        <w:t xml:space="preserve"> </w:t>
      </w:r>
      <w:r>
        <w:t xml:space="preserve">That inversion is the spatial signature of the convergence process, and it motivates the use of spatial econometric methods.</w:t>
      </w:r>
    </w:p>
    <w:tbl>
      <w:tblPr>
        <w:tblStyle w:val="Table"/>
        <w:tblW w:type="pct" w:w="5000"/>
        <w:tblLayout w:type="fixed"/>
        <w:tblLook w:firstRow="0" w:lastRow="0" w:firstColumn="0" w:lastColumn="0" w:noHBand="0" w:noVBand="0" w:val="0000"/>
      </w:tblPr>
      <w:tblGrid>
        <w:gridCol w:w="7920"/>
      </w:tblGrid>
      <w:tr>
        <w:tc>
          <w:tcPr/>
          <w:bookmarkStart w:id="79" w:name="fig-dependence-growth"/>
          <w:p>
            <w:pPr>
              <w:pStyle w:val="Compact"/>
              <w:jc w:val="center"/>
            </w:pPr>
            <w:r>
              <w:drawing>
                <wp:inline>
                  <wp:extent cx="5334000" cy="2638363"/>
                  <wp:effectExtent b="0" l="0" r="0" t="0"/>
                  <wp:docPr descr="" title="" id="77" name="Picture"/>
                  <a:graphic>
                    <a:graphicData uri="http://schemas.openxmlformats.org/drawingml/2006/picture">
                      <pic:pic>
                        <pic:nvPicPr>
                          <pic:cNvPr descr="index_files/figure-docx/notebooks-c03_spatial_dependence_lisa-fig-dependence-growth-output-1.png" id="78" name="Picture"/>
                          <pic:cNvPicPr>
                            <a:picLocks noChangeArrowheads="1" noChangeAspect="1"/>
                          </pic:cNvPicPr>
                        </pic:nvPicPr>
                        <pic:blipFill>
                          <a:blip r:embed="rId76"/>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66">
              <w:r>
                <w:rPr>
                  <w:rStyle w:val="Hyperlink"/>
                </w:rPr>
                <w:t xml:space="preserve">Spatial dependence</w:t>
              </w:r>
            </w:hyperlink>
            <w:r>
              <w:t xml:space="preserve"> </w:t>
            </w:r>
            <w:r>
              <w:t xml:space="preserve">notebook for source code.</w:t>
            </w:r>
          </w:p>
          <w:bookmarkEnd w:id="79"/>
        </w:tc>
      </w:tr>
    </w:tbl>
    <w:bookmarkEnd w:id="80"/>
    <w:bookmarkStart w:id="86"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2</w:t>
        </w:r>
      </w:hyperlink>
      <w:r>
        <w:t xml:space="preserve"> </w:t>
      </w:r>
      <w:r>
        <w:t xml:space="preserve">provide evidence of both unconditional and conditional convergence across districts in India, under ordinary least squares (OLS) and under the spatial specifications alike.</w:t>
      </w:r>
      <w:r>
        <w:t xml:space="preserve"> </w:t>
      </w:r>
      <w:r>
        <w:t xml:space="preserve">The direct effects, which represent within-district convergence, remain negative and of similar order across specifications, ranging from -0.020 to -0.026.</w:t>
      </w:r>
      <w:r>
        <w:t xml:space="preserve"> </w:t>
      </w:r>
      <w:r>
        <w:t xml:space="preserve">This consistency across specifications and estimation methods suggests that poorer districts are catching up to their wealthier counterparts, even after controlling for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81" w:name="tbl-models"/>
          <w:p>
            <w:pPr>
              <w:jc w:val="center"/>
            </w:pPr>
            <w:pPr>
              <w:jc w:val="left"/>
              <w:spacing w:before="200"/>
              <w:pStyle w:val="ImageCaption"/>
            </w:pPr>
            <w:r>
              <w:t xml:space="preserve">Table 2: Unconditional and conditional convergence across districts.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(0.009)</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−2292</w:t>
                  </w:r>
                </w:p>
              </w:tc>
              <w:tc>
                <w:tcPr/>
                <w:p>
                  <w:pPr>
                    <w:pStyle w:val="Compact"/>
                    <w:jc w:val="center"/>
                  </w:pPr>
                  <w:r>
                    <w:t xml:space="preserve">−2409</w:t>
                  </w:r>
                </w:p>
              </w:tc>
              <w:tc>
                <w:tcPr/>
                <w:p>
                  <w:pPr>
                    <w:pStyle w:val="Compact"/>
                    <w:jc w:val="center"/>
                  </w:pPr>
                  <w:r>
                    <w:t xml:space="preserve">−2468</w:t>
                  </w:r>
                </w:p>
              </w:tc>
              <w:tc>
                <w:tcPr/>
                <w:p>
                  <w:pPr>
                    <w:pStyle w:val="Compact"/>
                    <w:jc w:val="center"/>
                  </w:pPr>
                  <w:r>
                    <w:t xml:space="preserve">−2211</w:t>
                  </w:r>
                </w:p>
              </w:tc>
              <w:tc>
                <w:tcPr/>
                <w:p>
                  <w:pPr>
                    <w:pStyle w:val="Compact"/>
                    <w:jc w:val="center"/>
                  </w:pPr>
                  <w:r>
                    <w:t xml:space="preserve">−2358</w:t>
                  </w:r>
                </w:p>
              </w:tc>
              <w:tc>
                <w:tcPr/>
                <w:p>
                  <w:pPr>
                    <w:pStyle w:val="Compact"/>
                    <w:jc w:val="center"/>
                  </w:pPr>
                  <w:r>
                    <w:t xml:space="preserve">−2465</w:t>
                  </w:r>
                </w:p>
              </w:tc>
              <w:tc>
                <w:tcPr/>
                <w:p>
                  <w:pPr>
                    <w:pStyle w:val="Compact"/>
                    <w:jc w:val="center"/>
                  </w:pPr>
                  <w:r>
                    <w:t xml:space="preserve">−2501</w:t>
                  </w:r>
                </w:p>
              </w:tc>
            </w:tr>
          </w:tbl>
          <w:bookmarkEnd w:id="81"/>
          <w:p/>
        </w:tc>
      </w:tr>
    </w:tbl>
    <w:p>
      <w:pPr>
        <w:pStyle w:val="BodyText"/>
      </w:pPr>
      <w:r>
        <w:t xml:space="preserve">In the OLS specifications, the direct effect is -0.020 in Model 1 and -0.022 in Model 2, and it strengthens to -0.025 once district characteristics are added in Models 3 and 4.</w:t>
      </w:r>
      <w:r>
        <w:t xml:space="preserve"> </w:t>
      </w:r>
      <w:r>
        <w:t xml:space="preserve">Omitting these characteristics therefore attenuates the estimated speed of convergence, and the spatial Durbin direct effects match this pattern in the conditional models, at -0.026 in Model 3 and -0.025 in Model 4.</w:t>
      </w:r>
      <w:r>
        <w:t xml:space="preserve"> </w:t>
      </w:r>
      <w:r>
        <w:t xml:space="preserve">State fixed effects absorb unobserved state-level heterogeneity, such as differences in governance and institutional quality, which tightens the standard errors on the spatial impacts and moderates the spatial total effect rather than strengthening it further.</w:t>
      </w:r>
    </w:p>
    <w:p>
      <w:pPr>
        <w:pStyle w:val="BodyText"/>
      </w:pPr>
      <w:r>
        <w:t xml:space="preserve">The spatial Durbin model also reveals spillover effects that OLS does not capture, and these indirect effects, which measure the influence of the initial conditions of neighboring districts on the growth rate of a district, follow a notable pattern across specifications.</w:t>
      </w:r>
      <w:r>
        <w:t xml:space="preserve"> </w:t>
      </w:r>
      <w:r>
        <w:t xml:space="preserve">In the unconditional models (Models 1 and 2), the estimated indirect effects are negative but small and statistically insignificant, at -0.001 in both.</w:t>
      </w:r>
      <w:r>
        <w:rPr>
          <w:rStyle w:val="FootnoteReference"/>
        </w:rPr>
        <w:footnoteReference w:id="82"/>
      </w:r>
      <w:r>
        <w:t xml:space="preserve"> </w:t>
      </w:r>
      <w:r>
        <w:t xml:space="preserve">Once district-level controls are introduced (Models 3 and 4), the indirect effects become both larger in magnitude and statistically significant at the 10% level, reaching -0.015 in Model 3 and -0.012 in our most comprehensive Model 4.</w:t>
      </w:r>
      <w:r>
        <w:t xml:space="preserve"> </w:t>
      </w:r>
      <w:r>
        <w:t xml:space="preserve">The spatial channels of convergence therefore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51% larger in magnitude than the OLS estimate (-0.025).</w:t>
      </w:r>
      <w:r>
        <w:t xml:space="preserve"> </w:t>
      </w:r>
      <w:r>
        <w:t xml:space="preserve">Translated into an annual speed of convergence, this raises the implied speed from about 3.0% under OLS to about 5.2% under the SDM, and it shortens the implied half-life from roughly 23 to 13 years.</w:t>
      </w:r>
      <w:r>
        <w:t xml:space="preserve"> </w:t>
      </w:r>
      <w:r>
        <w:t xml:space="preserve">The gap is even larger in Model 3 (SDM total -0.041 against OLS -0.025, or 67%), but the Model 3 and Model 4 spillover estimates are statistically indistinguishable, so we anchor our interpretation on the preferred Model 4.</w:t>
      </w:r>
      <w:r>
        <w:t xml:space="preserve"> </w:t>
      </w:r>
      <w:r>
        <w:t xml:space="preserve">These differences indicate that in this setting conventional non-spatial approaches understate the speed of regional convergence by failing to capture the additional convergence channels created through spatial spillovers.</w:t>
      </w:r>
    </w:p>
    <w:tbl>
      <w:tblPr>
        <w:tblStyle w:val="Table"/>
        <w:tblW w:type="pct" w:w="5000"/>
        <w:tblLayout w:type="fixed"/>
        <w:tblLook w:firstRow="0" w:lastRow="0" w:firstColumn="0" w:lastColumn="0" w:noHBand="0" w:noVBand="0" w:val="0000"/>
      </w:tblPr>
      <w:tblGrid>
        <w:gridCol w:w="7920"/>
      </w:tblGrid>
      <w:tr>
        <w:tc>
          <w:tcPr/>
          <w:bookmarkStart w:id="83" w:name="tbl-speed"/>
          <w:p>
            <w:pPr>
              <w:jc w:val="center"/>
            </w:pPr>
            <w:pPr>
              <w:jc w:val="left"/>
              <w:spacing w:before="200"/>
              <w:pStyle w:val="ImageCaption"/>
            </w:pPr>
            <w:r>
              <w:t xml:space="preserve">Table 3: Implied annual speed of convergence and half-life by model, from the OLS and SDM total effects of initial luminosity.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Model</w:t>
                  </w:r>
                </w:p>
              </w:tc>
              <w:tc>
                <w:tcPr/>
                <w:p>
                  <w:pPr>
                    <w:pStyle w:val="Compact"/>
                    <w:jc w:val="center"/>
                  </w:pPr>
                  <w:r>
                    <w:t xml:space="preserve">OLS speed</w:t>
                  </w:r>
                </w:p>
              </w:tc>
              <w:tc>
                <w:tcPr/>
                <w:p>
                  <w:pPr>
                    <w:pStyle w:val="Compact"/>
                    <w:jc w:val="center"/>
                  </w:pPr>
                  <w:r>
                    <w:t xml:space="preserve">SDM speed</w:t>
                  </w:r>
                </w:p>
              </w:tc>
              <w:tc>
                <w:tcPr/>
                <w:p>
                  <w:pPr>
                    <w:pStyle w:val="Compact"/>
                    <w:jc w:val="center"/>
                  </w:pPr>
                  <w:r>
                    <w:t xml:space="preserve">OLS half-life</w:t>
                  </w:r>
                </w:p>
              </w:tc>
              <w:tc>
                <w:tcPr/>
                <w:p>
                  <w:pPr>
                    <w:pStyle w:val="Compact"/>
                    <w:jc w:val="center"/>
                  </w:pPr>
                  <w:r>
                    <w:t xml:space="preserve">SDM half-life</w:t>
                  </w:r>
                </w:p>
              </w:tc>
            </w:tr>
            <w:tr>
              <w:tc>
                <w:tcPr/>
                <w:p>
                  <w:pPr>
                    <w:pStyle w:val="Compact"/>
                    <w:jc w:val="center"/>
                  </w:pPr>
                  <w:r>
                    <w:t xml:space="preserve">Model 1</w:t>
                  </w:r>
                </w:p>
              </w:tc>
              <w:tc>
                <w:tcPr/>
                <w:p>
                  <w:pPr>
                    <w:pStyle w:val="Compact"/>
                    <w:jc w:val="center"/>
                  </w:pPr>
                  <w:r>
                    <w:t xml:space="preserve">2.3%</w:t>
                  </w:r>
                </w:p>
              </w:tc>
              <w:tc>
                <w:tcPr/>
                <w:p>
                  <w:pPr>
                    <w:pStyle w:val="Compact"/>
                    <w:jc w:val="center"/>
                  </w:pPr>
                  <w:r>
                    <w:t xml:space="preserve">2.6%</w:t>
                  </w:r>
                </w:p>
              </w:tc>
              <w:tc>
                <w:tcPr/>
                <w:p>
                  <w:pPr>
                    <w:pStyle w:val="Compact"/>
                    <w:jc w:val="center"/>
                  </w:pPr>
                  <w:r>
                    <w:t xml:space="preserve">30 yr</w:t>
                  </w:r>
                </w:p>
              </w:tc>
              <w:tc>
                <w:tcPr/>
                <w:p>
                  <w:pPr>
                    <w:pStyle w:val="Compact"/>
                    <w:jc w:val="center"/>
                  </w:pPr>
                  <w:r>
                    <w:t xml:space="preserve">27 yr</w:t>
                  </w:r>
                </w:p>
              </w:tc>
            </w:tr>
            <w:tr>
              <w:tc>
                <w:tcPr/>
                <w:p>
                  <w:pPr>
                    <w:pStyle w:val="Compact"/>
                    <w:jc w:val="center"/>
                  </w:pPr>
                  <w:r>
                    <w:t xml:space="preserve">Model 2</w:t>
                  </w:r>
                </w:p>
              </w:tc>
              <w:tc>
                <w:tcPr/>
                <w:p>
                  <w:pPr>
                    <w:pStyle w:val="Compact"/>
                    <w:jc w:val="center"/>
                  </w:pPr>
                  <w:r>
                    <w:t xml:space="preserve">2.6%</w:t>
                  </w:r>
                </w:p>
              </w:tc>
              <w:tc>
                <w:tcPr/>
                <w:p>
                  <w:pPr>
                    <w:pStyle w:val="Compact"/>
                    <w:jc w:val="center"/>
                  </w:pPr>
                  <w:r>
                    <w:t xml:space="preserve">2.7%</w:t>
                  </w:r>
                </w:p>
              </w:tc>
              <w:tc>
                <w:tcPr/>
                <w:p>
                  <w:pPr>
                    <w:pStyle w:val="Compact"/>
                    <w:jc w:val="center"/>
                  </w:pPr>
                  <w:r>
                    <w:t xml:space="preserve">27 yr</w:t>
                  </w:r>
                </w:p>
              </w:tc>
              <w:tc>
                <w:tcPr/>
                <w:p>
                  <w:pPr>
                    <w:pStyle w:val="Compact"/>
                    <w:jc w:val="center"/>
                  </w:pPr>
                  <w:r>
                    <w:t xml:space="preserve">26 yr</w:t>
                  </w:r>
                </w:p>
              </w:tc>
            </w:tr>
            <w:tr>
              <w:tc>
                <w:tcPr/>
                <w:p>
                  <w:pPr>
                    <w:pStyle w:val="Compact"/>
                    <w:jc w:val="center"/>
                  </w:pPr>
                  <w:r>
                    <w:t xml:space="preserve">Model 3</w:t>
                  </w:r>
                </w:p>
              </w:tc>
              <w:tc>
                <w:tcPr/>
                <w:p>
                  <w:pPr>
                    <w:pStyle w:val="Compact"/>
                    <w:jc w:val="center"/>
                  </w:pPr>
                  <w:r>
                    <w:t xml:space="preserve">3.0%</w:t>
                  </w:r>
                </w:p>
              </w:tc>
              <w:tc>
                <w:tcPr/>
                <w:p>
                  <w:pPr>
                    <w:pStyle w:val="Compact"/>
                    <w:jc w:val="center"/>
                  </w:pPr>
                  <w:r>
                    <w:t xml:space="preserve">6.2%</w:t>
                  </w:r>
                </w:p>
              </w:tc>
              <w:tc>
                <w:tcPr/>
                <w:p>
                  <w:pPr>
                    <w:pStyle w:val="Compact"/>
                    <w:jc w:val="center"/>
                  </w:pPr>
                  <w:r>
                    <w:t xml:space="preserve">23 yr</w:t>
                  </w:r>
                </w:p>
              </w:tc>
              <w:tc>
                <w:tcPr/>
                <w:p>
                  <w:pPr>
                    <w:pStyle w:val="Compact"/>
                    <w:jc w:val="center"/>
                  </w:pPr>
                  <w:r>
                    <w:t xml:space="preserve">11 yr</w:t>
                  </w:r>
                </w:p>
              </w:tc>
            </w:tr>
            <w:tr>
              <w:tc>
                <w:tcPr/>
                <w:p>
                  <w:pPr>
                    <w:pStyle w:val="Compact"/>
                    <w:jc w:val="center"/>
                  </w:pPr>
                  <w:r>
                    <w:t xml:space="preserve">Model 4</w:t>
                  </w:r>
                </w:p>
              </w:tc>
              <w:tc>
                <w:tcPr/>
                <w:p>
                  <w:pPr>
                    <w:pStyle w:val="Compact"/>
                    <w:jc w:val="center"/>
                  </w:pPr>
                  <w:r>
                    <w:t xml:space="preserve">3.0%</w:t>
                  </w:r>
                </w:p>
              </w:tc>
              <w:tc>
                <w:tcPr/>
                <w:p>
                  <w:pPr>
                    <w:pStyle w:val="Compact"/>
                    <w:jc w:val="center"/>
                  </w:pPr>
                  <w:r>
                    <w:t xml:space="preserve">5.2%</w:t>
                  </w:r>
                </w:p>
              </w:tc>
              <w:tc>
                <w:tcPr/>
                <w:p>
                  <w:pPr>
                    <w:pStyle w:val="Compact"/>
                    <w:jc w:val="center"/>
                  </w:pPr>
                  <w:r>
                    <w:t xml:space="preserve">23 yr</w:t>
                  </w:r>
                </w:p>
              </w:tc>
              <w:tc>
                <w:tcPr/>
                <w:p>
                  <w:pPr>
                    <w:pStyle w:val="Compact"/>
                    <w:jc w:val="center"/>
                  </w:pPr>
                  <w:r>
                    <w:t xml:space="preserve">13 yr</w:t>
                  </w:r>
                </w:p>
              </w:tc>
            </w:tr>
          </w:tbl>
          <w:bookmarkEnd w:id="83"/>
          <w:p/>
        </w:tc>
      </w:tr>
    </w:tbl>
    <w:p>
      <w:pPr>
        <w:pStyle w:val="BodyText"/>
      </w:pPr>
      <w:hyperlink w:anchor="tbl-speed">
        <w:r>
          <w:rPr>
            <w:rStyle w:val="Hyperlink"/>
          </w:rPr>
          <w:t xml:space="preserve">Table 3</w:t>
        </w:r>
      </w:hyperlink>
      <w:r>
        <w:t xml:space="preserve"> </w:t>
      </w:r>
      <w:r>
        <w:t xml:space="preserve">reports the implied speeds and half-lives for all four specifications.</w:t>
      </w:r>
      <w:r>
        <w:t xml:space="preserve"> </w:t>
      </w:r>
      <w:r>
        <w:t xml:space="preserve">The spatial premium is concentrated in the conditional models.</w:t>
      </w:r>
      <w:r>
        <w:t xml:space="preserve"> </w:t>
      </w:r>
      <w:r>
        <w:t xml:space="preserve">In Models 1 and 2 the OLS and SDM speeds are nearly identical, whereas in Models 3 and 4 the SDM raises the implied speed from 3.0% to 6.2% and 5.2%, shortening the half-life from 23 years to 11 and 13 years respectively.</w:t>
      </w:r>
      <w:r>
        <w:rPr>
          <w:rStyle w:val="FootnoteReference"/>
        </w:rPr>
        <w:footnoteReference w:id="84"/>
      </w:r>
    </w:p>
    <w:p>
      <w:pPr>
        <w:pStyle w:val="BodyText"/>
      </w:pPr>
      <w:r>
        <w:t xml:space="preserve">The Akaike Information Criterion (AIC) consistently favors the spatial Durbin model over OLS across all four specifications, and the most comprehensive model (Model 4 SDM) achieves the lowest AIC value of -2501 compared to -2465 for the corresponding OLS.</w:t>
      </w:r>
      <w:r>
        <w:rPr>
          <w:rStyle w:val="FootnoteReference"/>
        </w:rPr>
        <w:footnoteReference w:id="85"/>
      </w:r>
      <w:r>
        <w:t xml:space="preserve"> </w:t>
      </w:r>
      <w:r>
        <w:t xml:space="preserve">These results suggest that regional convergence in India operates not only through district-specific factors but also through spatial interactions between neighboring districts, so that ignoring those interactions yields both underestimated convergence speeds and inferior model performance.</w:t>
      </w:r>
    </w:p>
    <w:p>
      <w:pPr>
        <w:pStyle w:val="BodyText"/>
      </w:pPr>
      <w:r>
        <w:t xml:space="preserve">A word of caution is in order about how the indirect effects should be read.</w:t>
      </w:r>
      <w:r>
        <w:t xml:space="preserve"> </w:t>
      </w:r>
      <w:r>
        <w:t xml:space="preserve">The spatial Durbin model identifies spatial dependence in reduced form: it establishes that the growth of a district covaries with the initial conditions of its neighbors, conditional on its own characteristics, but it does not establish why.</w:t>
      </w:r>
      <w:r>
        <w:t xml:space="preserve"> </w:t>
      </w:r>
      <w:r>
        <w:t xml:space="preserve">Several distinct processes generate the same reduced-form pattern, since neighboring districts share geographic and agro-climatic conditions, are often governed by the same state and so inherit common institutional and policy environments that our state fixed effects absorb only in part, are connected by infrastructure whose effects do not stop at administrative boundaries, and are exposed to any omitted determinant of growth that is itself spatially clustered.</w:t>
      </w:r>
      <w:r>
        <w:t xml:space="preserve"> </w:t>
      </w:r>
      <w:r>
        <w:t xml:space="preserve">The measurement issues discussed below point in the same direction, since blooming spreads light across district boundaries and can raise the apparent correlation between neighbors for reasons unrelated to economic interaction.</w:t>
      </w:r>
      <w:r>
        <w:t xml:space="preserve"> </w:t>
      </w:r>
      <w:r>
        <w:t xml:space="preserve">We therefore read the indirect effects as evidence that spatial structure is a feature of the convergence process, and not as an estimate of the causal effect of the conditions of one district on the growth of another.</w:t>
      </w:r>
      <w:r>
        <w:t xml:space="preserve"> </w:t>
      </w:r>
      <w:r>
        <w:t xml:space="preserve">Establishing which channels are at work, and whether they are causal, would require research designs built for that purpose, a point we return to in the discussion.</w:t>
      </w:r>
    </w:p>
    <w:bookmarkEnd w:id="86"/>
    <w:bookmarkStart w:id="89" w:name="Xd5e7442d3d7346eee3f42bd4042a7856199f3f2"/>
    <w:p>
      <w:pPr>
        <w:pStyle w:val="Heading3"/>
      </w:pPr>
      <w:r>
        <w:t xml:space="preserve">How these estimates compare with the convergence literature</w:t>
      </w:r>
    </w:p>
    <w:p>
      <w:pPr>
        <w:pStyle w:val="FirstParagraph"/>
      </w:pPr>
      <w:r>
        <w:t xml:space="preserve">The speeds reported above can be placed against three benchmarks.</w:t>
      </w:r>
      <w:r>
        <w:t xml:space="preserve"> </w:t>
      </w:r>
      <w:r>
        <w:t xml:space="preserve">The first is other work on Indian districts using the same proxy.</w:t>
      </w:r>
      <w:r>
        <w:t xml:space="preserve"> </w:t>
      </w:r>
      <w:r>
        <w:t xml:space="preserve">Beyer and Yamada (2020)</w:t>
      </w:r>
      <w:r>
        <w:t xml:space="preserve"> </w:t>
      </w:r>
      <w:r>
        <w:t xml:space="preserve">report 2.4% absolute and 3.7% conditional convergence for India over 2013–2019, against our own 2.3% and 3.0%.</w:t>
      </w:r>
      <w:r>
        <w:t xml:space="preserve"> </w:t>
      </w:r>
      <w:r>
        <w:t xml:space="preserve">That two independent applications of the same measurement strategy recover similar non-spatial rates, despite different periods and different generations of the sensor, is reassuring about the proxy.</w:t>
      </w:r>
    </w:p>
    <w:p>
      <w:pPr>
        <w:pStyle w:val="BodyText"/>
      </w:pPr>
      <w:r>
        <w:t xml:space="preserve">The second benchmark is convergence measured from luminosity elsewhere.</w:t>
      </w:r>
      <w:r>
        <w:t xml:space="preserve"> </w:t>
      </w:r>
      <w:r>
        <w:t xml:space="preserve">Basher, Rashid, and Uddin (2023)</w:t>
      </w:r>
      <w:r>
        <w:t xml:space="preserve"> </w:t>
      </w:r>
      <w:r>
        <w:t xml:space="preserve">find absolute convergence of 4.57% per year across the 64 districts of Bangladesh, roughly double the 2.3% we obtain on the same unconditional basis.</w:t>
      </w:r>
      <w:r>
        <w:t xml:space="preserve"> </w:t>
      </w:r>
      <w:r>
        <w:t xml:space="preserve">Carrington and Jiménez-Ayora (2021)</w:t>
      </w:r>
      <w:r>
        <w:t xml:space="preserve"> </w:t>
      </w:r>
      <w:r>
        <w:t xml:space="preserve">report a speed near 2% for Ecuadorian provinces, and</w:t>
      </w:r>
      <w:r>
        <w:t xml:space="preserve"> </w:t>
      </w:r>
      <w:r>
        <w:t xml:space="preserve">Kacou (2022)</w:t>
      </w:r>
      <w:r>
        <w:t xml:space="preserve"> </w:t>
      </w:r>
      <w:r>
        <w:t xml:space="preserve">finds multiple equilibria across 49 African countries.</w:t>
      </w:r>
      <w:r>
        <w:t xml:space="preserve"> </w:t>
      </w:r>
      <w:r>
        <w:t xml:space="preserve">Our own unconditional non-spatial estimate therefore sits near the familiar 2% regularity, while the conditional spatial estimates lie well above it.</w:t>
      </w:r>
      <w:r>
        <w:rPr>
          <w:rStyle w:val="FootnoteReference"/>
        </w:rPr>
        <w:footnoteReference w:id="87"/>
      </w:r>
      <w:r>
        <w:t xml:space="preserve"> </w:t>
      </w:r>
      <w:r>
        <w:t xml:space="preserve">A meta-analysis of some 600 published estimates nevertheless warns against treating that regularity as a law</w:t>
      </w:r>
      <w:r>
        <w:t xml:space="preserve"> </w:t>
      </w:r>
      <w:r>
        <w:t xml:space="preserve">(Abreu, de Groot, and Florax 2005)</w:t>
      </w:r>
      <w:r>
        <w:t xml:space="preserve">.</w:t>
      </w:r>
      <w:r>
        <w:t xml:space="preserve"> </w:t>
      </w:r>
      <w:r>
        <w:t xml:space="preserve">These comparisons locate our estimates rather than validate them.</w:t>
      </w:r>
    </w:p>
    <w:p>
      <w:pPr>
        <w:pStyle w:val="BodyText"/>
      </w:pPr>
      <w:r>
        <w:t xml:space="preserve">The third benchmark bears most directly on what this article adds.</w:t>
      </w:r>
      <w:r>
        <w:t xml:space="preserve"> </w:t>
      </w:r>
      <w:r>
        <w:t xml:space="preserve">That convergence estimates are sensitive to spatial dependence is established, but the direction of the adjustment is not.</w:t>
      </w:r>
      <w:r>
        <w:t xml:space="preserve"> </w:t>
      </w:r>
      <w:r>
        <w:t xml:space="preserve">Our own rise from 3.0% to 5.2% agrees with</w:t>
      </w:r>
      <w:r>
        <w:t xml:space="preserve"> </w:t>
      </w:r>
      <w:r>
        <w:t xml:space="preserve">Diop (2018)</w:t>
      </w:r>
      <w:r>
        <w:t xml:space="preserve">, who concludes that non-spatial estimates may be considerably understated.</w:t>
      </w:r>
      <w:r>
        <w:t xml:space="preserve"> </w:t>
      </w:r>
      <w:r>
        <w:t xml:space="preserve">Others find the opposite: lower speeds for European regions</w:t>
      </w:r>
      <w:r>
        <w:t xml:space="preserve"> </w:t>
      </w:r>
      <w:r>
        <w:t xml:space="preserve">(Isla-Castillo, Garashchuk, and Podadera-Rivera 2024)</w:t>
      </w:r>
      <w:r>
        <w:t xml:space="preserve">, neighbor effects that slow convergence across Indonesian districts</w:t>
      </w:r>
      <w:r>
        <w:t xml:space="preserve"> </w:t>
      </w:r>
      <w:r>
        <w:t xml:space="preserve">(Santos-Marquez, Gunawan, and Mendez 2022)</w:t>
      </w:r>
      <w:r>
        <w:t xml:space="preserve">, and divergence rather than convergence across Indian states</w:t>
      </w:r>
      <w:r>
        <w:t xml:space="preserve"> </w:t>
      </w:r>
      <w:r>
        <w:t xml:space="preserve">(Lolayekar and Mukhopadhyay 2019)</w:t>
      </w:r>
      <w:r>
        <w:t xml:space="preserve">.</w:t>
      </w:r>
      <w:r>
        <w:t xml:space="preserve"> </w:t>
      </w:r>
      <w:r>
        <w:t xml:space="preserve">The substantive point is therefore not that spatial dependence matters, which is already known, but that here it works in the direction of faster measured convergence, and that the scale of analysis is part of what determines the answer.</w:t>
      </w:r>
      <w:r>
        <w:rPr>
          <w:rStyle w:val="FootnoteReference"/>
        </w:rPr>
        <w:footnoteReference w:id="88"/>
      </w:r>
    </w:p>
    <w:bookmarkEnd w:id="89"/>
    <w:bookmarkStart w:id="95" w:name="X065d6ac0dd910a68244c3fa2388f07396f2fa1f"/>
    <w:p>
      <w:pPr>
        <w:pStyle w:val="Heading3"/>
      </w:pPr>
      <w:r>
        <w:t xml:space="preserve">Robustness to alternative spatial weight matrices</w:t>
      </w:r>
    </w:p>
    <w:p>
      <w:pPr>
        <w:pStyle w:val="FirstParagraph"/>
      </w:pPr>
      <w:r>
        <w:t xml:space="preserve">The spillover results above use a six-nearest-neighbor (6NN) spatial weight matrix.</w:t>
      </w:r>
      <w:r>
        <w:t xml:space="preserve"> </w:t>
      </w:r>
      <w:r>
        <w:t xml:space="preserve">To assess their sensitivity to this choice, we re-estimate the preferred Model 4 under six alternative specifications and compare them with the 6NN baseline.</w:t>
      </w:r>
      <w:r>
        <w:t xml:space="preserve"> </w:t>
      </w:r>
      <w:r>
        <w:t xml:space="preserve">The alternatives are four- and eight-nearest neighbors, queen and rook contiguity, and inverse distance and inverse-distance-squared, the last two applied within a distance band.</w:t>
      </w:r>
    </w:p>
    <w:tbl>
      <w:tblPr>
        <w:tblStyle w:val="Table"/>
        <w:tblW w:type="pct" w:w="5000"/>
        <w:tblLayout w:type="fixed"/>
        <w:tblLook w:firstRow="0" w:lastRow="0" w:firstColumn="0" w:lastColumn="0" w:noHBand="0" w:noVBand="0" w:val="0000"/>
      </w:tblPr>
      <w:tblGrid>
        <w:gridCol w:w="7920"/>
      </w:tblGrid>
      <w:tr>
        <w:tc>
          <w:tcPr/>
          <w:bookmarkStart w:id="93" w:name="fig-altw"/>
          <w:p>
            <w:pPr>
              <w:pStyle w:val="Compact"/>
              <w:jc w:val="center"/>
            </w:pPr>
            <w:r>
              <w:drawing>
                <wp:inline>
                  <wp:extent cx="5334000" cy="1836368"/>
                  <wp:effectExtent b="0" l="0" r="0" t="0"/>
                  <wp:docPr descr="" title="" id="91" name="Picture"/>
                  <a:graphic>
                    <a:graphicData uri="http://schemas.openxmlformats.org/drawingml/2006/picture">
                      <pic:pic>
                        <pic:nvPicPr>
                          <pic:cNvPr descr="index_files/figure-docx/notebooks-c07_alternative_w_matrices-fig-altw-output-1.png" id="92" name="Picture"/>
                          <pic:cNvPicPr>
                            <a:picLocks noChangeArrowheads="1" noChangeAspect="1"/>
                          </pic:cNvPicPr>
                        </pic:nvPicPr>
                        <pic:blipFill>
                          <a:blip r:embed="rId90"/>
                          <a:stretch>
                            <a:fillRect/>
                          </a:stretch>
                        </pic:blipFill>
                        <pic:spPr bwMode="auto">
                          <a:xfrm>
                            <a:off x="0" y="0"/>
                            <a:ext cx="5334000" cy="1836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Robustness of the Model 4 spatial impacts of initial luminosity to the choice of spatial weight matrix. Points are Direct, Indirect, and Total impacts; bars are 95% Monte-Carlo confidence intervals. The dashed lines mark the 6NN baseline estimates.</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altw"/>
          <w:p>
            <w:pPr>
              <w:jc w:val="center"/>
            </w:pPr>
            <w:pPr>
              <w:jc w:val="left"/>
              <w:spacing w:before="200"/>
              <w:pStyle w:val="ImageCaption"/>
            </w:pPr>
            <w:r>
              <w:t xml:space="preserve">Table 4: Model 4 spatial impacts of initial luminosity under alternative spatial weight matrices (full LeSage–Pace method; Monte-Carlo standard errors in parentheses).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Weight matrix</w:t>
                  </w:r>
                </w:p>
              </w:tc>
              <w:tc>
                <w:tcPr/>
                <w:p>
                  <w:pPr>
                    <w:pStyle w:val="Compact"/>
                    <w:jc w:val="center"/>
                  </w:pPr>
                  <w:r>
                    <w:t xml:space="preserve">Direct</w:t>
                  </w:r>
                </w:p>
              </w:tc>
              <w:tc>
                <w:tcPr/>
                <w:p>
                  <w:pPr>
                    <w:pStyle w:val="Compact"/>
                    <w:jc w:val="center"/>
                  </w:pPr>
                  <w:r>
                    <w:t xml:space="preserve">Indirect</w:t>
                  </w:r>
                </w:p>
              </w:tc>
              <w:tc>
                <w:tcPr/>
                <w:p>
                  <w:pPr>
                    <w:pStyle w:val="Compact"/>
                    <w:jc w:val="center"/>
                  </w:pPr>
                  <w:r>
                    <w:t xml:space="preserve">Total</w:t>
                  </w:r>
                </w:p>
              </w:tc>
              <w:tc>
                <w:tcPr/>
                <w:p>
                  <w:pPr>
                    <w:pStyle w:val="Compact"/>
                    <w:jc w:val="center"/>
                  </w:pPr>
                  <w:r>
                    <w:t xml:space="preserve">AIC</w:t>
                  </w:r>
                </w:p>
              </w:tc>
            </w:tr>
            <w:tr>
              <w:tc>
                <w:tcPr/>
                <w:p>
                  <w:pPr>
                    <w:pStyle w:val="Compact"/>
                    <w:jc w:val="center"/>
                  </w:pPr>
                  <w:r>
                    <w:t xml:space="preserve">4 nearest neighbors</w:t>
                  </w:r>
                </w:p>
              </w:tc>
              <w:tc>
                <w:tcPr/>
                <w:p>
                  <w:pPr>
                    <w:pStyle w:val="Compact"/>
                    <w:jc w:val="center"/>
                  </w:pPr>
                  <w:r>
                    <w:t xml:space="preserve">−0.024***</w:t>
                  </w:r>
                </w:p>
              </w:tc>
              <w:tc>
                <w:tcPr/>
                <w:p>
                  <w:pPr>
                    <w:pStyle w:val="Compact"/>
                    <w:jc w:val="center"/>
                  </w:pPr>
                  <w:r>
                    <w:t xml:space="preserve">−0.008</w:t>
                  </w:r>
                </w:p>
              </w:tc>
              <w:tc>
                <w:tcPr/>
                <w:p>
                  <w:pPr>
                    <w:pStyle w:val="Compact"/>
                    <w:jc w:val="center"/>
                  </w:pPr>
                  <w:r>
                    <w:t xml:space="preserve">−0.032***</w:t>
                  </w:r>
                </w:p>
              </w:tc>
              <w:tc>
                <w:tcPr/>
                <w:p>
                  <w:pPr>
                    <w:pStyle w:val="Compact"/>
                    <w:jc w:val="center"/>
                  </w:pPr>
                  <w:r>
                    <w:t xml:space="preserve">−2468</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(0.006)</w:t>
                  </w:r>
                </w:p>
              </w:tc>
              <w:tc>
                <w:tcPr/>
                <w:p>
                  <w:pPr>
                    <w:pStyle w:val="Compact"/>
                  </w:pPr>
                </w:p>
              </w:tc>
            </w:tr>
            <w:tr>
              <w:tc>
                <w:tcPr/>
                <w:p>
                  <w:pPr>
                    <w:pStyle w:val="Compact"/>
                    <w:jc w:val="center"/>
                  </w:pPr>
                  <w:r>
                    <w:t xml:space="preserve">6 nearest neighbors (base)</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−2501</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(0.007)</w:t>
                  </w:r>
                </w:p>
              </w:tc>
              <w:tc>
                <w:tcPr/>
                <w:p>
                  <w:pPr>
                    <w:pStyle w:val="Compact"/>
                  </w:pPr>
                </w:p>
              </w:tc>
            </w:tr>
            <w:tr>
              <w:tc>
                <w:tcPr/>
                <w:p>
                  <w:pPr>
                    <w:pStyle w:val="Compact"/>
                    <w:jc w:val="center"/>
                  </w:pPr>
                  <w:r>
                    <w:t xml:space="preserve">8 nearest neighbors</w:t>
                  </w:r>
                </w:p>
              </w:tc>
              <w:tc>
                <w:tcPr/>
                <w:p>
                  <w:pPr>
                    <w:pStyle w:val="Compact"/>
                    <w:jc w:val="center"/>
                  </w:pPr>
                  <w:r>
                    <w:t xml:space="preserve">−0.025***</w:t>
                  </w:r>
                </w:p>
              </w:tc>
              <w:tc>
                <w:tcPr/>
                <w:p>
                  <w:pPr>
                    <w:pStyle w:val="Compact"/>
                    <w:jc w:val="center"/>
                  </w:pPr>
                  <w:r>
                    <w:t xml:space="preserve">−0.011</w:t>
                  </w:r>
                </w:p>
              </w:tc>
              <w:tc>
                <w:tcPr/>
                <w:p>
                  <w:pPr>
                    <w:pStyle w:val="Compact"/>
                    <w:jc w:val="center"/>
                  </w:pPr>
                  <w:r>
                    <w:t xml:space="preserve">−0.036***</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(0.008)</w:t>
                  </w:r>
                </w:p>
              </w:tc>
              <w:tc>
                <w:tcPr/>
                <w:p>
                  <w:pPr>
                    <w:pStyle w:val="Compact"/>
                    <w:jc w:val="center"/>
                  </w:pPr>
                  <w:r>
                    <w:t xml:space="preserve">(0.008)</w:t>
                  </w:r>
                </w:p>
              </w:tc>
              <w:tc>
                <w:tcPr/>
                <w:p>
                  <w:pPr>
                    <w:pStyle w:val="Compact"/>
                  </w:pPr>
                </w:p>
              </w:tc>
            </w:tr>
            <w:tr>
              <w:tc>
                <w:tcPr/>
                <w:p>
                  <w:pPr>
                    <w:pStyle w:val="Compact"/>
                    <w:jc w:val="center"/>
                  </w:pPr>
                  <w:r>
                    <w:t xml:space="preserve">Queen contiguity</w:t>
                  </w:r>
                </w:p>
              </w:tc>
              <w:tc>
                <w:tcPr/>
                <w:p>
                  <w:pPr>
                    <w:pStyle w:val="Compact"/>
                    <w:jc w:val="center"/>
                  </w:pPr>
                  <w:r>
                    <w:t xml:space="preserve">−0.025***</w:t>
                  </w:r>
                </w:p>
              </w:tc>
              <w:tc>
                <w:tcPr/>
                <w:p>
                  <w:pPr>
                    <w:pStyle w:val="Compact"/>
                    <w:jc w:val="center"/>
                  </w:pPr>
                  <w:r>
                    <w:t xml:space="preserve">−0.010**</w:t>
                  </w:r>
                </w:p>
              </w:tc>
              <w:tc>
                <w:tcPr/>
                <w:p>
                  <w:pPr>
                    <w:pStyle w:val="Compact"/>
                    <w:jc w:val="center"/>
                  </w:pPr>
                  <w:r>
                    <w:t xml:space="preserve">−0.035***</w:t>
                  </w:r>
                </w:p>
              </w:tc>
              <w:tc>
                <w:tcPr/>
                <w:p>
                  <w:pPr>
                    <w:pStyle w:val="Compact"/>
                    <w:jc w:val="center"/>
                  </w:pPr>
                  <w:r>
                    <w:t xml:space="preserve">−2463</w:t>
                  </w:r>
                </w:p>
              </w:tc>
            </w:tr>
            <w:tr>
              <w:tc>
                <w:tcPr/>
                <w:p>
                  <w:pPr>
                    <w:pStyle w:val="Compact"/>
                  </w:pPr>
                </w:p>
              </w:tc>
              <w:tc>
                <w:tcPr/>
                <w:p>
                  <w:pPr>
                    <w:pStyle w:val="Compact"/>
                    <w:jc w:val="center"/>
                  </w:pPr>
                  <w:r>
                    <w:t xml:space="preserve">(0.002)</w:t>
                  </w:r>
                </w:p>
              </w:tc>
              <w:tc>
                <w:tcPr/>
                <w:p>
                  <w:pPr>
                    <w:pStyle w:val="Compact"/>
                    <w:jc w:val="center"/>
                  </w:pPr>
                  <w:r>
                    <w:t xml:space="preserve">(0.005)</w:t>
                  </w:r>
                </w:p>
              </w:tc>
              <w:tc>
                <w:tcPr/>
                <w:p>
                  <w:pPr>
                    <w:pStyle w:val="Compact"/>
                    <w:jc w:val="center"/>
                  </w:pPr>
                  <w:r>
                    <w:t xml:space="preserve">(0.005)</w:t>
                  </w:r>
                </w:p>
              </w:tc>
              <w:tc>
                <w:tcPr/>
                <w:p>
                  <w:pPr>
                    <w:pStyle w:val="Compact"/>
                  </w:pPr>
                </w:p>
              </w:tc>
            </w:tr>
            <w:tr>
              <w:tc>
                <w:tcPr/>
                <w:p>
                  <w:pPr>
                    <w:pStyle w:val="Compact"/>
                    <w:jc w:val="center"/>
                  </w:pPr>
                  <w:r>
                    <w:t xml:space="preserve">Rook contiguity</w:t>
                  </w:r>
                </w:p>
              </w:tc>
              <w:tc>
                <w:tcPr/>
                <w:p>
                  <w:pPr>
                    <w:pStyle w:val="Compact"/>
                    <w:jc w:val="center"/>
                  </w:pPr>
                  <w:r>
                    <w:t xml:space="preserve">−0.025***</w:t>
                  </w:r>
                </w:p>
              </w:tc>
              <w:tc>
                <w:tcPr/>
                <w:p>
                  <w:pPr>
                    <w:pStyle w:val="Compact"/>
                    <w:jc w:val="center"/>
                  </w:pPr>
                  <w:r>
                    <w:t xml:space="preserve">−0.009**</w:t>
                  </w:r>
                </w:p>
              </w:tc>
              <w:tc>
                <w:tcPr/>
                <w:p>
                  <w:pPr>
                    <w:pStyle w:val="Compact"/>
                    <w:jc w:val="center"/>
                  </w:pPr>
                  <w:r>
                    <w:t xml:space="preserve">−0.034***</w:t>
                  </w:r>
                </w:p>
              </w:tc>
              <w:tc>
                <w:tcPr/>
                <w:p>
                  <w:pPr>
                    <w:pStyle w:val="Compact"/>
                    <w:jc w:val="center"/>
                  </w:pPr>
                  <w:r>
                    <w:t xml:space="preserve">−2469</w:t>
                  </w:r>
                </w:p>
              </w:tc>
            </w:tr>
            <w:tr>
              <w:tc>
                <w:tcPr/>
                <w:p>
                  <w:pPr>
                    <w:pStyle w:val="Compact"/>
                  </w:pPr>
                </w:p>
              </w:tc>
              <w:tc>
                <w:tcPr/>
                <w:p>
                  <w:pPr>
                    <w:pStyle w:val="Compact"/>
                    <w:jc w:val="center"/>
                  </w:pPr>
                  <w:r>
                    <w:t xml:space="preserve">(0.002)</w:t>
                  </w:r>
                </w:p>
              </w:tc>
              <w:tc>
                <w:tcPr/>
                <w:p>
                  <w:pPr>
                    <w:pStyle w:val="Compact"/>
                    <w:jc w:val="center"/>
                  </w:pPr>
                  <w:r>
                    <w:t xml:space="preserve">(0.004)</w:t>
                  </w:r>
                </w:p>
              </w:tc>
              <w:tc>
                <w:tcPr/>
                <w:p>
                  <w:pPr>
                    <w:pStyle w:val="Compact"/>
                    <w:jc w:val="center"/>
                  </w:pPr>
                  <w:r>
                    <w:t xml:space="preserve">(0.005)</w:t>
                  </w:r>
                </w:p>
              </w:tc>
              <w:tc>
                <w:tcPr/>
                <w:p>
                  <w:pPr>
                    <w:pStyle w:val="Compact"/>
                  </w:pPr>
                </w:p>
              </w:tc>
            </w:tr>
            <w:tr>
              <w:tc>
                <w:tcPr/>
                <w:p>
                  <w:pPr>
                    <w:pStyle w:val="Compact"/>
                    <w:jc w:val="center"/>
                  </w:pPr>
                  <w:r>
                    <w:t xml:space="preserve">Inverse distance</w:t>
                  </w:r>
                </w:p>
              </w:tc>
              <w:tc>
                <w:tcPr/>
                <w:p>
                  <w:pPr>
                    <w:pStyle w:val="Compact"/>
                    <w:jc w:val="center"/>
                  </w:pPr>
                  <w:r>
                    <w:t xml:space="preserve">−0.025***</w:t>
                  </w:r>
                </w:p>
              </w:tc>
              <w:tc>
                <w:tcPr/>
                <w:p>
                  <w:pPr>
                    <w:pStyle w:val="Compact"/>
                    <w:jc w:val="center"/>
                  </w:pPr>
                  <w:r>
                    <w:t xml:space="preserve">−0.016**</w:t>
                  </w:r>
                </w:p>
              </w:tc>
              <w:tc>
                <w:tcPr/>
                <w:p>
                  <w:pPr>
                    <w:pStyle w:val="Compact"/>
                    <w:jc w:val="center"/>
                  </w:pPr>
                  <w:r>
                    <w:t xml:space="preserve">−0.041***</w:t>
                  </w:r>
                </w:p>
              </w:tc>
              <w:tc>
                <w:tcPr/>
                <w:p>
                  <w:pPr>
                    <w:pStyle w:val="Compact"/>
                    <w:jc w:val="center"/>
                  </w:pPr>
                  <w:r>
                    <w:t xml:space="preserve">−2486</w:t>
                  </w:r>
                </w:p>
              </w:tc>
            </w:tr>
            <w:tr>
              <w:tc>
                <w:tcPr/>
                <w:p>
                  <w:pPr>
                    <w:pStyle w:val="Compact"/>
                  </w:pPr>
                </w:p>
              </w:tc>
              <w:tc>
                <w:tcPr/>
                <w:p>
                  <w:pPr>
                    <w:pStyle w:val="Compact"/>
                    <w:jc w:val="center"/>
                  </w:pPr>
                  <w:r>
                    <w:t xml:space="preserve">(0.002)</w:t>
                  </w:r>
                </w:p>
              </w:tc>
              <w:tc>
                <w:tcPr/>
                <w:p>
                  <w:pPr>
                    <w:pStyle w:val="Compact"/>
                    <w:jc w:val="center"/>
                  </w:pPr>
                  <w:r>
                    <w:t xml:space="preserve">(0.007)</w:t>
                  </w:r>
                </w:p>
              </w:tc>
              <w:tc>
                <w:tcPr/>
                <w:p>
                  <w:pPr>
                    <w:pStyle w:val="Compact"/>
                    <w:jc w:val="center"/>
                  </w:pPr>
                  <w:r>
                    <w:t xml:space="preserve">(0.008)</w:t>
                  </w:r>
                </w:p>
              </w:tc>
              <w:tc>
                <w:tcPr/>
                <w:p>
                  <w:pPr>
                    <w:pStyle w:val="Compact"/>
                  </w:pPr>
                </w:p>
              </w:tc>
            </w:tr>
            <w:tr>
              <w:tc>
                <w:tcPr/>
                <w:p>
                  <w:pPr>
                    <w:pStyle w:val="Compact"/>
                    <w:jc w:val="center"/>
                  </w:pPr>
                  <w:r>
                    <w:t xml:space="preserve">Inverse distance squared</w:t>
                  </w:r>
                </w:p>
              </w:tc>
              <w:tc>
                <w:tcPr/>
                <w:p>
                  <w:pPr>
                    <w:pStyle w:val="Compact"/>
                    <w:jc w:val="center"/>
                  </w:pPr>
                  <w:r>
                    <w:t xml:space="preserve">−0.025***</w:t>
                  </w:r>
                </w:p>
              </w:tc>
              <w:tc>
                <w:tcPr/>
                <w:p>
                  <w:pPr>
                    <w:pStyle w:val="Compact"/>
                    <w:jc w:val="center"/>
                  </w:pPr>
                  <w:r>
                    <w:t xml:space="preserve">−0.012*</w:t>
                  </w:r>
                </w:p>
              </w:tc>
              <w:tc>
                <w:tcPr/>
                <w:p>
                  <w:pPr>
                    <w:pStyle w:val="Compact"/>
                    <w:jc w:val="center"/>
                  </w:pPr>
                  <w:r>
                    <w:t xml:space="preserve">−0.037***</w:t>
                  </w:r>
                </w:p>
              </w:tc>
              <w:tc>
                <w:tcPr/>
                <w:p>
                  <w:pPr>
                    <w:pStyle w:val="Compact"/>
                    <w:jc w:val="center"/>
                  </w:pPr>
                  <w:r>
                    <w:t xml:space="preserve">−2485</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(0.006)</w:t>
                  </w:r>
                </w:p>
              </w:tc>
              <w:tc>
                <w:tcPr/>
                <w:p>
                  <w:pPr>
                    <w:pStyle w:val="Compact"/>
                  </w:pPr>
                </w:p>
              </w:tc>
            </w:tr>
          </w:tbl>
          <w:bookmarkEnd w:id="94"/>
          <w:p/>
        </w:tc>
      </w:tr>
    </w:tbl>
    <w:p>
      <w:pPr>
        <w:pStyle w:val="BodyText"/>
      </w:pPr>
      <w:r>
        <w:t xml:space="preserve">The direct and total convergence effects are robust to the choice of spatial weights, and the spillover component is consistently negative but more sensitive (</w:t>
      </w:r>
      <w:hyperlink w:anchor="fig-altw">
        <w:r>
          <w:rPr>
            <w:rStyle w:val="Hyperlink"/>
          </w:rPr>
          <w:t xml:space="preserve">Figure 8</w:t>
        </w:r>
      </w:hyperlink>
      <w:r>
        <w:t xml:space="preserve"> </w:t>
      </w:r>
      <w:r>
        <w:t xml:space="preserve">and</w:t>
      </w:r>
      <w:r>
        <w:t xml:space="preserve"> </w:t>
      </w:r>
      <w:hyperlink w:anchor="tbl-altw">
        <w:r>
          <w:rPr>
            <w:rStyle w:val="Hyperlink"/>
          </w:rPr>
          <w:t xml:space="preserve">Table 4</w:t>
        </w:r>
      </w:hyperlink>
      <w:r>
        <w:t xml:space="preserve">).</w:t>
      </w:r>
      <w:r>
        <w:t xml:space="preserve"> </w:t>
      </w:r>
      <w:r>
        <w:t xml:space="preserve">The direct (within-district) convergence effect is essentially unchanged across all seven specifications, ranging from -0.024 to -0.025 and always significant at the 1% level.</w:t>
      </w:r>
      <w:r>
        <w:t xml:space="preserve"> </w:t>
      </w:r>
      <w:r>
        <w:t xml:space="preserve">The total convergence effect likewise remains negative and significant throughout, ranging from -0.032 to -0.041, with the 6NN baseline (-0.037) near the middle of this range.</w:t>
      </w:r>
      <w:r>
        <w:t xml:space="preserve"> </w:t>
      </w:r>
      <w:r>
        <w:t xml:space="preserve">The indirect (spillover) component is negative in every specification and statistically significant under five of the seven, which is a consistent if weaker pattern.</w:t>
      </w:r>
      <w:r>
        <w:t xml:space="preserve"> </w:t>
      </w:r>
      <w:r>
        <w:t xml:space="preserve">This stability indicates that the direct and total convergence effects are not an artifact of the particular neighbor definition.</w:t>
      </w:r>
    </w:p>
    <w:p>
      <w:pPr>
        <w:pStyle w:val="BodyText"/>
      </w:pPr>
      <w:r>
        <w:t xml:space="preserve">The results reported so far treat luminosity as a proxy for economic output, which is the use that the convergence literature has made of it.</w:t>
      </w:r>
      <w:r>
        <w:t xml:space="preserve"> </w:t>
      </w:r>
      <w:r>
        <w:t xml:space="preserve">The discussion that follows asks first what the magnitude of these estimates implies for regional policy, and what rests on the use of a single growth period.</w:t>
      </w:r>
      <w:r>
        <w:t xml:space="preserve"> </w:t>
      </w:r>
      <w:r>
        <w:t xml:space="preserve">It then turns to a second use of the same data, since nighttime lights also record electrification, urbanization, and broader socioeconomic conditions, and the reproducible workflow assembled here can be pointed at those dimensions as readily as at output.</w:t>
      </w:r>
      <w:r>
        <w:t xml:space="preserve"> </w:t>
      </w:r>
      <w:r>
        <w:t xml:space="preserve">That possibility is pursued in an exploratory way, asking how luminosity relates to cultural participation across Indian states.</w:t>
      </w:r>
    </w:p>
    <w:bookmarkEnd w:id="95"/>
    <w:bookmarkEnd w:id="96"/>
    <w:bookmarkStart w:id="123" w:name="discussion"/>
    <w:p>
      <w:pPr>
        <w:pStyle w:val="Heading2"/>
      </w:pPr>
      <w:r>
        <w:t xml:space="preserve">Discussion</w:t>
      </w:r>
    </w:p>
    <w:bookmarkStart w:id="99" w:name="Xbb89b53bb4c3dfea59feafe78cc692969b43029"/>
    <w:p>
      <w:pPr>
        <w:pStyle w:val="Heading3"/>
      </w:pPr>
      <w:r>
        <w:t xml:space="preserve">What the magnitude of the effects implies for regional policy</w:t>
      </w:r>
    </w:p>
    <w:p>
      <w:pPr>
        <w:pStyle w:val="FirstParagraph"/>
      </w:pPr>
      <w:r>
        <w:t xml:space="preserve">The difference between the two readings of Model 4 is large enough to matter for policy.</w:t>
      </w:r>
      <w:r>
        <w:t xml:space="preserve"> </w:t>
      </w:r>
      <w:r>
        <w:t xml:space="preserve">Under the OLS estimate, a district closes half of the gap to its steady state in about 23 years; under the spatial Durbin estimate, in about 13 years.</w:t>
      </w:r>
      <w:r>
        <w:t xml:space="preserve"> </w:t>
      </w:r>
      <w:r>
        <w:t xml:space="preserve">Over the fourteen years of our sample, that is the difference between closing roughly 34% and roughly 52% of the initial gap.</w:t>
      </w:r>
      <w:r>
        <w:t xml:space="preserve"> </w:t>
      </w:r>
      <w:r>
        <w:t xml:space="preserve">The first figure describes catch-up over a generation, the second catch-up within the horizon over which development programs are designed, funded, and evaluated.</w:t>
      </w:r>
      <w:r>
        <w:t xml:space="preserve"> </w:t>
      </w:r>
      <w:r>
        <w:t xml:space="preserve">Under the faster rate, the returns to well-targeted support should appear within a normal evaluation window.</w:t>
      </w:r>
    </w:p>
    <w:p>
      <w:pPr>
        <w:pStyle w:val="BodyText"/>
      </w:pPr>
      <w:r>
        <w:t xml:space="preserve">The results also speak to the level at which such policies should operate.</w:t>
      </w:r>
      <w:r>
        <w:t xml:space="preserve"> </w:t>
      </w:r>
      <w:r>
        <w:t xml:space="preserve">We find convergence across districts over 1996–2010, whereas</w:t>
      </w:r>
      <w:r>
        <w:t xml:space="preserve"> </w:t>
      </w:r>
      <w:r>
        <w:t xml:space="preserve">Lolayekar and Mukhopadhyay (2019)</w:t>
      </w:r>
      <w:r>
        <w:t xml:space="preserve">, working with Indian states over a longer period, find divergence.</w:t>
      </w:r>
      <w:r>
        <w:t xml:space="preserve"> </w:t>
      </w:r>
      <w:r>
        <w:t xml:space="preserve">Catch-up visible at the district level and absent at the state level is consistent with the district being the more informative unit of intervention, which the Aspirational Districts Programme of India already assumes.</w:t>
      </w:r>
      <w:r>
        <w:rPr>
          <w:rStyle w:val="FootnoteReference"/>
        </w:rPr>
        <w:footnoteReference w:id="97"/>
      </w:r>
      <w:r>
        <w:t xml:space="preserve"> </w:t>
      </w:r>
      <w:r>
        <w:t xml:space="preserve">The spatial results add a qualification, since a lagging district surrounded by other lagging districts is in a different position from one adjacent to a growing cluster.</w:t>
      </w:r>
      <w:r>
        <w:t xml:space="preserve"> </w:t>
      </w:r>
      <w:r>
        <w:t xml:space="preserve">A targeting rule that ranks districts one at a time will not register that difference.</w:t>
      </w:r>
    </w:p>
    <w:p>
      <w:pPr>
        <w:pStyle w:val="BodyText"/>
      </w:pPr>
      <w:r>
        <w:t xml:space="preserve">Spillovers cut both ways, however, and the Indian evidence on place-based policy is a caution as much as an encouragement.</w:t>
      </w:r>
      <w:r>
        <w:t xml:space="preserve"> </w:t>
      </w:r>
      <w:r>
        <w:t xml:space="preserve">Hasan, Jiang, and Rafols (2021)</w:t>
      </w:r>
      <w:r>
        <w:t xml:space="preserve"> </w:t>
      </w:r>
      <w:r>
        <w:t xml:space="preserve">find that a tax exemption for industrially backward districts raised firm entry and employment partly by displacing activity from neighboring districts that narrowly missed qualifying, with effects that did not outlast the program.</w:t>
      </w:r>
      <w:r>
        <w:t xml:space="preserve"> </w:t>
      </w:r>
      <w:r>
        <w:t xml:space="preserve">Displacement of that kind would appear in our framework as a spatial relationship between neighbors, which is not a spillover on which coordinated regional policy can be built.</w:t>
      </w:r>
      <w:r>
        <w:t xml:space="preserve"> </w:t>
      </w:r>
      <w:r>
        <w:t xml:space="preserve">What the satellite record does support is measurement.</w:t>
      </w:r>
      <w:r>
        <w:rPr>
          <w:rStyle w:val="FootnoteReference"/>
        </w:rPr>
        <w:footnoteReference w:id="98"/>
      </w:r>
      <w:r>
        <w:t xml:space="preserve"> </w:t>
      </w:r>
      <w:r>
        <w:t xml:space="preserve">The readings above therefore hold only if the indirect effects reflect genuine interaction between districts, and the reduced-form evidence is consistent with that but does not establish it.</w:t>
      </w:r>
    </w:p>
    <w:bookmarkEnd w:id="99"/>
    <w:bookmarkStart w:id="103" w:name="X7468a8195e43db4ce2bc494fe9552c20091bea2"/>
    <w:p>
      <w:pPr>
        <w:pStyle w:val="Heading3"/>
      </w:pPr>
      <w:r>
        <w:t xml:space="preserve">The single growth period and what a panel would require</w:t>
      </w:r>
    </w:p>
    <w:p>
      <w:pPr>
        <w:pStyle w:val="FirstParagraph"/>
      </w:pPr>
      <w:r>
        <w:t xml:space="preserve">The estimates reported above rest on a single growth period, and the cost of that design should be stated plainly.</w:t>
      </w:r>
      <w:r>
        <w:t xml:space="preserve"> </w:t>
      </w:r>
      <w:r>
        <w:t xml:space="preserve">One long difference cannot trace how convergence evolved within the period, cannot show whether the spatial spillovers were stronger in some years than in others, and cannot separate long-run convergence from what was specific to these fourteen years, which in India included the maturing of the post-1991 reforms.</w:t>
      </w:r>
      <w:r>
        <w:t xml:space="preserve"> </w:t>
      </w:r>
      <w:r>
        <w:t xml:space="preserve">Examining those dynamics lies beyond an article that adds a spatial dimension to an existing cross-sectional result.</w:t>
      </w:r>
      <w:r>
        <w:t xml:space="preserve"> </w:t>
      </w:r>
      <w:r>
        <w:t xml:space="preserve">The immediate obstacle is in any case the data, since district population is observed only at the decennial censuses.</w:t>
      </w:r>
      <w:r>
        <w:rPr>
          <w:rStyle w:val="FootnoteReference"/>
        </w:rPr>
        <w:footnoteReference w:id="100"/>
      </w:r>
      <w:r>
        <w:t xml:space="preserve"> </w:t>
      </w:r>
      <w:r>
        <w:t xml:space="preserve">Interpolated denominators touch only the endpoints of a long difference, whereas in a panel they would enter every observation, and in the time dimension that a panel exists to exploit.</w:t>
      </w:r>
    </w:p>
    <w:p>
      <w:pPr>
        <w:pStyle w:val="BodyText"/>
      </w:pPr>
      <w:r>
        <w:t xml:space="preserve">What such a panel would be worth is the more interesting question, and here two problems compound.</w:t>
      </w:r>
      <w:r>
        <w:t xml:space="preserve"> </w:t>
      </w:r>
      <w:r>
        <w:t xml:space="preserve">The first predates nighttime lights: panel estimates of convergence run far above cross-sectional ones, and</w:t>
      </w:r>
      <w:r>
        <w:t xml:space="preserve"> </w:t>
      </w:r>
      <w:r>
        <w:t xml:space="preserve">Caselli, Esquivel, and Lefort (1996)</w:t>
      </w:r>
      <w:r>
        <w:t xml:space="preserve"> </w:t>
      </w:r>
      <w:r>
        <w:t xml:space="preserve">obtain a rate near 10% per year against the 2% that cross-sections deliver.</w:t>
      </w:r>
      <w:r>
        <w:rPr>
          <w:rStyle w:val="FootnoteReference"/>
        </w:rPr>
        <w:footnoteReference w:id="101"/>
      </w:r>
      <w:r>
        <w:t xml:space="preserve"> </w:t>
      </w:r>
      <w:r>
        <w:t xml:space="preserve">How that gap should be read remains contested, so a panel would give not a better-identified version of our estimate but an estimate of something different.</w:t>
      </w:r>
      <w:r>
        <w:t xml:space="preserve"> </w:t>
      </w:r>
      <w:r>
        <w:t xml:space="preserve">The second problem is specific to the proxy, since luminosity discriminates differences across places far better than changes over time</w:t>
      </w:r>
      <w:r>
        <w:t xml:space="preserve"> </w:t>
      </w:r>
      <w:r>
        <w:t xml:space="preserve">(X. Chen and Nordhaus 2019; Asher et al. 2021)</w:t>
      </w:r>
      <w:r>
        <w:t xml:space="preserve">, and over short intervals the ratio of signal to measurement error falls sharply.</w:t>
      </w:r>
      <w:r>
        <w:rPr>
          <w:rStyle w:val="FootnoteReference"/>
        </w:rPr>
        <w:footnoteReference w:id="102"/>
      </w:r>
      <w:r>
        <w:t xml:space="preserve"> </w:t>
      </w:r>
      <w:r>
        <w:t xml:space="preserve">The periods compared should therefore be long, and harmonized DMSP–VIIRS series now make a sequence of non-overlapping long differences feasible across roughly three decades</w:t>
      </w:r>
      <w:r>
        <w:t xml:space="preserve"> </w:t>
      </w:r>
      <w:r>
        <w:t xml:space="preserve">(Li et al. 2020)</w:t>
      </w:r>
      <w:r>
        <w:t xml:space="preserve">, which is the most promising temporal extension of this work.</w:t>
      </w:r>
    </w:p>
    <w:bookmarkEnd w:id="103"/>
    <w:bookmarkStart w:id="115" w:name="Xe7dcd53b37d4e38e72ebefb7afc5d21e106e8ff"/>
    <w:p>
      <w:pPr>
        <w:pStyle w:val="Heading3"/>
      </w:pPr>
      <w:r>
        <w:t xml:space="preserve">An exploratory extension: Luminosity and cultural participation</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applies the Culture-Based Development framework, whose central claim is a directional one.</w:t>
      </w:r>
      <w:r>
        <w:t xml:space="preserve"> </w:t>
      </w:r>
      <w:r>
        <w:t xml:space="preserve">Cultural attitudes and the participation patterns that reveal them are treated as a factor shaping local development, rather than as an outcome that development produces.</w:t>
      </w:r>
      <w:r>
        <w:t xml:space="preserve"> </w:t>
      </w:r>
      <w:r>
        <w:t xml:space="preserve">That direction also marks the limit of what the exercise below can establish.</w:t>
      </w:r>
      <w:r>
        <w:rPr>
          <w:rStyle w:val="FootnoteReference"/>
        </w:rPr>
        <w:footnoteReference w:id="104"/>
      </w:r>
    </w:p>
    <w:p>
      <w:pPr>
        <w:pStyle w:val="BodyText"/>
      </w:pPr>
      <w:r>
        <w:t xml:space="preserve">For India, the National Sample Survey (NSS) 47th Round (July–December 1991) surveys household cultural participation, and nighttime lights for the adjacent year 1992 are available for 32 states and union territories.</w:t>
      </w:r>
      <w:r>
        <w:t xml:space="preserve"> </w:t>
      </w:r>
      <w:r>
        <w:t xml:space="preserve">Following the Culture-Based Development framework, we reduce these survey items to six dimensions and aggregate them to state means.</w:t>
      </w:r>
      <w:r>
        <w:rPr>
          <w:rStyle w:val="FootnoteReference"/>
        </w:rPr>
        <w:footnoteReference w:id="105"/>
      </w:r>
      <w:r>
        <w:t xml:space="preserve"> </w:t>
      </w:r>
      <w:r>
        <w:t xml:space="preserve">This part of the analysis uses the Consistent and Corrected Nighttime Lights series rather than the radiance-calibrated composites used above, because it is the product that covers 1992.</w:t>
      </w:r>
      <w:r>
        <w:t xml:space="preserve"> </w:t>
      </w:r>
      <w:r>
        <w:t xml:space="preserve">Given the small sample (N = 32) and the leverage that small territories at the extremes of the distribution exert on linear correlation measures, we report Spearman rank correlations throughout.</w:t>
      </w:r>
      <w:r>
        <w:t xml:space="preserve"> </w:t>
      </w:r>
      <w:hyperlink w:anchor="fig-culture-scatter">
        <w:r>
          <w:rPr>
            <w:rStyle w:val="Hyperlink"/>
          </w:rPr>
          <w:t xml:space="preserve">Figure 9</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110" w:name="fig-culture-scatter"/>
          <w:p>
            <w:pPr>
              <w:pStyle w:val="Compact"/>
              <w:jc w:val="center"/>
            </w:pPr>
            <w:r>
              <w:drawing>
                <wp:inline>
                  <wp:extent cx="5334000" cy="2649719"/>
                  <wp:effectExtent b="0" l="0" r="0" t="0"/>
                  <wp:docPr descr="" title="" id="108" name="Picture"/>
                  <a:graphic>
                    <a:graphicData uri="http://schemas.openxmlformats.org/drawingml/2006/picture">
                      <pic:pic>
                        <pic:nvPicPr>
                          <pic:cNvPr descr="index_files/figure-docx/notebooks-c06_spatial_culture-fig-culture-scatter-output-1.png" id="109" name="Picture"/>
                          <pic:cNvPicPr>
                            <a:picLocks noChangeArrowheads="1" noChangeAspect="1"/>
                          </pic:cNvPicPr>
                        </pic:nvPicPr>
                        <pic:blipFill>
                          <a:blip r:embed="rId107"/>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0"/>
        </w:tc>
      </w:tr>
    </w:tbl>
    <w:p>
      <w:pPr>
        <w:pStyle w:val="BodyText"/>
      </w:pPr>
      <w:r>
        <w:t xml:space="preserve">Cultural telecast (TV/media) is positively associated with luminosity, with a Spearman rank correlation of 0.370 (</w:t>
      </w:r>
      <m:oMath>
        <m:r>
          <m:t>p</m:t>
        </m:r>
      </m:oMath>
      <w:r>
        <w:t xml:space="preserve"> </w:t>
      </w:r>
      <w:r>
        <w:t xml:space="preserve">= 0.037), so more luminous states tend to rank higher on that dimension.</w:t>
      </w:r>
      <w:r>
        <w:t xml:space="preserve"> </w:t>
      </w:r>
      <w:r>
        <w:t xml:space="preserve">Socio-cultural participation, in contrast, is negatively associated, with a Spearman rank correlation of $-</w:t>
      </w:r>
      <m:oMath>
        <m:r>
          <m:t>0.404</m:t>
        </m:r>
        <m:r>
          <m:rPr>
            <m:sty m:val="p"/>
          </m:rPr>
          <m:t>(</m:t>
        </m:r>
      </m:oMath>
      <w:r>
        <w:t xml:space="preserve">p$ = 0.022), so less luminous states tend to rank higher on it.</w:t>
      </w:r>
      <w:r>
        <w:t xml:space="preserve"> </w:t>
      </w:r>
      <w:r>
        <w:t xml:space="preserve">This suggests that less urbanized regions rely more on collective, in-person forms of cultural participation than on media infrastructure.</w:t>
      </w:r>
    </w:p>
    <w:p>
      <w:pPr>
        <w:pStyle w:val="BodyText"/>
      </w:pPr>
      <w:hyperlink w:anchor="fig-culture-lisa">
        <w:r>
          <w:rPr>
            <w:rStyle w:val="Hyperlink"/>
          </w:rPr>
          <w:t xml:space="preserve">Figure 10</w:t>
        </w:r>
      </w:hyperlink>
      <w:r>
        <w:t xml:space="preserve"> </w:t>
      </w:r>
      <w:r>
        <w:t xml:space="preserve">maps the spatial distribution of the two cultural variables through the lens of a LISA analysis.</w:t>
      </w:r>
      <w:r>
        <w:t xml:space="preserve"> </w:t>
      </w:r>
      <w:r>
        <w:t xml:space="preserve">The low-low cluster of cultural telecast in the northeast coincides with the low-low cluster in the nighttime lights data, whereas the high-high clusters do not coincide: cultural telecast forms one in the southern states, and community-based participation forms one in the northeast.</w:t>
      </w:r>
      <w:r>
        <w:t xml:space="preserve"> </w:t>
      </w:r>
      <w:r>
        <w:t xml:space="preserve">The remaining four cultural dimensions show no statistically significant association with luminosity, and these findings rest on a small cross-section of 32 states observed at a single point in time, so larger datasets covering more regions and periods would be needed to establish whether the patterns are robust.</w:t>
      </w:r>
    </w:p>
    <w:tbl>
      <w:tblPr>
        <w:tblStyle w:val="Table"/>
        <w:tblW w:type="pct" w:w="5000"/>
        <w:tblLayout w:type="fixed"/>
        <w:tblLook w:firstRow="0" w:lastRow="0" w:firstColumn="0" w:lastColumn="0" w:noHBand="0" w:noVBand="0" w:val="0000"/>
      </w:tblPr>
      <w:tblGrid>
        <w:gridCol w:w="7920"/>
      </w:tblGrid>
      <w:tr>
        <w:tc>
          <w:tcPr/>
          <w:bookmarkStart w:id="114" w:name="fig-culture-lisa"/>
          <w:p>
            <w:pPr>
              <w:pStyle w:val="Compact"/>
              <w:jc w:val="center"/>
            </w:pPr>
            <w:r>
              <w:drawing>
                <wp:inline>
                  <wp:extent cx="5334000" cy="5380315"/>
                  <wp:effectExtent b="0" l="0" r="0" t="0"/>
                  <wp:docPr descr="" title="" id="112" name="Picture"/>
                  <a:graphic>
                    <a:graphicData uri="http://schemas.openxmlformats.org/drawingml/2006/picture">
                      <pic:pic>
                        <pic:nvPicPr>
                          <pic:cNvPr descr="index_files/figure-docx/notebooks-c06_spatial_culture-fig-culture-lisa-output-1.png" id="113" name="Picture"/>
                          <pic:cNvPicPr>
                            <a:picLocks noChangeArrowheads="1" noChangeAspect="1"/>
                          </pic:cNvPicPr>
                        </pic:nvPicPr>
                        <pic:blipFill>
                          <a:blip r:embed="rId111"/>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106">
              <w:r>
                <w:rPr>
                  <w:rStyle w:val="Hyperlink"/>
                </w:rPr>
                <w:t xml:space="preserve">Spatial culture</w:t>
              </w:r>
            </w:hyperlink>
            <w:r>
              <w:t xml:space="preserve"> </w:t>
            </w:r>
            <w:r>
              <w:t xml:space="preserve">notebook for source code.</w:t>
            </w:r>
          </w:p>
          <w:bookmarkEnd w:id="114"/>
        </w:tc>
      </w:tr>
    </w:tbl>
    <w:p>
      <w:pPr>
        <w:pStyle w:val="BodyText"/>
      </w:pPr>
      <w:r>
        <w:t xml:space="preserve">Two connections to the main analysis are worth drawing out, both offered as interpretation rather than as findings.</w:t>
      </w:r>
      <w:r>
        <w:t xml:space="preserve"> </w:t>
      </w:r>
      <w:r>
        <w:t xml:space="preserve">The first concerns what luminosity measures.</w:t>
      </w:r>
      <w:r>
        <w:t xml:space="preserve"> </w:t>
      </w:r>
      <w:r>
        <w:t xml:space="preserve">A positive association with media-based cultural consumption and a negative one with community-based participation are what one would expect if luminosity tracks electrification and urbanization rather than economic output alone.</w:t>
      </w:r>
      <w:r>
        <w:t xml:space="preserve"> </w:t>
      </w:r>
      <w:r>
        <w:t xml:space="preserve">The cultural results are, in that sense, a small piece of evidence about the composite nature of the proxy on which the convergence analysis rests, and they bear on the measurement issues discussed below.</w:t>
      </w:r>
    </w:p>
    <w:p>
      <w:pPr>
        <w:pStyle w:val="BodyText"/>
      </w:pPr>
      <w:r>
        <w:t xml:space="preserve">The second connection concerns spatial structure.</w:t>
      </w:r>
      <w:r>
        <w:t xml:space="preserve"> </w:t>
      </w:r>
      <w:r>
        <w:t xml:space="preserve">Cultural participation is not distributed randomly across states, since both dimensions examined here are significantly spatially autocorrelated.</w:t>
      </w:r>
      <w:r>
        <w:t xml:space="preserve"> </w:t>
      </w:r>
      <w:r>
        <w:t xml:space="preserve">Factors of this kind, spatially clustered and correlated with development, are precisely what a spatial Durbin model absorbs into its indirect effects when they are not measured directly.</w:t>
      </w:r>
      <w:r>
        <w:t xml:space="preserve"> </w:t>
      </w:r>
      <w:r>
        <w:t xml:space="preserve">We cannot test this with state-level data for a single adjacent period, and we do not claim that cultural participation drives the spillovers estimated in the results section.</w:t>
      </w:r>
      <w:r>
        <w:t xml:space="preserve"> </w:t>
      </w:r>
      <w:r>
        <w:t xml:space="preserve">What the exercise does is make concrete what a reduced-form spatial model may be capturing, and it suggests that the Culture-Based Development framework offers one route to testing the question directly, should comparable data become available at the district level and over time.</w:t>
      </w:r>
    </w:p>
    <w:bookmarkEnd w:id="115"/>
    <w:bookmarkStart w:id="121" w:name="new-research-directions"/>
    <w:p>
      <w:pPr>
        <w:pStyle w:val="Heading3"/>
      </w:pPr>
      <w:r>
        <w:t xml:space="preserve">New research directions</w:t>
      </w:r>
    </w:p>
    <w:p>
      <w:pPr>
        <w:pStyle w:val="FirstParagraph"/>
      </w:pPr>
      <w:r>
        <w:t xml:space="preserve">Three kinds of gap limit what this literature can currently establish: the data themselves, the geography they cover, and the theories they have been used to test.</w:t>
      </w:r>
      <w:r>
        <w:t xml:space="preserve"> </w:t>
      </w:r>
      <w:r>
        <w:t xml:space="preserve">The first is well documented, since the radiance-calibrated DMSP-OLS series we adopt from</w:t>
      </w:r>
      <w:r>
        <w:t xml:space="preserve"> </w:t>
      </w:r>
      <w:r>
        <w:t xml:space="preserve">Chanda and Kabiraj (2020)</w:t>
      </w:r>
      <w:r>
        <w:t xml:space="preserve">, and on which this literature rests</w:t>
      </w:r>
      <w:r>
        <w:t xml:space="preserve"> </w:t>
      </w:r>
      <w:r>
        <w:t xml:space="preserve">(Henderson, Storeygard, and Weil 2012; X. Chen and Nordhaus 2011)</w:t>
      </w:r>
      <w:r>
        <w:t xml:space="preserve">, is top-coded in bright urban cores, uncalibrated on board, and blurred across boundaries by blooming</w:t>
      </w:r>
      <w:r>
        <w:t xml:space="preserve"> </w:t>
      </w:r>
      <w:r>
        <w:t xml:space="preserve">(Gibson et al. 2021; Abrahams, Oram, and Lozano-Gracia 2018)</w:t>
      </w:r>
      <w:r>
        <w:t xml:space="preserve">.</w:t>
      </w:r>
      <w:r>
        <w:t xml:space="preserve"> </w:t>
      </w:r>
      <w:r>
        <w:t xml:space="preserve">Top-coding leaves the net bias in our convergence coefficient ambiguous in sign, while blooming raises the apparent correlation between neighbors and therefore bears directly on the spillover estimates.</w:t>
      </w:r>
      <w:r>
        <w:rPr>
          <w:rStyle w:val="FootnoteReference"/>
        </w:rPr>
        <w:footnoteReference w:id="116"/>
      </w:r>
      <w:r>
        <w:t xml:space="preserve"> </w:t>
      </w:r>
      <w:r>
        <w:t xml:space="preserve">The Visible Infrared Imaging Radiometer Suite (VIIRS) and harmonized DMSP–VIIRS series address all three problems</w:t>
      </w:r>
      <w:r>
        <w:t xml:space="preserve"> </w:t>
      </w:r>
      <w:r>
        <w:t xml:space="preserve">(Elvidge et al. 2017; Li et al. 2020; Chiovelli et al. 2026)</w:t>
      </w:r>
      <w:r>
        <w:t xml:space="preserve">, and multi-source methods improve measurement where lights alone are weak.</w:t>
      </w:r>
      <w:r>
        <w:rPr>
          <w:rStyle w:val="FootnoteReference"/>
        </w:rPr>
        <w:footnoteReference w:id="117"/>
      </w:r>
      <w:r>
        <w:t xml:space="preserve"> </w:t>
      </w:r>
      <w:r>
        <w:t xml:space="preserve">Re-estimating our specification on those data is the most immediate extension of the analysis reported here.</w:t>
      </w:r>
    </w:p>
    <w:p>
      <w:pPr>
        <w:pStyle w:val="BodyText"/>
      </w:pPr>
      <w:r>
        <w:t xml:space="preserve">The second gap concerns geography, and it is not that some regions have gone unstudied.</w:t>
      </w:r>
      <w:r>
        <w:t xml:space="preserve"> </w:t>
      </w:r>
      <w:r>
        <w:t xml:space="preserve">A single instrument observes the whole planet under a common protocol, which makes measurements comparable in a way that national accounts are not</w:t>
      </w:r>
      <w:r>
        <w:t xml:space="preserve"> </w:t>
      </w:r>
      <w:r>
        <w:t xml:space="preserve">(Henderson, Storeygard, and Weil 2012)</w:t>
      </w:r>
      <w:r>
        <w:t xml:space="preserve">, but what it records is light rather than economic activity.</w:t>
      </w:r>
      <w:r>
        <w:t xml:space="preserve"> </w:t>
      </w:r>
      <w:r>
        <w:t xml:space="preserve">Roughly one fifth of the settlement footprint of the planet emits no detectable radiance, and unlit settlements are concentrated in Africa</w:t>
      </w:r>
      <w:r>
        <w:t xml:space="preserve"> </w:t>
      </w:r>
      <w:r>
        <w:t xml:space="preserve">(McCallum et al. 2022)</w:t>
      </w:r>
      <w:r>
        <w:t xml:space="preserve">.</w:t>
      </w:r>
      <w:r>
        <w:t xml:space="preserve"> </w:t>
      </w:r>
      <w:r>
        <w:t xml:space="preserve">Africa is nonetheless well covered by this literature</w:t>
      </w:r>
      <w:r>
        <w:t xml:space="preserve"> </w:t>
      </w:r>
      <w:r>
        <w:t xml:space="preserve">(Kacou 2022)</w:t>
      </w:r>
      <w:r>
        <w:t xml:space="preserve">, as are China</w:t>
      </w:r>
      <w:r>
        <w:t xml:space="preserve"> </w:t>
      </w:r>
      <w:r>
        <w:t xml:space="preserve">(Glawe and Mendez 2024)</w:t>
      </w:r>
      <w:r>
        <w:t xml:space="preserve">, Indonesia</w:t>
      </w:r>
      <w:r>
        <w:t xml:space="preserve"> </w:t>
      </w:r>
      <w:r>
        <w:t xml:space="preserve">(Miranti and Mendez 2023)</w:t>
      </w:r>
      <w:r>
        <w:t xml:space="preserve">, Thailand</w:t>
      </w:r>
      <w:r>
        <w:t xml:space="preserve"> </w:t>
      </w:r>
      <w:r>
        <w:t xml:space="preserve">(Tipayalai and Mendez 2024)</w:t>
      </w:r>
      <w:r>
        <w:t xml:space="preserve">, and Turkey</w:t>
      </w:r>
      <w:r>
        <w:t xml:space="preserve"> </w:t>
      </w:r>
      <w:r>
        <w:t xml:space="preserve">(Ursavaş and Mendez 2023)</w:t>
      </w:r>
      <w:r>
        <w:t xml:space="preserve">.</w:t>
      </w:r>
      <w:r>
        <w:t xml:space="preserve"> </w:t>
      </w:r>
      <w:r>
        <w:t xml:space="preserve">The real gap is that the places where lights carry least information, rural and sparsely electrified areas, are the places where administrative statistics are weakest and a satellite proxy would be most valuable.</w:t>
      </w:r>
      <w:r>
        <w:rPr>
          <w:rStyle w:val="FootnoteReference"/>
        </w:rPr>
        <w:footnoteReference w:id="118"/>
      </w:r>
      <w:r>
        <w:t xml:space="preserve"> </w:t>
      </w:r>
      <w:r>
        <w:t xml:space="preserve">Closing it calls less for further applications of the same proxy than for validation against ground data in those settings.</w:t>
      </w:r>
    </w:p>
    <w:p>
      <w:pPr>
        <w:pStyle w:val="BodyText"/>
      </w:pPr>
      <w:r>
        <w:t xml:space="preserve">The third gap concerns theory, since luminosity is now applied well beyond the question asked here.</w:t>
      </w:r>
      <w:r>
        <w:t xml:space="preserve"> </w:t>
      </w:r>
      <w:r>
        <w:t xml:space="preserve">Within convergence analysis, our framework yields an average effect rather than heterogeneity across the distribution, and it captures spillovers in reduced form, gaps that distribution dynamics and quasi-experimental designs such as that of</w:t>
      </w:r>
      <w:r>
        <w:t xml:space="preserve"> </w:t>
      </w:r>
      <w:r>
        <w:t xml:space="preserve">Asher and Novosad (2020)</w:t>
      </w:r>
      <w:r>
        <w:t xml:space="preserve"> </w:t>
      </w:r>
      <w:r>
        <w:t xml:space="preserve">are built to fill.</w:t>
      </w:r>
      <w:r>
        <w:rPr>
          <w:rStyle w:val="FootnoteReference"/>
        </w:rPr>
        <w:footnoteReference w:id="119"/>
      </w:r>
      <w:r>
        <w:t xml:space="preserve"> </w:t>
      </w:r>
      <w:r>
        <w:t xml:space="preserve">Beyond convergence, lights now serve the study of city size</w:t>
      </w:r>
      <w:r>
        <w:t xml:space="preserve"> </w:t>
      </w:r>
      <w:r>
        <w:t xml:space="preserve">(Ch, Martin, and Vargas 2021)</w:t>
      </w:r>
      <w:r>
        <w:t xml:space="preserve">, electrification and the provision of public goods</w:t>
      </w:r>
      <w:r>
        <w:t xml:space="preserve"> </w:t>
      </w:r>
      <w:r>
        <w:t xml:space="preserve">(Min et al. 2013)</w:t>
      </w:r>
      <w:r>
        <w:t xml:space="preserve">, armed conflict</w:t>
      </w:r>
      <w:r>
        <w:t xml:space="preserve"> </w:t>
      </w:r>
      <w:r>
        <w:t xml:space="preserve">(Witmer and O’Loughlin 2011)</w:t>
      </w:r>
      <w:r>
        <w:t xml:space="preserve">, the cultural participation theorized by</w:t>
      </w:r>
      <w:r>
        <w:t xml:space="preserve"> </w:t>
      </w:r>
      <w:r>
        <w:t xml:space="preserve">Tubadji (2025)</w:t>
      </w:r>
      <w:r>
        <w:t xml:space="preserve">, and the local effect of policies and shocks at fine spatial scales</w:t>
      </w:r>
      <w:r>
        <w:t xml:space="preserve"> </w:t>
      </w:r>
      <w:r>
        <w:t xml:space="preserve">(Bluhm and McCord 2022)</w:t>
      </w:r>
      <w:r>
        <w:t xml:space="preserve">.</w:t>
      </w:r>
      <w:r>
        <w:t xml:space="preserve"> </w:t>
      </w:r>
      <w:r>
        <w:t xml:space="preserve">One caveat governs all of these uses: lights discriminate differences across places far better than changes over time, so evaluations over short horizons require validation against local ground data.</w:t>
      </w:r>
      <w:r>
        <w:rPr>
          <w:rStyle w:val="FootnoteReference"/>
        </w:rPr>
        <w:footnoteReference w:id="120"/>
      </w:r>
      <w:r>
        <w:t xml:space="preserve"> </w:t>
      </w:r>
      <w:r>
        <w:t xml:space="preserve">The design used here, a fourteen-year horizon, rests mostly on cross-sectional variation, which is what lights currently support best.</w:t>
      </w:r>
    </w:p>
    <w:p>
      <w:pPr>
        <w:pStyle w:val="BodyText"/>
      </w:pPr>
      <w:r>
        <w:t xml:space="preserve">Taken together, these three gaps describe a research agenda rather than a list of caveats, and none of the work they imply requires starting from scratch.</w:t>
      </w:r>
      <w:r>
        <w:t xml:space="preserve"> </w:t>
      </w:r>
      <w:r>
        <w:t xml:space="preserve">The pipeline behind this article is public, documented, and executable in a browser, so a reader can open the relevant notebook, substitute data from another country or a later period, and re-run it.</w:t>
      </w:r>
      <w:r>
        <w:t xml:space="preserve"> </w:t>
      </w:r>
      <w:r>
        <w:t xml:space="preserve">That is the contribution we would most like this article to make: not an estimate of how quickly Indian districts converged between 1996 and 2010 alone, but a working template that lowers the cost of asking the same question elsewhere.</w:t>
      </w:r>
    </w:p>
    <w:bookmarkEnd w:id="121"/>
    <w:bookmarkStart w:id="122" w:name="Xaf3e12c7d10c533b092c48d5d53066a8fdf921f"/>
    <w:p>
      <w:pPr>
        <w:pStyle w:val="Heading3"/>
      </w:pPr>
      <w:r>
        <w:t xml:space="preserve">Research reproducibility and open science</w:t>
      </w:r>
    </w:p>
    <w:p>
      <w:pPr>
        <w:pStyle w:val="FirstParagraph"/>
      </w:pPr>
      <w:r>
        <w:t xml:space="preserve">As</w:t>
      </w:r>
      <w:r>
        <w:t xml:space="preserve"> </w:t>
      </w:r>
      <w:r>
        <w:t xml:space="preserve">Donaldson and Storeygard (2016)</w:t>
      </w:r>
      <w:r>
        <w:t xml:space="preserve"> </w:t>
      </w:r>
      <w:r>
        <w:t xml:space="preserve">note, methodological choices in processing remotely sensed data, such as sensor inter-calibration, can affect the empirical conclusions.</w:t>
      </w:r>
      <w:r>
        <w:t xml:space="preserve"> </w:t>
      </w:r>
      <w:r>
        <w:t xml:space="preserve">The same applies further down our own pipeline, at the construction of the spatial weight matrix.</w:t>
      </w:r>
      <w:r>
        <w:t xml:space="preserve"> </w:t>
      </w:r>
      <w:r>
        <w:t xml:space="preserve">Our own robustness analysis is a case in point: the estimated convergence effects survive seven definitions of the neighborhood, but that is something a reader can only confirm because the code that produced each of them is available.</w:t>
      </w:r>
    </w:p>
    <w:p>
      <w:pPr>
        <w:pStyle w:val="BodyText"/>
      </w:pPr>
      <w:r>
        <w:t xml:space="preserve">Open-source tools and cloud platforms lower the barriers to that kind of verification, and cloud-based notebooks for processing nighttime lights remove the need for specialized local software</w:t>
      </w:r>
      <w:r>
        <w:t xml:space="preserve"> </w:t>
      </w:r>
      <w:r>
        <w:t xml:space="preserve">(Patnaik and Mendez 2024)</w:t>
      </w:r>
      <w:r>
        <w:t xml:space="preserve">.</w:t>
      </w:r>
      <w:r>
        <w:t xml:space="preserve"> </w:t>
      </w:r>
      <w:r>
        <w:t xml:space="preserve">Open data, version-controlled code, and cloud execution together make the full pipeline, from satellite imagery to econometric results, verifiable and extensible by the broader research community.</w:t>
      </w:r>
    </w:p>
    <w:bookmarkEnd w:id="122"/>
    <w:bookmarkEnd w:id="123"/>
    <w:bookmarkStart w:id="125"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and our spatial autocorrelation analyses indicate that spatial dependence is a notable characteristic of both the satellite data and the regional convergence process in India.</w:t>
      </w:r>
      <w:r>
        <w:t xml:space="preserve"> </w:t>
      </w:r>
      <w:r>
        <w:t xml:space="preserve">Estimates from our spatial Durbin model indicate that the total convergence effect in our fully specified model is approximately 51% larger than conventional non-spatial estimates, and that the implied half-life of regional disparities falls from roughly 23 years to 13.</w:t>
      </w:r>
      <w:r>
        <w:t xml:space="preserve"> </w:t>
      </w:r>
      <w:r>
        <w:t xml:space="preserve">This finding suggests that in this setting non-spatial convergence models understate the speed of regional convergence, although the comparison with other regional literatures shows that the direction of this adjustment is specific to the setting rather than general.</w:t>
      </w:r>
      <w:r>
        <w:t xml:space="preserve"> </w:t>
      </w:r>
      <w:r>
        <w:t xml:space="preserve">If the estimated indirect effects reflect genuine spillovers, place-based development interventions would have broader impacts than conventional estimates suggest, since their benefits would reach neighboring districts as well as the districts they target.</w:t>
      </w:r>
      <w:r>
        <w:t xml:space="preserve"> </w:t>
      </w:r>
      <w:r>
        <w:t xml:space="preserve">If instead they partly reflect activity displaced across district boundaries, as the evaluation literature on Indian place-based programs cautions, the same estimates would overstate what those interventions add in aggregate.</w:t>
      </w:r>
    </w:p>
    <w:p>
      <w:pPr>
        <w:pStyle w:val="BodyText"/>
      </w:pPr>
      <w:r>
        <w:t xml:space="preserve">The results also demonstrate the usefulness of satellite nighttime lights for studying economic dynamics where subnational data are scarce, infrequent, or unreliable.</w:t>
      </w:r>
      <w:r>
        <w:t xml:space="preserve"> </w:t>
      </w:r>
      <w:r>
        <w:t xml:space="preserve">Radiance-calibrated luminosity allowed us to analyze 520 Indian districts at a spatial granularity that conventional national accounts could not reach.</w:t>
      </w:r>
      <w:r>
        <w:t xml:space="preserve"> </w:t>
      </w:r>
      <w:r>
        <w:t xml:space="preserve">The approach is transferable to other data-poor contexts across the developing world, and the ongoing transition from DMSP-OLS to the higher-resolution VIIRS sensor should sharpen such measurement further.</w:t>
      </w:r>
    </w:p>
    <w:p>
      <w:pPr>
        <w:pStyle w:val="BodyText"/>
      </w:pPr>
      <w:r>
        <w:t xml:space="preserve">The analytical pipeline is documented in Jupyter notebooks written in Python and embedded in the manuscript through the Quarto publishing framework,</w:t>
      </w:r>
      <w:r>
        <w:rPr>
          <w:rStyle w:val="FootnoteReference"/>
        </w:rPr>
        <w:footnoteReference w:id="124"/>
      </w:r>
      <w:r>
        <w:t xml:space="preserve"> </w:t>
      </w:r>
      <w:r>
        <w:t xml:space="preserve">and hosting the code and data in a public repository, with every notebook executable in the cloud, is meant to encourage broader adoption of reproducible open-science practices.</w:t>
      </w:r>
      <w:r>
        <w:t xml:space="preserve"> </w:t>
      </w:r>
      <w:r>
        <w:t xml:space="preserve">Section 4 sets out where we believe the most valuable work now lies: in better data, in the regions this method currently serves least well, and in the questions beyond convergence that it is able to address.</w:t>
      </w:r>
      <w:r>
        <w:t xml:space="preserve"> </w:t>
      </w:r>
      <w:r>
        <w:t xml:space="preserve">The materials accompanying this article are meant to make starting on any of them straightforward.</w:t>
      </w:r>
    </w:p>
    <w:bookmarkEnd w:id="125"/>
    <w:bookmarkStart w:id="126"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126"/>
    <w:bookmarkStart w:id="127" w:name="conflict-of-interest"/>
    <w:p>
      <w:pPr>
        <w:pStyle w:val="Heading2"/>
      </w:pPr>
      <w:r>
        <w:t xml:space="preserve">Conflict of Interest</w:t>
      </w:r>
    </w:p>
    <w:p>
      <w:pPr>
        <w:pStyle w:val="FirstParagraph"/>
      </w:pPr>
      <w:r>
        <w:t xml:space="preserve">The authors declare no conflict of interest.</w:t>
      </w:r>
    </w:p>
    <w:bookmarkEnd w:id="127"/>
    <w:bookmarkStart w:id="278" w:name="data-and-code-availability"/>
    <w:p>
      <w:pPr>
        <w:pStyle w:val="Heading2"/>
      </w:pPr>
      <w:r>
        <w:t xml:space="preserve">Data and Code Availability</w:t>
      </w:r>
    </w:p>
    <w:p>
      <w:pPr>
        <w:pStyle w:val="FirstParagraph"/>
      </w:pPr>
      <w:r>
        <w:t xml:space="preserve">All data and computational code used in this study are available in the project repository at</w:t>
      </w:r>
      <w:r>
        <w:t xml:space="preserve"> </w:t>
      </w:r>
      <w:hyperlink r:id="rId20">
        <w:r>
          <w:rPr>
            <w:rStyle w:val="Hyperlink"/>
          </w:rPr>
          <w:t xml:space="preserve">https://github.com/quarcs-lab/project2025s-py</w:t>
        </w:r>
      </w:hyperlink>
      <w:r>
        <w:t xml:space="preserve">.</w:t>
      </w:r>
      <w:r>
        <w:t xml:space="preserve"> </w:t>
      </w:r>
      <w:r>
        <w:t xml:space="preserve">The interactive HTML version of this manuscript (</w:t>
      </w:r>
      <w:hyperlink r:id="rId21">
        <w:r>
          <w:rPr>
            <w:rStyle w:val="Hyperlink"/>
          </w:rPr>
          <w:t xml:space="preserve">https://quarcs-lab.github.io/project2025s-py/</w:t>
        </w:r>
      </w:hyperlink>
      <w:r>
        <w:t xml:space="preserve">) embeds the computational notebooks, allowing readers to inspect the complete analytical pipeline from raw data to published results.</w:t>
      </w:r>
      <w:r>
        <w:t xml:space="preserve"> </w:t>
      </w:r>
      <w:r>
        <w:t xml:space="preserve">Every analytical notebook can be executed in the cloud using Google Colaboratory without any local software installation: readers open the notebook and run it, and the empirical results, figures, and tables of this article are regenerated from the raw data.</w:t>
      </w:r>
      <w:r>
        <w:t xml:space="preserve"> </w:t>
      </w:r>
      <w:r>
        <w:t xml:space="preserve">The computational notebooks are implemented entirely in Python.</w:t>
      </w:r>
      <w:r>
        <w:t xml:space="preserve"> </w:t>
      </w:r>
      <w:r>
        <w:t xml:space="preserve">An earlier implementation of the same analysis used R and Stata, and the present Python results reproduce it.</w:t>
      </w:r>
      <w:r>
        <w:t xml:space="preserve"> </w:t>
      </w:r>
      <w:r>
        <w:t xml:space="preserve">The AIC values differ by a few units because the two packages count parameters differently: Stata treats the error variance of the spatial model as a free parameter, and its information criterion for the fixed-effects regressions uses the rank of the robust covariance matrix, which two single-district states leave short by two.</w:t>
      </w:r>
      <w:r>
        <w:t xml:space="preserve"> </w:t>
      </w:r>
      <w:r>
        <w:t xml:space="preserve">The interactive Earth Engine application linked in the text is a convenience layer for visualizing the underlying imagery; its source code is included in the first notebook, and none of the results reported in this article depend on it.</w:t>
      </w:r>
    </w:p>
    <w:bookmarkStart w:id="277" w:name="refs"/>
    <w:bookmarkStart w:id="129"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128">
        <w:r>
          <w:rPr>
            <w:rStyle w:val="Hyperlink"/>
          </w:rPr>
          <w:t xml:space="preserve">https://doi.org/10.1016/j.rse.2018.03.018</w:t>
        </w:r>
      </w:hyperlink>
      <w:r>
        <w:t xml:space="preserve">.</w:t>
      </w:r>
    </w:p>
    <w:bookmarkEnd w:id="129"/>
    <w:bookmarkStart w:id="131" w:name="ref-abreu_etal_meta_convergence"/>
    <w:p>
      <w:pPr>
        <w:pStyle w:val="Bibliography"/>
      </w:pPr>
      <w:r>
        <w:t xml:space="preserve">Abreu, Maria, Henri L. F. de Groot, and Raymond J. G. M. Florax. 2005.</w:t>
      </w:r>
      <w:r>
        <w:t xml:space="preserve"> </w:t>
      </w:r>
      <w:r>
        <w:t xml:space="preserve">“A Meta-Analysis of</w:t>
      </w:r>
      <w:r>
        <w:t xml:space="preserve"> </w:t>
      </w:r>
      <m:oMath>
        <m:r>
          <m:t>β</m:t>
        </m:r>
      </m:oMath>
      <w:r>
        <w:t xml:space="preserve">-Convergence: The Legendary 2%.”</w:t>
      </w:r>
      <w:r>
        <w:t xml:space="preserve"> </w:t>
      </w:r>
      <w:r>
        <w:rPr>
          <w:i/>
          <w:iCs/>
        </w:rPr>
        <w:t xml:space="preserve">Journal of Economic Surveys</w:t>
      </w:r>
      <w:r>
        <w:t xml:space="preserve"> </w:t>
      </w:r>
      <w:r>
        <w:t xml:space="preserve">19 (3): 389–420.</w:t>
      </w:r>
      <w:r>
        <w:t xml:space="preserve"> </w:t>
      </w:r>
      <w:hyperlink r:id="rId130">
        <w:r>
          <w:rPr>
            <w:rStyle w:val="Hyperlink"/>
          </w:rPr>
          <w:t xml:space="preserve">https://doi.org/10.1111/j.0950-0804.2005.00253.x</w:t>
        </w:r>
      </w:hyperlink>
      <w:r>
        <w:t xml:space="preserve">.</w:t>
      </w:r>
    </w:p>
    <w:bookmarkEnd w:id="131"/>
    <w:bookmarkStart w:id="133"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132">
        <w:r>
          <w:rPr>
            <w:rStyle w:val="Hyperlink"/>
          </w:rPr>
          <w:t xml:space="preserve">https://doi.org/10.1111/ecin.12967</w:t>
        </w:r>
      </w:hyperlink>
      <w:r>
        <w:t xml:space="preserve">.</w:t>
      </w:r>
    </w:p>
    <w:bookmarkEnd w:id="133"/>
    <w:bookmarkStart w:id="135"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134">
        <w:r>
          <w:rPr>
            <w:rStyle w:val="Hyperlink"/>
          </w:rPr>
          <w:t xml:space="preserve">https://quarto.org</w:t>
        </w:r>
      </w:hyperlink>
      <w:r>
        <w:t xml:space="preserve">.</w:t>
      </w:r>
    </w:p>
    <w:bookmarkEnd w:id="135"/>
    <w:bookmarkStart w:id="137"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136">
        <w:r>
          <w:rPr>
            <w:rStyle w:val="Hyperlink"/>
          </w:rPr>
          <w:t xml:space="preserve">https://doi.org/10.1007/978-94-015-7799-1</w:t>
        </w:r>
      </w:hyperlink>
      <w:r>
        <w:t xml:space="preserve">.</w:t>
      </w:r>
    </w:p>
    <w:bookmarkEnd w:id="137"/>
    <w:bookmarkStart w:id="139"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38">
        <w:r>
          <w:rPr>
            <w:rStyle w:val="Hyperlink"/>
          </w:rPr>
          <w:t xml:space="preserve">https://doi.org/10.1111/j.1538-4632.1995.tb00338.x</w:t>
        </w:r>
      </w:hyperlink>
      <w:r>
        <w:t xml:space="preserve">.</w:t>
      </w:r>
    </w:p>
    <w:bookmarkEnd w:id="139"/>
    <w:bookmarkStart w:id="141" w:name="ref-asher_shrug_india"/>
    <w:p>
      <w:pPr>
        <w:pStyle w:val="Bibliography"/>
      </w:pPr>
      <w:r>
        <w:t xml:space="preserve">Asher, Sam, Tobias Lunt, Ryu Matsuura, and Paul Novosad. 2021.</w:t>
      </w:r>
      <w:r>
        <w:t xml:space="preserve"> </w:t>
      </w:r>
      <w:r>
        <w:t xml:space="preserve">“Development Research at High Geographic Resolution: An Analysis of Night-Lights, Firms, and Poverty in India Using the SHRUG Open Data Platform.”</w:t>
      </w:r>
      <w:r>
        <w:t xml:space="preserve"> </w:t>
      </w:r>
      <w:r>
        <w:rPr>
          <w:i/>
          <w:iCs/>
        </w:rPr>
        <w:t xml:space="preserve">The World Bank Economic Review</w:t>
      </w:r>
      <w:r>
        <w:t xml:space="preserve"> </w:t>
      </w:r>
      <w:r>
        <w:t xml:space="preserve">35 (4): 845–71.</w:t>
      </w:r>
      <w:r>
        <w:t xml:space="preserve"> </w:t>
      </w:r>
      <w:hyperlink r:id="rId140">
        <w:r>
          <w:rPr>
            <w:rStyle w:val="Hyperlink"/>
          </w:rPr>
          <w:t xml:space="preserve">https://doi.org/10.1093/wber/lhab003</w:t>
        </w:r>
      </w:hyperlink>
      <w:r>
        <w:t xml:space="preserve">.</w:t>
      </w:r>
    </w:p>
    <w:bookmarkEnd w:id="141"/>
    <w:bookmarkStart w:id="14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42">
        <w:r>
          <w:rPr>
            <w:rStyle w:val="Hyperlink"/>
          </w:rPr>
          <w:t xml:space="preserve">https://doi.org/10.1257/aer.20180268</w:t>
        </w:r>
      </w:hyperlink>
      <w:r>
        <w:t xml:space="preserve">.</w:t>
      </w:r>
    </w:p>
    <w:bookmarkEnd w:id="143"/>
    <w:bookmarkStart w:id="145" w:name="ref-barro_convergence_modernisation"/>
    <w:p>
      <w:pPr>
        <w:pStyle w:val="Bibliography"/>
      </w:pPr>
      <w:r>
        <w:t xml:space="preserve">Barro, Robert J. 2015.</w:t>
      </w:r>
      <w:r>
        <w:t xml:space="preserve"> </w:t>
      </w:r>
      <w:r>
        <w:t xml:space="preserve">“Convergence and Modernisation.”</w:t>
      </w:r>
      <w:r>
        <w:t xml:space="preserve"> </w:t>
      </w:r>
      <w:r>
        <w:rPr>
          <w:i/>
          <w:iCs/>
        </w:rPr>
        <w:t xml:space="preserve">The Economic Journal</w:t>
      </w:r>
      <w:r>
        <w:t xml:space="preserve"> </w:t>
      </w:r>
      <w:r>
        <w:t xml:space="preserve">125 (585): 911–42.</w:t>
      </w:r>
      <w:r>
        <w:t xml:space="preserve"> </w:t>
      </w:r>
      <w:hyperlink r:id="rId144">
        <w:r>
          <w:rPr>
            <w:rStyle w:val="Hyperlink"/>
          </w:rPr>
          <w:t xml:space="preserve">https://doi.org/10.1111/ecoj.12247</w:t>
        </w:r>
      </w:hyperlink>
      <w:r>
        <w:t xml:space="preserve">.</w:t>
      </w:r>
    </w:p>
    <w:bookmarkEnd w:id="145"/>
    <w:bookmarkStart w:id="147"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46">
        <w:r>
          <w:rPr>
            <w:rStyle w:val="Hyperlink"/>
          </w:rPr>
          <w:t xml:space="preserve">https://doi.org/10.1086/261816</w:t>
        </w:r>
      </w:hyperlink>
      <w:r>
        <w:t xml:space="preserve">.</w:t>
      </w:r>
    </w:p>
    <w:bookmarkEnd w:id="147"/>
    <w:bookmarkStart w:id="149" w:name="ref-basher_etal_bangladesh_lights"/>
    <w:p>
      <w:pPr>
        <w:pStyle w:val="Bibliography"/>
      </w:pPr>
      <w:r>
        <w:t xml:space="preserve">Basher, Syed Abul, Salim Rashid, and Mohammad Riad Uddin. 2023.</w:t>
      </w:r>
      <w:r>
        <w:t xml:space="preserve"> </w:t>
      </w:r>
      <w:r>
        <w:t xml:space="preserve">“Regional Convergence in</w:t>
      </w:r>
      <w:r>
        <w:t xml:space="preserve"> </w:t>
      </w:r>
      <w:r>
        <w:t xml:space="preserve">Bangladesh</w:t>
      </w:r>
      <w:r>
        <w:t xml:space="preserve"> </w:t>
      </w:r>
      <w:r>
        <w:t xml:space="preserve">Using Night Lights.”</w:t>
      </w:r>
      <w:r>
        <w:t xml:space="preserve"> </w:t>
      </w:r>
      <w:r>
        <w:rPr>
          <w:i/>
          <w:iCs/>
        </w:rPr>
        <w:t xml:space="preserve">Applied Economics Letters</w:t>
      </w:r>
      <w:r>
        <w:t xml:space="preserve"> </w:t>
      </w:r>
      <w:r>
        <w:t xml:space="preserve">30 (18): 2581–88.</w:t>
      </w:r>
      <w:r>
        <w:t xml:space="preserve"> </w:t>
      </w:r>
      <w:hyperlink r:id="rId148">
        <w:r>
          <w:rPr>
            <w:rStyle w:val="Hyperlink"/>
          </w:rPr>
          <w:t xml:space="preserve">https://doi.org/10.1080/13504851.2022.2099798</w:t>
        </w:r>
      </w:hyperlink>
      <w:r>
        <w:t xml:space="preserve">.</w:t>
      </w:r>
    </w:p>
    <w:bookmarkEnd w:id="149"/>
    <w:bookmarkStart w:id="151" w:name="ref-beyer_jain_sinha_covid"/>
    <w:p>
      <w:pPr>
        <w:pStyle w:val="Bibliography"/>
      </w:pPr>
      <w:r>
        <w:t xml:space="preserve">Beyer, Robert C. M., Tarun Jain, and Sonalika Sinha. 2023.</w:t>
      </w:r>
      <w:r>
        <w:t xml:space="preserve"> </w:t>
      </w:r>
      <w:r>
        <w:t xml:space="preserve">“Lights Out? COVID-19 Containment Policies and Economic Activity.”</w:t>
      </w:r>
      <w:r>
        <w:t xml:space="preserve"> </w:t>
      </w:r>
      <w:r>
        <w:rPr>
          <w:i/>
          <w:iCs/>
        </w:rPr>
        <w:t xml:space="preserve">Journal of Asian Economics</w:t>
      </w:r>
      <w:r>
        <w:t xml:space="preserve"> </w:t>
      </w:r>
      <w:r>
        <w:t xml:space="preserve">85: 101589.</w:t>
      </w:r>
      <w:r>
        <w:t xml:space="preserve"> </w:t>
      </w:r>
      <w:hyperlink r:id="rId150">
        <w:r>
          <w:rPr>
            <w:rStyle w:val="Hyperlink"/>
          </w:rPr>
          <w:t xml:space="preserve">https://doi.org/10.1016/j.asieco.2023.101589</w:t>
        </w:r>
      </w:hyperlink>
      <w:r>
        <w:t xml:space="preserve">.</w:t>
      </w:r>
    </w:p>
    <w:bookmarkEnd w:id="151"/>
    <w:bookmarkStart w:id="153" w:name="ref-beyer_yamada_district_banks"/>
    <w:p>
      <w:pPr>
        <w:pStyle w:val="Bibliography"/>
      </w:pPr>
      <w:r>
        <w:t xml:space="preserve">Beyer, Robert C. M., and Takahiro Yamada. 2020.</w:t>
      </w:r>
      <w:r>
        <w:t xml:space="preserve"> </w:t>
      </w:r>
      <w:r>
        <w:t xml:space="preserve">“District-Level Convergence and Public Banks in</w:t>
      </w:r>
      <w:r>
        <w:t xml:space="preserve"> </w:t>
      </w:r>
      <w:r>
        <w:t xml:space="preserve">India</w:t>
      </w:r>
      <w:r>
        <w:t xml:space="preserve">.”</w:t>
      </w:r>
      <w:r>
        <w:t xml:space="preserve"> </w:t>
      </w:r>
      <w:r>
        <w:t xml:space="preserve">SSRN Working Paper.</w:t>
      </w:r>
      <w:r>
        <w:t xml:space="preserve"> </w:t>
      </w:r>
      <w:hyperlink r:id="rId152">
        <w:r>
          <w:rPr>
            <w:rStyle w:val="Hyperlink"/>
          </w:rPr>
          <w:t xml:space="preserve">https://doi.org/10.2139/ssrn.3818578</w:t>
        </w:r>
      </w:hyperlink>
      <w:r>
        <w:t xml:space="preserve">.</w:t>
      </w:r>
    </w:p>
    <w:bookmarkEnd w:id="153"/>
    <w:bookmarkStart w:id="155" w:name="ref-bickenbach_regional_gdp"/>
    <w:p>
      <w:pPr>
        <w:pStyle w:val="Bibliography"/>
      </w:pPr>
      <w:r>
        <w:t xml:space="preserve">Bickenbach, Frank, Eckhardt Bode, Peter Nunnenkamp, and Mareike Söder. 2016.</w:t>
      </w:r>
      <w:r>
        <w:t xml:space="preserve"> </w:t>
      </w:r>
      <w:r>
        <w:t xml:space="preserve">“Night Lights and Regional GDP.”</w:t>
      </w:r>
      <w:r>
        <w:t xml:space="preserve"> </w:t>
      </w:r>
      <w:r>
        <w:rPr>
          <w:i/>
          <w:iCs/>
        </w:rPr>
        <w:t xml:space="preserve">Review of World Economics</w:t>
      </w:r>
      <w:r>
        <w:t xml:space="preserve"> </w:t>
      </w:r>
      <w:r>
        <w:t xml:space="preserve">152 (2): 425–47.</w:t>
      </w:r>
      <w:r>
        <w:t xml:space="preserve"> </w:t>
      </w:r>
      <w:hyperlink r:id="rId154">
        <w:r>
          <w:rPr>
            <w:rStyle w:val="Hyperlink"/>
          </w:rPr>
          <w:t xml:space="preserve">https://doi.org/10.1007/s10290-016-0246-0</w:t>
        </w:r>
      </w:hyperlink>
      <w:r>
        <w:t xml:space="preserve">.</w:t>
      </w:r>
    </w:p>
    <w:bookmarkEnd w:id="155"/>
    <w:bookmarkStart w:id="157" w:name="ref-bluhm_mccord_small_geographies"/>
    <w:p>
      <w:pPr>
        <w:pStyle w:val="Bibliography"/>
      </w:pPr>
      <w:r>
        <w:t xml:space="preserve">Bluhm, Richard, and Gordon C. McCord. 2022.</w:t>
      </w:r>
      <w:r>
        <w:t xml:space="preserve"> </w:t>
      </w:r>
      <w:r>
        <w:t xml:space="preserve">“What Can We Learn from Nighttime Lights for Small Geographies? Measurement Errors and Heterogeneous Elasticities.”</w:t>
      </w:r>
      <w:r>
        <w:t xml:space="preserve"> </w:t>
      </w:r>
      <w:r>
        <w:rPr>
          <w:i/>
          <w:iCs/>
        </w:rPr>
        <w:t xml:space="preserve">Remote Sensing</w:t>
      </w:r>
      <w:r>
        <w:t xml:space="preserve"> </w:t>
      </w:r>
      <w:r>
        <w:t xml:space="preserve">14 (5): 1190.</w:t>
      </w:r>
      <w:r>
        <w:t xml:space="preserve"> </w:t>
      </w:r>
      <w:hyperlink r:id="rId156">
        <w:r>
          <w:rPr>
            <w:rStyle w:val="Hyperlink"/>
          </w:rPr>
          <w:t xml:space="preserve">https://doi.org/10.3390/rs14051190</w:t>
        </w:r>
      </w:hyperlink>
      <w:r>
        <w:t xml:space="preserve">.</w:t>
      </w:r>
    </w:p>
    <w:bookmarkEnd w:id="157"/>
    <w:bookmarkStart w:id="159" w:name="ref-carrington_jimenez_ecuador_lights"/>
    <w:p>
      <w:pPr>
        <w:pStyle w:val="Bibliography"/>
      </w:pPr>
      <w:r>
        <w:t xml:space="preserve">Carrington, Sarah J., and Pablo Jiménez-Ayora. 2021.</w:t>
      </w:r>
      <w:r>
        <w:t xml:space="preserve"> </w:t>
      </w:r>
      <w:r>
        <w:t xml:space="preserve">“Shedding Light on the Convergence Debate: Using Luminosity Data to Investigate Economic Convergence in</w:t>
      </w:r>
      <w:r>
        <w:t xml:space="preserve"> </w:t>
      </w:r>
      <w:r>
        <w:t xml:space="preserve">Ecuador</w:t>
      </w:r>
      <w:r>
        <w:t xml:space="preserve">.”</w:t>
      </w:r>
      <w:r>
        <w:t xml:space="preserve"> </w:t>
      </w:r>
      <w:r>
        <w:rPr>
          <w:i/>
          <w:iCs/>
        </w:rPr>
        <w:t xml:space="preserve">Review of Development Economics</w:t>
      </w:r>
      <w:r>
        <w:t xml:space="preserve"> </w:t>
      </w:r>
      <w:r>
        <w:t xml:space="preserve">25 (1): 200–227.</w:t>
      </w:r>
      <w:r>
        <w:t xml:space="preserve"> </w:t>
      </w:r>
      <w:hyperlink r:id="rId158">
        <w:r>
          <w:rPr>
            <w:rStyle w:val="Hyperlink"/>
          </w:rPr>
          <w:t xml:space="preserve">https://doi.org/10.1111/rode.12712</w:t>
        </w:r>
      </w:hyperlink>
      <w:r>
        <w:t xml:space="preserve">.</w:t>
      </w:r>
    </w:p>
    <w:bookmarkEnd w:id="159"/>
    <w:bookmarkStart w:id="161" w:name="ref-caselli_etal_convergence_debate"/>
    <w:p>
      <w:pPr>
        <w:pStyle w:val="Bibliography"/>
      </w:pPr>
      <w:r>
        <w:t xml:space="preserve">Caselli, Francesco, Gerardo Esquivel, and Fernando Lefort. 1996.</w:t>
      </w:r>
      <w:r>
        <w:t xml:space="preserve"> </w:t>
      </w:r>
      <w:r>
        <w:t xml:space="preserve">“Reopening the Convergence Debate: A New Look at Cross-Country Growth Empirics.”</w:t>
      </w:r>
      <w:r>
        <w:t xml:space="preserve"> </w:t>
      </w:r>
      <w:r>
        <w:rPr>
          <w:i/>
          <w:iCs/>
        </w:rPr>
        <w:t xml:space="preserve">Journal of Economic Growth</w:t>
      </w:r>
      <w:r>
        <w:t xml:space="preserve"> </w:t>
      </w:r>
      <w:r>
        <w:t xml:space="preserve">1 (3): 363–89.</w:t>
      </w:r>
      <w:r>
        <w:t xml:space="preserve"> </w:t>
      </w:r>
      <w:hyperlink r:id="rId160">
        <w:r>
          <w:rPr>
            <w:rStyle w:val="Hyperlink"/>
          </w:rPr>
          <w:t xml:space="preserve">https://doi.org/10.1007/BF00141044</w:t>
        </w:r>
      </w:hyperlink>
      <w:r>
        <w:t xml:space="preserve">.</w:t>
      </w:r>
    </w:p>
    <w:bookmarkEnd w:id="161"/>
    <w:bookmarkStart w:id="163" w:name="ref-ch_martin_vargas_city_size"/>
    <w:p>
      <w:pPr>
        <w:pStyle w:val="Bibliography"/>
      </w:pPr>
      <w:r>
        <w:t xml:space="preserve">Ch, Rafael, Diego A. Martin, and Juan F. Vargas. 2021.</w:t>
      </w:r>
      <w:r>
        <w:t xml:space="preserve"> </w:t>
      </w:r>
      <w:r>
        <w:t xml:space="preserve">“Measuring the Size and Growth of Cities Using Nighttime Light.”</w:t>
      </w:r>
      <w:r>
        <w:t xml:space="preserve"> </w:t>
      </w:r>
      <w:r>
        <w:rPr>
          <w:i/>
          <w:iCs/>
        </w:rPr>
        <w:t xml:space="preserve">Journal of Urban Economics</w:t>
      </w:r>
      <w:r>
        <w:t xml:space="preserve"> </w:t>
      </w:r>
      <w:r>
        <w:t xml:space="preserve">125: 103254.</w:t>
      </w:r>
      <w:r>
        <w:t xml:space="preserve"> </w:t>
      </w:r>
      <w:hyperlink r:id="rId162">
        <w:r>
          <w:rPr>
            <w:rStyle w:val="Hyperlink"/>
          </w:rPr>
          <w:t xml:space="preserve">https://doi.org/10.1016/j.jue.2020.103254</w:t>
        </w:r>
      </w:hyperlink>
      <w:r>
        <w:t xml:space="preserve">.</w:t>
      </w:r>
    </w:p>
    <w:bookmarkEnd w:id="163"/>
    <w:bookmarkStart w:id="165" w:name="X129a54fcc67c2a11d1ce6a44d6638bdd64fd10b"/>
    <w:p>
      <w:pPr>
        <w:pStyle w:val="Bibliography"/>
      </w:pPr>
      <w:r>
        <w:t xml:space="preserve">Chakrabarty, Manisha, and Subhankar Mukherjee. 2022.</w:t>
      </w:r>
      <w:r>
        <w:t xml:space="preserve"> </w:t>
      </w:r>
      <w:r>
        <w:t xml:space="preserve">“Impact of</w:t>
      </w:r>
      <w:r>
        <w:t xml:space="preserve"> </w:t>
      </w:r>
      <w:r>
        <w:t xml:space="preserve">COVID</w:t>
      </w:r>
      <w:r>
        <w:t xml:space="preserve">-19 on Convergence in</w:t>
      </w:r>
      <w:r>
        <w:t xml:space="preserve"> </w:t>
      </w:r>
      <w:r>
        <w:t xml:space="preserve">Indian</w:t>
      </w:r>
      <w:r>
        <w:t xml:space="preserve"> </w:t>
      </w:r>
      <w:r>
        <w:t xml:space="preserve">Districts.”</w:t>
      </w:r>
      <w:r>
        <w:t xml:space="preserve"> </w:t>
      </w:r>
      <w:r>
        <w:rPr>
          <w:i/>
          <w:iCs/>
        </w:rPr>
        <w:t xml:space="preserve">Indian Growth and Development Review</w:t>
      </w:r>
      <w:r>
        <w:t xml:space="preserve"> </w:t>
      </w:r>
      <w:r>
        <w:t xml:space="preserve">15 (2-3): 198–209.</w:t>
      </w:r>
      <w:r>
        <w:t xml:space="preserve"> </w:t>
      </w:r>
      <w:hyperlink r:id="rId164">
        <w:r>
          <w:rPr>
            <w:rStyle w:val="Hyperlink"/>
          </w:rPr>
          <w:t xml:space="preserve">https://doi.org/10.1108/igdr-11-2021-0152</w:t>
        </w:r>
      </w:hyperlink>
      <w:r>
        <w:t xml:space="preserve">.</w:t>
      </w:r>
    </w:p>
    <w:bookmarkEnd w:id="165"/>
    <w:bookmarkStart w:id="167"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 97–102.</w:t>
      </w:r>
      <w:r>
        <w:t xml:space="preserve"> </w:t>
      </w:r>
      <w:hyperlink r:id="rId166">
        <w:r>
          <w:rPr>
            <w:rStyle w:val="Hyperlink"/>
          </w:rPr>
          <w:t xml:space="preserve">https://www.epw.in/journal/2017/25-26/notes/will-gst-exacerbate-regional-divergence.html</w:t>
        </w:r>
      </w:hyperlink>
      <w:r>
        <w:t xml:space="preserve">.</w:t>
      </w:r>
    </w:p>
    <w:bookmarkEnd w:id="167"/>
    <w:bookmarkStart w:id="169"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68">
        <w:r>
          <w:rPr>
            <w:rStyle w:val="Hyperlink"/>
          </w:rPr>
          <w:t xml:space="preserve">https://doi.org/10.1016/j.jmacro.2022.103438</w:t>
        </w:r>
      </w:hyperlink>
      <w:r>
        <w:t xml:space="preserve">.</w:t>
      </w:r>
    </w:p>
    <w:bookmarkEnd w:id="169"/>
    <w:bookmarkStart w:id="171" w:name="ref-chanda_kabiraj_district_convergence"/>
    <w:p>
      <w:pPr>
        <w:pStyle w:val="Bibliography"/>
      </w:pPr>
      <w:r>
        <w:t xml:space="preserve">Chanda, Areendam, and Sujana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70">
        <w:r>
          <w:rPr>
            <w:rStyle w:val="Hyperlink"/>
          </w:rPr>
          <w:t xml:space="preserve">https://doi.org/10.1016/j.worlddev.2020.104961</w:t>
        </w:r>
      </w:hyperlink>
      <w:r>
        <w:t xml:space="preserve">.</w:t>
      </w:r>
    </w:p>
    <w:bookmarkEnd w:id="171"/>
    <w:bookmarkStart w:id="173" w:name="ref-chen_etal_satellite_notebook"/>
    <w:p>
      <w:pPr>
        <w:pStyle w:val="Bibliography"/>
      </w:pPr>
      <w:r>
        <w:t xml:space="preserve">Chen, Meixu, Dominik Fahrner, Daniel Arribas-Bel, and Francisco Rowe. 2020.</w:t>
      </w:r>
      <w:r>
        <w:t xml:space="preserve"> </w:t>
      </w:r>
      <w:r>
        <w:t xml:space="preserve">“A Reproducible Notebook to Acquire, Process and Analyse Satellite Imagery: Exploring Long-Term Urban Changes.”</w:t>
      </w:r>
      <w:r>
        <w:t xml:space="preserve"> </w:t>
      </w:r>
      <w:r>
        <w:rPr>
          <w:i/>
          <w:iCs/>
        </w:rPr>
        <w:t xml:space="preserve">REGION</w:t>
      </w:r>
      <w:r>
        <w:t xml:space="preserve"> </w:t>
      </w:r>
      <w:r>
        <w:t xml:space="preserve">7 (2): R15–46.</w:t>
      </w:r>
      <w:r>
        <w:t xml:space="preserve"> </w:t>
      </w:r>
      <w:hyperlink r:id="rId172">
        <w:r>
          <w:rPr>
            <w:rStyle w:val="Hyperlink"/>
          </w:rPr>
          <w:t xml:space="preserve">https://doi.org/10.18335/region.v7i2.295</w:t>
        </w:r>
      </w:hyperlink>
      <w:r>
        <w:t xml:space="preserve">.</w:t>
      </w:r>
    </w:p>
    <w:bookmarkEnd w:id="173"/>
    <w:bookmarkStart w:id="175"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74">
        <w:r>
          <w:rPr>
            <w:rStyle w:val="Hyperlink"/>
          </w:rPr>
          <w:t xml:space="preserve">https://doi.org/10.1073/pnas.1017031108</w:t>
        </w:r>
      </w:hyperlink>
      <w:r>
        <w:t xml:space="preserve">.</w:t>
      </w:r>
    </w:p>
    <w:bookmarkEnd w:id="175"/>
    <w:bookmarkStart w:id="177" w:name="ref-chen_nordhaus_viirs_crosssection"/>
    <w:p>
      <w:pPr>
        <w:pStyle w:val="Bibliography"/>
      </w:pPr>
      <w:r>
        <w:t xml:space="preserve">———. 2019.</w:t>
      </w:r>
      <w:r>
        <w:t xml:space="preserve"> </w:t>
      </w:r>
      <w:r>
        <w:t xml:space="preserve">“VIIRS Nighttime Lights in the Estimation of Cross-Sectional and Time-Series GDP.”</w:t>
      </w:r>
      <w:r>
        <w:t xml:space="preserve"> </w:t>
      </w:r>
      <w:r>
        <w:rPr>
          <w:i/>
          <w:iCs/>
        </w:rPr>
        <w:t xml:space="preserve">Remote Sensing</w:t>
      </w:r>
      <w:r>
        <w:t xml:space="preserve"> </w:t>
      </w:r>
      <w:r>
        <w:t xml:space="preserve">11 (9): 1057.</w:t>
      </w:r>
      <w:r>
        <w:t xml:space="preserve"> </w:t>
      </w:r>
      <w:hyperlink r:id="rId176">
        <w:r>
          <w:rPr>
            <w:rStyle w:val="Hyperlink"/>
          </w:rPr>
          <w:t xml:space="preserve">https://doi.org/10.3390/rs11091057</w:t>
        </w:r>
      </w:hyperlink>
      <w:r>
        <w:t xml:space="preserve">.</w:t>
      </w:r>
    </w:p>
    <w:bookmarkEnd w:id="177"/>
    <w:bookmarkStart w:id="179" w:name="ref-chen_etal_turkey_viirs"/>
    <w:p>
      <w:pPr>
        <w:pStyle w:val="Bibliography"/>
      </w:pPr>
      <w:r>
        <w:t xml:space="preserve">Chen, Yilin, Uğur Ursavaş,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w:t>
      </w:r>
      <w:r>
        <w:t xml:space="preserve"> </w:t>
      </w:r>
      <w:hyperlink r:id="rId178">
        <w:r>
          <w:rPr>
            <w:rStyle w:val="Hyperlink"/>
          </w:rPr>
          <w:t xml:space="preserve">https://doi.org/10.1007/s12076-024-00375-x</w:t>
        </w:r>
      </w:hyperlink>
      <w:r>
        <w:t xml:space="preserve">.</w:t>
      </w:r>
    </w:p>
    <w:bookmarkEnd w:id="179"/>
    <w:bookmarkStart w:id="181" w:name="ref-chiovelli_global_south"/>
    <w:p>
      <w:pPr>
        <w:pStyle w:val="Bibliography"/>
      </w:pPr>
      <w:r>
        <w:t xml:space="preserve">Chiovelli, Giorgio, Stelios Michalopoulos, Elias Papaioannou, and Tanner Regan. 2026.</w:t>
      </w:r>
      <w:r>
        <w:t xml:space="preserve"> </w:t>
      </w:r>
      <w:r>
        <w:t xml:space="preserve">“Illuminating the Global South.”</w:t>
      </w:r>
      <w:r>
        <w:t xml:space="preserve"> </w:t>
      </w:r>
      <w:r>
        <w:rPr>
          <w:i/>
          <w:iCs/>
        </w:rPr>
        <w:t xml:space="preserve">The Economic Journal</w:t>
      </w:r>
      <w:r>
        <w:t xml:space="preserve">.</w:t>
      </w:r>
      <w:r>
        <w:t xml:space="preserve"> </w:t>
      </w:r>
      <w:hyperlink r:id="rId180">
        <w:r>
          <w:rPr>
            <w:rStyle w:val="Hyperlink"/>
          </w:rPr>
          <w:t xml:space="preserve">https://doi.org/10.1093/ej/ueaf134</w:t>
        </w:r>
      </w:hyperlink>
      <w:r>
        <w:t xml:space="preserve">.</w:t>
      </w:r>
    </w:p>
    <w:bookmarkEnd w:id="181"/>
    <w:bookmarkStart w:id="183" w:name="ref-cook_shah_nregs"/>
    <w:p>
      <w:pPr>
        <w:pStyle w:val="Bibliography"/>
      </w:pPr>
      <w:r>
        <w:t xml:space="preserve">Cook, C.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(4): 797–806.</w:t>
      </w:r>
      <w:r>
        <w:t xml:space="preserve"> </w:t>
      </w:r>
      <w:hyperlink r:id="rId182">
        <w:r>
          <w:rPr>
            <w:rStyle w:val="Hyperlink"/>
          </w:rPr>
          <w:t xml:space="preserve">https://doi.org/10.1162/rest_a_00993</w:t>
        </w:r>
      </w:hyperlink>
      <w:r>
        <w:t xml:space="preserve">.</w:t>
      </w:r>
    </w:p>
    <w:bookmarkEnd w:id="183"/>
    <w:bookmarkStart w:id="185" w:name="ref-diop_africa_spillovers"/>
    <w:p>
      <w:pPr>
        <w:pStyle w:val="Bibliography"/>
      </w:pPr>
      <w:r>
        <w:t xml:space="preserve">Diop, Samba. 2018.</w:t>
      </w:r>
      <w:r>
        <w:t xml:space="preserve"> </w:t>
      </w:r>
      <w:r>
        <w:t xml:space="preserve">“Convergence and Spillover Effects in</w:t>
      </w:r>
      <w:r>
        <w:t xml:space="preserve"> </w:t>
      </w:r>
      <w:r>
        <w:t xml:space="preserve">Africa</w:t>
      </w:r>
      <w:r>
        <w:t xml:space="preserve">: A Spatial Panel Data Approach.”</w:t>
      </w:r>
      <w:r>
        <w:t xml:space="preserve"> </w:t>
      </w:r>
      <w:r>
        <w:rPr>
          <w:i/>
          <w:iCs/>
        </w:rPr>
        <w:t xml:space="preserve">Journal of African Economies</w:t>
      </w:r>
      <w:r>
        <w:t xml:space="preserve"> </w:t>
      </w:r>
      <w:r>
        <w:t xml:space="preserve">27 (3): 274–84.</w:t>
      </w:r>
      <w:r>
        <w:t xml:space="preserve"> </w:t>
      </w:r>
      <w:hyperlink r:id="rId184">
        <w:r>
          <w:rPr>
            <w:rStyle w:val="Hyperlink"/>
          </w:rPr>
          <w:t xml:space="preserve">https://doi.org/10.1093/jae/ejx027</w:t>
        </w:r>
      </w:hyperlink>
      <w:r>
        <w:t xml:space="preserve">.</w:t>
      </w:r>
    </w:p>
    <w:bookmarkEnd w:id="185"/>
    <w:bookmarkStart w:id="187"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86">
        <w:r>
          <w:rPr>
            <w:rStyle w:val="Hyperlink"/>
          </w:rPr>
          <w:t xml:space="preserve">https://doi.org/10.1257/jep.30.4.171</w:t>
        </w:r>
      </w:hyperlink>
      <w:r>
        <w:t xml:space="preserve">.</w:t>
      </w:r>
    </w:p>
    <w:bookmarkEnd w:id="187"/>
    <w:bookmarkStart w:id="189"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88">
        <w:r>
          <w:rPr>
            <w:rStyle w:val="Hyperlink"/>
          </w:rPr>
          <w:t xml:space="preserve">https://doi.org/10.1002/jae.3950100404</w:t>
        </w:r>
      </w:hyperlink>
      <w:r>
        <w:t xml:space="preserve">.</w:t>
      </w:r>
    </w:p>
    <w:bookmarkEnd w:id="189"/>
    <w:bookmarkStart w:id="191"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90">
        <w:r>
          <w:rPr>
            <w:rStyle w:val="Hyperlink"/>
          </w:rPr>
          <w:t xml:space="preserve">https://doi.org/10.1080/01431161.2017.1342050</w:t>
        </w:r>
      </w:hyperlink>
      <w:r>
        <w:t xml:space="preserve">.</w:t>
      </w:r>
    </w:p>
    <w:bookmarkEnd w:id="191"/>
    <w:bookmarkStart w:id="193"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92">
        <w:r>
          <w:rPr>
            <w:rStyle w:val="Hyperlink"/>
          </w:rPr>
          <w:t xml:space="preserve">https://doi.org/10.1002/jae.963</w:t>
        </w:r>
      </w:hyperlink>
      <w:r>
        <w:t xml:space="preserve">.</w:t>
      </w:r>
    </w:p>
    <w:bookmarkEnd w:id="193"/>
    <w:bookmarkStart w:id="195"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94">
        <w:r>
          <w:rPr>
            <w:rStyle w:val="Hyperlink"/>
          </w:rPr>
          <w:t xml:space="preserve">https://doi.org/10.1007/s00168-010-0384-6</w:t>
        </w:r>
      </w:hyperlink>
      <w:r>
        <w:t xml:space="preserve">.</w:t>
      </w:r>
    </w:p>
    <w:bookmarkEnd w:id="195"/>
    <w:bookmarkStart w:id="197" w:name="ref-gennaioli_etal_growth_regions"/>
    <w:p>
      <w:pPr>
        <w:pStyle w:val="Bibliography"/>
      </w:pPr>
      <w:r>
        <w:t xml:space="preserve">Gennaioli, Nicola, Rafael La Porta, Florencio Lopez-de-Silanes, and Andrei Shleifer. 2014.</w:t>
      </w:r>
      <w:r>
        <w:t xml:space="preserve"> </w:t>
      </w:r>
      <w:r>
        <w:t xml:space="preserve">“Growth in Regions.”</w:t>
      </w:r>
      <w:r>
        <w:t xml:space="preserve"> </w:t>
      </w:r>
      <w:r>
        <w:rPr>
          <w:i/>
          <w:iCs/>
        </w:rPr>
        <w:t xml:space="preserve">Journal of Economic Growth</w:t>
      </w:r>
      <w:r>
        <w:t xml:space="preserve"> </w:t>
      </w:r>
      <w:r>
        <w:t xml:space="preserve">19 (3): 259–309.</w:t>
      </w:r>
      <w:r>
        <w:t xml:space="preserve"> </w:t>
      </w:r>
      <w:hyperlink r:id="rId196">
        <w:r>
          <w:rPr>
            <w:rStyle w:val="Hyperlink"/>
          </w:rPr>
          <w:t xml:space="preserve">https://doi.org/10.1007/s10887-014-9105-9</w:t>
        </w:r>
      </w:hyperlink>
      <w:r>
        <w:t xml:space="preserve">.</w:t>
      </w:r>
    </w:p>
    <w:bookmarkEnd w:id="197"/>
    <w:bookmarkStart w:id="199"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98">
        <w:r>
          <w:rPr>
            <w:rStyle w:val="Hyperlink"/>
          </w:rPr>
          <w:t xml:space="preserve">https://doi.org/10.1016/j.jdeveco.2020.102602</w:t>
        </w:r>
      </w:hyperlink>
      <w:r>
        <w:t xml:space="preserve">.</w:t>
      </w:r>
    </w:p>
    <w:bookmarkEnd w:id="199"/>
    <w:bookmarkStart w:id="201"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 </w:t>
      </w:r>
      <w:r>
        <w:t xml:space="preserve">57: 10677–93.</w:t>
      </w:r>
      <w:r>
        <w:t xml:space="preserve"> </w:t>
      </w:r>
      <w:hyperlink r:id="rId200">
        <w:r>
          <w:rPr>
            <w:rStyle w:val="Hyperlink"/>
          </w:rPr>
          <w:t xml:space="preserve">https://doi.org/10.1080/00036846.2024.2439583</w:t>
        </w:r>
      </w:hyperlink>
      <w:r>
        <w:t xml:space="preserve">.</w:t>
      </w:r>
    </w:p>
    <w:bookmarkEnd w:id="201"/>
    <w:bookmarkStart w:id="203"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202">
        <w:r>
          <w:rPr>
            <w:rStyle w:val="Hyperlink"/>
          </w:rPr>
          <w:t xml:space="preserve">https://doi.org/10.1016/j.rse.2017.06.031</w:t>
        </w:r>
      </w:hyperlink>
      <w:r>
        <w:t xml:space="preserve">.</w:t>
      </w:r>
    </w:p>
    <w:bookmarkEnd w:id="203"/>
    <w:bookmarkStart w:id="205" w:name="ref-hasan_etal_backward_districts"/>
    <w:p>
      <w:pPr>
        <w:pStyle w:val="Bibliography"/>
      </w:pPr>
      <w:r>
        <w:t xml:space="preserve">Hasan, Rana, Yi Jiang, and Radine Michelle Rafols. 2021.</w:t>
      </w:r>
      <w:r>
        <w:t xml:space="preserve"> </w:t>
      </w:r>
      <w:r>
        <w:t xml:space="preserve">“Place-Based Preferential Tax Policy and Industrial Development: Evidence from</w:t>
      </w:r>
      <w:r>
        <w:t xml:space="preserve"> </w:t>
      </w:r>
      <w:r>
        <w:t xml:space="preserve">India</w:t>
      </w:r>
      <w:r>
        <w:t xml:space="preserve">’s Program on Industrially Backward Districts.”</w:t>
      </w:r>
      <w:r>
        <w:t xml:space="preserve"> </w:t>
      </w:r>
      <w:r>
        <w:rPr>
          <w:i/>
          <w:iCs/>
        </w:rPr>
        <w:t xml:space="preserve">Journal of Development Economics</w:t>
      </w:r>
      <w:r>
        <w:t xml:space="preserve"> </w:t>
      </w:r>
      <w:r>
        <w:t xml:space="preserve">150: 102621.</w:t>
      </w:r>
      <w:r>
        <w:t xml:space="preserve"> </w:t>
      </w:r>
      <w:hyperlink r:id="rId204">
        <w:r>
          <w:rPr>
            <w:rStyle w:val="Hyperlink"/>
          </w:rPr>
          <w:t xml:space="preserve">https://doi.org/10.1016/j.jdeveco.2020.102621</w:t>
        </w:r>
      </w:hyperlink>
      <w:r>
        <w:t xml:space="preserve">.</w:t>
      </w:r>
    </w:p>
    <w:bookmarkEnd w:id="205"/>
    <w:bookmarkStart w:id="207"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206">
        <w:r>
          <w:rPr>
            <w:rStyle w:val="Hyperlink"/>
          </w:rPr>
          <w:t xml:space="preserve">https://doi.org/10.1257/aer.102.2.994</w:t>
        </w:r>
      </w:hyperlink>
      <w:r>
        <w:t xml:space="preserve">.</w:t>
      </w:r>
    </w:p>
    <w:bookmarkEnd w:id="207"/>
    <w:bookmarkStart w:id="209" w:name="ref-isla_castillo_etal_eu_cohesion"/>
    <w:p>
      <w:pPr>
        <w:pStyle w:val="Bibliography"/>
      </w:pPr>
      <w:r>
        <w:t xml:space="preserve">Isla-Castillo, Fernando, Anna Garashchuk, and Pablo Podadera-Rivera. 2024.</w:t>
      </w:r>
      <w:r>
        <w:t xml:space="preserve"> </w:t>
      </w:r>
      <w:r>
        <w:t xml:space="preserve">“Cross-Sectional and Spatial Panel Data Analysis of Territorial Economic Cohesion in the</w:t>
      </w:r>
      <w:r>
        <w:t xml:space="preserve"> </w:t>
      </w:r>
      <w:r>
        <w:t xml:space="preserve">European Union</w:t>
      </w:r>
      <w:r>
        <w:t xml:space="preserve"> </w:t>
      </w:r>
      <w:r>
        <w:t xml:space="preserve">Regions Based on Convergence Approach: From 2 to 8 Per Cent?”</w:t>
      </w:r>
      <w:r>
        <w:t xml:space="preserve"> </w:t>
      </w:r>
      <w:r>
        <w:rPr>
          <w:i/>
          <w:iCs/>
        </w:rPr>
        <w:t xml:space="preserve">Socio-Economic Planning Sciences</w:t>
      </w:r>
      <w:r>
        <w:t xml:space="preserve"> </w:t>
      </w:r>
      <w:r>
        <w:t xml:space="preserve">95: 102012.</w:t>
      </w:r>
      <w:r>
        <w:t xml:space="preserve"> </w:t>
      </w:r>
      <w:hyperlink r:id="rId208">
        <w:r>
          <w:rPr>
            <w:rStyle w:val="Hyperlink"/>
          </w:rPr>
          <w:t xml:space="preserve">https://doi.org/10.1016/j.seps.2024.102012</w:t>
        </w:r>
      </w:hyperlink>
      <w:r>
        <w:t xml:space="preserve">.</w:t>
      </w:r>
    </w:p>
    <w:bookmarkEnd w:id="209"/>
    <w:bookmarkStart w:id="211"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210">
        <w:r>
          <w:rPr>
            <w:rStyle w:val="Hyperlink"/>
          </w:rPr>
          <w:t xml:space="preserve">https://doi.org/10.1126/science.aaf7894</w:t>
        </w:r>
      </w:hyperlink>
      <w:r>
        <w:t xml:space="preserve">.</w:t>
      </w:r>
    </w:p>
    <w:bookmarkEnd w:id="211"/>
    <w:bookmarkStart w:id="213"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212">
        <w:r>
          <w:rPr>
            <w:rStyle w:val="Hyperlink"/>
          </w:rPr>
          <w:t xml:space="preserve">https://doi.org/10.1086/725058</w:t>
        </w:r>
      </w:hyperlink>
      <w:r>
        <w:t xml:space="preserve">.</w:t>
      </w:r>
    </w:p>
    <w:bookmarkEnd w:id="213"/>
    <w:bookmarkStart w:id="215" w:name="ref-jhamb_africa_nightlights"/>
    <w:p>
      <w:pPr>
        <w:pStyle w:val="Bibliography"/>
      </w:pPr>
      <w:r>
        <w:t xml:space="preserve">Jhamb, Prachi, Susana Ferreira, Patrick Stephens, Mekala Sundaram, and Jonathan Wilson. 2025.</w:t>
      </w:r>
      <w:r>
        <w:t xml:space="preserve"> </w:t>
      </w:r>
      <w:r>
        <w:t xml:space="preserve">“Shedding Light on Development: Leveraging the New Nightlights Data to Measure Economic Progress.”</w:t>
      </w:r>
      <w:r>
        <w:t xml:space="preserve"> </w:t>
      </w:r>
      <w:r>
        <w:rPr>
          <w:i/>
          <w:iCs/>
        </w:rPr>
        <w:t xml:space="preserve">PLOS ONE</w:t>
      </w:r>
      <w:r>
        <w:t xml:space="preserve"> </w:t>
      </w:r>
      <w:r>
        <w:t xml:space="preserve">20 (2): e0318482.</w:t>
      </w:r>
      <w:r>
        <w:t xml:space="preserve"> </w:t>
      </w:r>
      <w:hyperlink r:id="rId214">
        <w:r>
          <w:rPr>
            <w:rStyle w:val="Hyperlink"/>
          </w:rPr>
          <w:t xml:space="preserve">https://doi.org/10.1371/journal.pone.0318482</w:t>
        </w:r>
      </w:hyperlink>
      <w:r>
        <w:t xml:space="preserve">.</w:t>
      </w:r>
    </w:p>
    <w:bookmarkEnd w:id="215"/>
    <w:bookmarkStart w:id="217" w:name="ref-kacou_africa_convergence"/>
    <w:p>
      <w:pPr>
        <w:pStyle w:val="Bibliography"/>
      </w:pPr>
      <w:r>
        <w:t xml:space="preserve">Kacou, Kacou Yves Thierry. 2022.</w:t>
      </w:r>
      <w:r>
        <w:t xml:space="preserve"> </w:t>
      </w:r>
      <w:r>
        <w:t xml:space="preserve">“Interregional Inequality in Africa, Convergence, and Multiple Equilibria: Evidence from Nighttime Light Data.”</w:t>
      </w:r>
      <w:r>
        <w:t xml:space="preserve"> </w:t>
      </w:r>
      <w:r>
        <w:rPr>
          <w:i/>
          <w:iCs/>
        </w:rPr>
        <w:t xml:space="preserve">Review of Development Economics</w:t>
      </w:r>
      <w:r>
        <w:t xml:space="preserve"> </w:t>
      </w:r>
      <w:r>
        <w:t xml:space="preserve">26 (2): 918–40.</w:t>
      </w:r>
      <w:r>
        <w:t xml:space="preserve"> </w:t>
      </w:r>
      <w:hyperlink r:id="rId216">
        <w:r>
          <w:rPr>
            <w:rStyle w:val="Hyperlink"/>
          </w:rPr>
          <w:t xml:space="preserve">https://doi.org/10.1111/rode.12851</w:t>
        </w:r>
      </w:hyperlink>
      <w:r>
        <w:t xml:space="preserve">.</w:t>
      </w:r>
    </w:p>
    <w:bookmarkEnd w:id="217"/>
    <w:bookmarkStart w:id="219"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218">
        <w:r>
          <w:rPr>
            <w:rStyle w:val="Hyperlink"/>
          </w:rPr>
          <w:t xml:space="preserve">https://doi.org/10.1016/j.worlddev.2014.08.017</w:t>
        </w:r>
      </w:hyperlink>
      <w:r>
        <w:t xml:space="preserve">.</w:t>
      </w:r>
    </w:p>
    <w:bookmarkEnd w:id="219"/>
    <w:bookmarkStart w:id="221" w:name="ref-theara_etal_cambodia_poverty"/>
    <w:p>
      <w:pPr>
        <w:pStyle w:val="Bibliography"/>
      </w:pPr>
      <w:r>
        <w:t xml:space="preserve">Khoun, Theara, Ate Poortinga, Nyein Soe Thwal, Iván González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(3): 1593–1618.</w:t>
      </w:r>
      <w:r>
        <w:t xml:space="preserve"> </w:t>
      </w:r>
      <w:hyperlink r:id="rId220">
        <w:r>
          <w:rPr>
            <w:rStyle w:val="Hyperlink"/>
          </w:rPr>
          <w:t xml:space="preserve">https://doi.org/10.1007/s11205-025-03718-3</w:t>
        </w:r>
      </w:hyperlink>
      <w:r>
        <w:t xml:space="preserve">.</w:t>
      </w:r>
    </w:p>
    <w:bookmarkEnd w:id="221"/>
    <w:bookmarkStart w:id="222"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222"/>
    <w:bookmarkStart w:id="224"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223">
        <w:r>
          <w:rPr>
            <w:rStyle w:val="Hyperlink"/>
          </w:rPr>
          <w:t xml:space="preserve">https://doi.org/10.1093/comjnl/27.2.97</w:t>
        </w:r>
      </w:hyperlink>
      <w:r>
        <w:t xml:space="preserve">.</w:t>
      </w:r>
    </w:p>
    <w:bookmarkEnd w:id="224"/>
    <w:bookmarkStart w:id="226" w:name="ref-lesage_pace_spatial_econometrics"/>
    <w:p>
      <w:pPr>
        <w:pStyle w:val="Bibliography"/>
      </w:pPr>
      <w:r>
        <w:t xml:space="preserve">LeSage, James P., and R. Kelley Pace. 2009.</w:t>
      </w:r>
      <w:r>
        <w:t xml:space="preserve"> </w:t>
      </w:r>
      <w:r>
        <w:rPr>
          <w:i/>
          <w:iCs/>
        </w:rPr>
        <w:t xml:space="preserve">Introduction to Spatial Econometrics</w:t>
      </w:r>
      <w:r>
        <w:t xml:space="preserve">.</w:t>
      </w:r>
      <w:r>
        <w:t xml:space="preserve"> </w:t>
      </w:r>
      <w:r>
        <w:t xml:space="preserve">Chapman and Hall/CRC</w:t>
      </w:r>
      <w:r>
        <w:t xml:space="preserve">.</w:t>
      </w:r>
      <w:r>
        <w:t xml:space="preserve"> </w:t>
      </w:r>
      <w:hyperlink r:id="rId225">
        <w:r>
          <w:rPr>
            <w:rStyle w:val="Hyperlink"/>
          </w:rPr>
          <w:t xml:space="preserve">https://doi.org/10.1201/9781420064254</w:t>
        </w:r>
      </w:hyperlink>
      <w:r>
        <w:t xml:space="preserve">.</w:t>
      </w:r>
    </w:p>
    <w:bookmarkEnd w:id="226"/>
    <w:bookmarkStart w:id="228"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227">
        <w:r>
          <w:rPr>
            <w:rStyle w:val="Hyperlink"/>
          </w:rPr>
          <w:t xml:space="preserve">https://doi.org/10.1016/j.euroecorev.2016.11.009</w:t>
        </w:r>
      </w:hyperlink>
      <w:r>
        <w:t xml:space="preserve">.</w:t>
      </w:r>
    </w:p>
    <w:bookmarkEnd w:id="228"/>
    <w:bookmarkStart w:id="230"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229">
        <w:r>
          <w:rPr>
            <w:rStyle w:val="Hyperlink"/>
          </w:rPr>
          <w:t xml:space="preserve">https://doi.org/10.1038/s41597-020-0510-y</w:t>
        </w:r>
      </w:hyperlink>
      <w:r>
        <w:t xml:space="preserve">.</w:t>
      </w:r>
    </w:p>
    <w:bookmarkEnd w:id="230"/>
    <w:bookmarkStart w:id="232" w:name="ref-lolayekar_mukhopadhyay_india_spatial"/>
    <w:p>
      <w:pPr>
        <w:pStyle w:val="Bibliography"/>
      </w:pPr>
      <w:r>
        <w:t xml:space="preserve">Lolayekar, Aparna P., and Pranab Mukhopadhyay. 2019.</w:t>
      </w:r>
      <w:r>
        <w:t xml:space="preserve"> </w:t>
      </w:r>
      <w:r>
        <w:t xml:space="preserve">“Spatial Dependence and Regional Income Convergence in</w:t>
      </w:r>
      <w:r>
        <w:t xml:space="preserve"> </w:t>
      </w:r>
      <w:r>
        <w:t xml:space="preserve">India</w:t>
      </w:r>
      <w:r>
        <w:t xml:space="preserve"> </w:t>
      </w:r>
      <w:r>
        <w:t xml:space="preserve">(1981–2010).”</w:t>
      </w:r>
      <w:r>
        <w:t xml:space="preserve"> </w:t>
      </w:r>
      <w:r>
        <w:rPr>
          <w:i/>
          <w:iCs/>
        </w:rPr>
        <w:t xml:space="preserve">GeoJournal</w:t>
      </w:r>
      <w:r>
        <w:t xml:space="preserve"> </w:t>
      </w:r>
      <w:r>
        <w:t xml:space="preserve">84 (4): 851–64.</w:t>
      </w:r>
      <w:r>
        <w:t xml:space="preserve"> </w:t>
      </w:r>
      <w:hyperlink r:id="rId231">
        <w:r>
          <w:rPr>
            <w:rStyle w:val="Hyperlink"/>
          </w:rPr>
          <w:t xml:space="preserve">https://doi.org/10.1007/s10708-018-9893-0</w:t>
        </w:r>
      </w:hyperlink>
      <w:r>
        <w:t xml:space="preserve">.</w:t>
      </w:r>
    </w:p>
    <w:bookmarkEnd w:id="232"/>
    <w:bookmarkStart w:id="234" w:name="ref-mccallum_unlit_settlements"/>
    <w:p>
      <w:pPr>
        <w:pStyle w:val="Bibliography"/>
      </w:pPr>
      <w:r>
        <w:t xml:space="preserve">McCallum, Ian, Christopher Conrad Maximillian Kyba, Juan Carlos Laso Bayas, Elena Moltchanova, Matt Cooper, Jesus Crespo Cuaresma, Shonali Pachauri, et al. 2022.</w:t>
      </w:r>
      <w:r>
        <w:t xml:space="preserve"> </w:t>
      </w:r>
      <w:r>
        <w:t xml:space="preserve">“Estimating Global Economic Well-Being with Unlit Settlements.”</w:t>
      </w:r>
      <w:r>
        <w:t xml:space="preserve"> </w:t>
      </w:r>
      <w:r>
        <w:rPr>
          <w:i/>
          <w:iCs/>
        </w:rPr>
        <w:t xml:space="preserve">Nature Communications</w:t>
      </w:r>
      <w:r>
        <w:t xml:space="preserve"> </w:t>
      </w:r>
      <w:r>
        <w:t xml:space="preserve">13 (1).</w:t>
      </w:r>
      <w:r>
        <w:t xml:space="preserve"> </w:t>
      </w:r>
      <w:hyperlink r:id="rId233">
        <w:r>
          <w:rPr>
            <w:rStyle w:val="Hyperlink"/>
          </w:rPr>
          <w:t xml:space="preserve">https://doi.org/10.1038/s41467-022-30099-9</w:t>
        </w:r>
      </w:hyperlink>
      <w:r>
        <w:t xml:space="preserve">.</w:t>
      </w:r>
    </w:p>
    <w:bookmarkEnd w:id="234"/>
    <w:bookmarkStart w:id="236"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235">
        <w:r>
          <w:rPr>
            <w:rStyle w:val="Hyperlink"/>
          </w:rPr>
          <w:t xml:space="preserve">https://doi.org/10.1371/journal.pone.0139779</w:t>
        </w:r>
      </w:hyperlink>
      <w:r>
        <w:t xml:space="preserve">.</w:t>
      </w:r>
    </w:p>
    <w:bookmarkEnd w:id="236"/>
    <w:bookmarkStart w:id="238" w:name="ref-min_etal_electrification"/>
    <w:p>
      <w:pPr>
        <w:pStyle w:val="Bibliography"/>
      </w:pPr>
      <w:r>
        <w:t xml:space="preserve">Min, Brian, Kwawu Mensan Gaba, Ousmane Fall Sarr, and Alassane Agalassou. 2013.</w:t>
      </w:r>
      <w:r>
        <w:t xml:space="preserve"> </w:t>
      </w:r>
      <w:r>
        <w:t xml:space="preserve">“Detection of Rural Electrification in Africa Using DMSP-OLS Night Lights Imagery.”</w:t>
      </w:r>
      <w:r>
        <w:t xml:space="preserve"> </w:t>
      </w:r>
      <w:r>
        <w:rPr>
          <w:i/>
          <w:iCs/>
        </w:rPr>
        <w:t xml:space="preserve">International Journal of Remote Sensing</w:t>
      </w:r>
      <w:r>
        <w:t xml:space="preserve"> </w:t>
      </w:r>
      <w:r>
        <w:t xml:space="preserve">34 (22): 8118–41.</w:t>
      </w:r>
      <w:r>
        <w:t xml:space="preserve"> </w:t>
      </w:r>
      <w:hyperlink r:id="rId237">
        <w:r>
          <w:rPr>
            <w:rStyle w:val="Hyperlink"/>
          </w:rPr>
          <w:t xml:space="preserve">https://doi.org/10.1080/01431161.2013.833358</w:t>
        </w:r>
      </w:hyperlink>
      <w:r>
        <w:t xml:space="preserve">.</w:t>
      </w:r>
    </w:p>
    <w:bookmarkEnd w:id="238"/>
    <w:bookmarkStart w:id="240" w:name="ref-miranti_mendez_indonesia"/>
    <w:p>
      <w:pPr>
        <w:pStyle w:val="Bibliography"/>
      </w:pPr>
      <w:r>
        <w:t xml:space="preserve">Miranti, Ragdad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239">
        <w:r>
          <w:rPr>
            <w:rStyle w:val="Hyperlink"/>
          </w:rPr>
          <w:t xml:space="preserve">https://doi.org/10.1080/00074918.2022.2071415</w:t>
        </w:r>
      </w:hyperlink>
      <w:r>
        <w:t xml:space="preserve">.</w:t>
      </w:r>
    </w:p>
    <w:bookmarkEnd w:id="240"/>
    <w:bookmarkStart w:id="242"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241">
        <w:r>
          <w:rPr>
            <w:rStyle w:val="Hyperlink"/>
          </w:rPr>
          <w:t xml:space="preserve">https://doi.org/10.2307/2332142</w:t>
        </w:r>
      </w:hyperlink>
      <w:r>
        <w:t xml:space="preserve">.</w:t>
      </w:r>
    </w:p>
    <w:bookmarkEnd w:id="242"/>
    <w:bookmarkStart w:id="244" w:name="ref-mendez_patnaik_notebook"/>
    <w:p>
      <w:pPr>
        <w:pStyle w:val="Bibliography"/>
      </w:pPr>
      <w:r>
        <w:t xml:space="preserve">Patnaik, Ayush, and Carlos Mendez. 2024.</w:t>
      </w:r>
      <w:r>
        <w:t xml:space="preserve"> </w:t>
      </w:r>
      <w:r>
        <w:t xml:space="preserve">“Exploring Economic Activity from Outer Space: A</w:t>
      </w:r>
      <w:r>
        <w:t xml:space="preserve"> </w:t>
      </w:r>
      <w:r>
        <w:t xml:space="preserve">Python</w:t>
      </w:r>
      <w:r>
        <w:t xml:space="preserve"> </w:t>
      </w:r>
      <w:r>
        <w:t xml:space="preserve">Notebook for Processing and Analyzing Satellite Nighttime Lights.”</w:t>
      </w:r>
      <w:r>
        <w:t xml:space="preserve"> </w:t>
      </w:r>
      <w:r>
        <w:rPr>
          <w:i/>
          <w:iCs/>
        </w:rPr>
        <w:t xml:space="preserve">REGION</w:t>
      </w:r>
      <w:r>
        <w:t xml:space="preserve"> </w:t>
      </w:r>
      <w:r>
        <w:t xml:space="preserve">11 (1): 79–109.</w:t>
      </w:r>
      <w:r>
        <w:t xml:space="preserve"> </w:t>
      </w:r>
      <w:hyperlink r:id="rId243">
        <w:r>
          <w:rPr>
            <w:rStyle w:val="Hyperlink"/>
          </w:rPr>
          <w:t xml:space="preserve">https://doi.org/10.18335/region.v11i1.493</w:t>
        </w:r>
      </w:hyperlink>
      <w:r>
        <w:t xml:space="preserve">.</w:t>
      </w:r>
    </w:p>
    <w:bookmarkEnd w:id="244"/>
    <w:bookmarkStart w:id="246"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245">
        <w:r>
          <w:rPr>
            <w:rStyle w:val="Hyperlink"/>
          </w:rPr>
          <w:t xml:space="preserve">https://doi.org/10.1126/science.1213847</w:t>
        </w:r>
      </w:hyperlink>
      <w:r>
        <w:t xml:space="preserve">.</w:t>
      </w:r>
    </w:p>
    <w:bookmarkEnd w:id="246"/>
    <w:bookmarkStart w:id="248"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247">
        <w:r>
          <w:rPr>
            <w:rStyle w:val="Hyperlink"/>
          </w:rPr>
          <w:t xml:space="preserve">https://doi.org/10.1093/qje/qjw003</w:t>
        </w:r>
      </w:hyperlink>
      <w:r>
        <w:t xml:space="preserve">.</w:t>
      </w:r>
    </w:p>
    <w:bookmarkEnd w:id="248"/>
    <w:bookmarkStart w:id="250"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The Economic Journal</w:t>
      </w:r>
      <w:r>
        <w:t xml:space="preserve"> </w:t>
      </w:r>
      <w:r>
        <w:t xml:space="preserve">106 (437): 1045–55.</w:t>
      </w:r>
      <w:r>
        <w:t xml:space="preserve"> </w:t>
      </w:r>
      <w:hyperlink r:id="rId249">
        <w:r>
          <w:rPr>
            <w:rStyle w:val="Hyperlink"/>
          </w:rPr>
          <w:t xml:space="preserve">https://doi.org/10.2307/2235377</w:t>
        </w:r>
      </w:hyperlink>
      <w:r>
        <w:t xml:space="preserve">.</w:t>
      </w:r>
    </w:p>
    <w:bookmarkEnd w:id="250"/>
    <w:bookmarkStart w:id="252" w:name="ref-rey_spatial_inequality"/>
    <w:p>
      <w:pPr>
        <w:pStyle w:val="Bibliography"/>
      </w:pPr>
      <w:r>
        <w:t xml:space="preserve">Rey, Sergio J. 2025.</w:t>
      </w:r>
      <w:r>
        <w:t xml:space="preserve"> </w:t>
      </w:r>
      <w:r>
        <w:t xml:space="preserve">“Spatial Inequality.”</w:t>
      </w:r>
      <w:r>
        <w:t xml:space="preserve"> </w:t>
      </w:r>
      <w:r>
        <w:rPr>
          <w:i/>
          <w:iCs/>
        </w:rPr>
        <w:t xml:space="preserve">REGION</w:t>
      </w:r>
      <w:r>
        <w:t xml:space="preserve"> </w:t>
      </w:r>
      <w:r>
        <w:t xml:space="preserve">12 (1): 19–45.</w:t>
      </w:r>
      <w:r>
        <w:t xml:space="preserve"> </w:t>
      </w:r>
      <w:hyperlink r:id="rId251">
        <w:r>
          <w:rPr>
            <w:rStyle w:val="Hyperlink"/>
          </w:rPr>
          <w:t xml:space="preserve">https://doi.org/10.18335/region.v12i1.563</w:t>
        </w:r>
      </w:hyperlink>
      <w:r>
        <w:t xml:space="preserve">.</w:t>
      </w:r>
    </w:p>
    <w:bookmarkEnd w:id="252"/>
    <w:bookmarkStart w:id="254"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253">
        <w:r>
          <w:rPr>
            <w:rStyle w:val="Hyperlink"/>
          </w:rPr>
          <w:t xml:space="preserve">https://doi.org/10.1080/00343409950122945</w:t>
        </w:r>
      </w:hyperlink>
      <w:r>
        <w:t xml:space="preserve">.</w:t>
      </w:r>
    </w:p>
    <w:bookmarkEnd w:id="254"/>
    <w:bookmarkStart w:id="256" w:name="ref-rowe_etal_notebooks_region"/>
    <w:p>
      <w:pPr>
        <w:pStyle w:val="Bibliography"/>
      </w:pPr>
      <w:r>
        <w:t xml:space="preserve">Rowe, Francisco, Gunther Maier, Daniel Arribas-Bel, and Sergio J. Rey. 2020.</w:t>
      </w:r>
      <w:r>
        <w:t xml:space="preserve"> </w:t>
      </w:r>
      <w:r>
        <w:t xml:space="preserve">“The Potential of Notebooks for Scientific Publication, Reproducibility and Dissemination.”</w:t>
      </w:r>
      <w:r>
        <w:t xml:space="preserve"> </w:t>
      </w:r>
      <w:r>
        <w:rPr>
          <w:i/>
          <w:iCs/>
        </w:rPr>
        <w:t xml:space="preserve">REGION</w:t>
      </w:r>
      <w:r>
        <w:t xml:space="preserve"> </w:t>
      </w:r>
      <w:r>
        <w:t xml:space="preserve">7 (3): E1–5.</w:t>
      </w:r>
      <w:r>
        <w:t xml:space="preserve"> </w:t>
      </w:r>
      <w:hyperlink r:id="rId255">
        <w:r>
          <w:rPr>
            <w:rStyle w:val="Hyperlink"/>
          </w:rPr>
          <w:t xml:space="preserve">https://doi.org/10.18335/region.v7i3.357</w:t>
        </w:r>
      </w:hyperlink>
      <w:r>
        <w:t xml:space="preserve">.</w:t>
      </w:r>
    </w:p>
    <w:bookmarkEnd w:id="256"/>
    <w:bookmarkStart w:id="258" w:name="ref-salaimartin_regional_cohesion"/>
    <w:p>
      <w:pPr>
        <w:pStyle w:val="Bibliography"/>
      </w:pPr>
      <w:r>
        <w:t xml:space="preserve">Sala-i-Martin, Xavier X. 1996.</w:t>
      </w:r>
      <w:r>
        <w:t xml:space="preserve"> </w:t>
      </w:r>
      <w:r>
        <w:t xml:space="preserve">“Regional Cohesion: Evidence and Theories of Regional Growth and Convergence.”</w:t>
      </w:r>
      <w:r>
        <w:t xml:space="preserve"> </w:t>
      </w:r>
      <w:r>
        <w:rPr>
          <w:i/>
          <w:iCs/>
        </w:rPr>
        <w:t xml:space="preserve">European Economic Review</w:t>
      </w:r>
      <w:r>
        <w:t xml:space="preserve"> </w:t>
      </w:r>
      <w:r>
        <w:t xml:space="preserve">40 (6): 1325–52.</w:t>
      </w:r>
      <w:r>
        <w:t xml:space="preserve"> </w:t>
      </w:r>
      <w:hyperlink r:id="rId257">
        <w:r>
          <w:rPr>
            <w:rStyle w:val="Hyperlink"/>
          </w:rPr>
          <w:t xml:space="preserve">https://doi.org/10.1016/0014-2921(95)00029-1</w:t>
        </w:r>
      </w:hyperlink>
      <w:r>
        <w:t xml:space="preserve">.</w:t>
      </w:r>
    </w:p>
    <w:bookmarkEnd w:id="258"/>
    <w:bookmarkStart w:id="260" w:name="X3aa37239e680d6f1988fa1ee8ed5804c136afe7"/>
    <w:p>
      <w:pPr>
        <w:pStyle w:val="Bibliography"/>
      </w:pPr>
      <w:r>
        <w:t xml:space="preserve">Santos-Marquez, Felipe, Anang Budi Gunawan, and Carlos Mendez. 2022.</w:t>
      </w:r>
      <w:r>
        <w:t xml:space="preserve"> </w:t>
      </w:r>
      <w:r>
        <w:t xml:space="preserve">“Regional Income Disparities, Distributional Convergence, and Spatial Effects: Evidence from</w:t>
      </w:r>
      <w:r>
        <w:t xml:space="preserve"> </w:t>
      </w:r>
      <w:r>
        <w:t xml:space="preserve">Indonesian</w:t>
      </w:r>
      <w:r>
        <w:t xml:space="preserve"> </w:t>
      </w:r>
      <w:r>
        <w:t xml:space="preserve">Regions 2010–2017.”</w:t>
      </w:r>
      <w:r>
        <w:t xml:space="preserve"> </w:t>
      </w:r>
      <w:r>
        <w:rPr>
          <w:i/>
          <w:iCs/>
        </w:rPr>
        <w:t xml:space="preserve">GeoJournal</w:t>
      </w:r>
      <w:r>
        <w:t xml:space="preserve"> </w:t>
      </w:r>
      <w:r>
        <w:t xml:space="preserve">87 (3): 2373–91.</w:t>
      </w:r>
      <w:r>
        <w:t xml:space="preserve"> </w:t>
      </w:r>
      <w:hyperlink r:id="rId259">
        <w:r>
          <w:rPr>
            <w:rStyle w:val="Hyperlink"/>
          </w:rPr>
          <w:t xml:space="preserve">https://doi.org/10.1007/s10708-021-10377-7</w:t>
        </w:r>
      </w:hyperlink>
      <w:r>
        <w:t xml:space="preserve">.</w:t>
      </w:r>
    </w:p>
    <w:bookmarkEnd w:id="260"/>
    <w:bookmarkStart w:id="262" w:name="ref-shenoy_place_based_policy"/>
    <w:p>
      <w:pPr>
        <w:pStyle w:val="Bibliography"/>
      </w:pPr>
      <w:r>
        <w:t xml:space="preserve">Shenoy, Ajay. 2018.</w:t>
      </w:r>
      <w:r>
        <w:t xml:space="preserve"> </w:t>
      </w:r>
      <w:r>
        <w:t xml:space="preserve">“Regional Development Through Place-Based Policies: Evidence from a Spatial Discontinuity.”</w:t>
      </w:r>
      <w:r>
        <w:t xml:space="preserve"> </w:t>
      </w:r>
      <w:r>
        <w:rPr>
          <w:i/>
          <w:iCs/>
        </w:rPr>
        <w:t xml:space="preserve">Journal of Development Economics</w:t>
      </w:r>
      <w:r>
        <w:t xml:space="preserve"> </w:t>
      </w:r>
      <w:r>
        <w:t xml:space="preserve">130: 173–89.</w:t>
      </w:r>
      <w:r>
        <w:t xml:space="preserve"> </w:t>
      </w:r>
      <w:hyperlink r:id="rId261">
        <w:r>
          <w:rPr>
            <w:rStyle w:val="Hyperlink"/>
          </w:rPr>
          <w:t xml:space="preserve">https://doi.org/10.1016/j.jdeveco.2017.10.001</w:t>
        </w:r>
      </w:hyperlink>
      <w:r>
        <w:t xml:space="preserve">.</w:t>
      </w:r>
    </w:p>
    <w:bookmarkEnd w:id="262"/>
    <w:bookmarkStart w:id="264"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263">
        <w:r>
          <w:rPr>
            <w:rStyle w:val="Hyperlink"/>
          </w:rPr>
          <w:t xml:space="preserve">https://doi.org/10.2307/1884513</w:t>
        </w:r>
      </w:hyperlink>
      <w:r>
        <w:t xml:space="preserve">.</w:t>
      </w:r>
    </w:p>
    <w:bookmarkEnd w:id="264"/>
    <w:bookmarkStart w:id="266" w:name="ref-hussein_etal_vietnam_ml"/>
    <w:p>
      <w:pPr>
        <w:pStyle w:val="Bibliography"/>
      </w:pPr>
      <w:r>
        <w:t xml:space="preserve">Suleiman, Hussein,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5.</w:t>
      </w:r>
      <w:r>
        <w:t xml:space="preserve"> </w:t>
      </w:r>
      <w:hyperlink r:id="rId265">
        <w:r>
          <w:rPr>
            <w:rStyle w:val="Hyperlink"/>
          </w:rPr>
          <w:t xml:space="preserve">https://doi.org/10.1007/s12076-025-00397-z</w:t>
        </w:r>
      </w:hyperlink>
      <w:r>
        <w:t xml:space="preserve">.</w:t>
      </w:r>
    </w:p>
    <w:bookmarkEnd w:id="266"/>
    <w:bookmarkStart w:id="268"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267">
        <w:r>
          <w:rPr>
            <w:rStyle w:val="Hyperlink"/>
          </w:rPr>
          <w:t xml:space="preserve">https://doi.org/10.1016/j.isprsjprs.2020.04.001</w:t>
        </w:r>
      </w:hyperlink>
      <w:r>
        <w:t xml:space="preserve">.</w:t>
      </w:r>
    </w:p>
    <w:bookmarkEnd w:id="268"/>
    <w:bookmarkStart w:id="270"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269">
        <w:r>
          <w:rPr>
            <w:rStyle w:val="Hyperlink"/>
          </w:rPr>
          <w:t xml:space="preserve">https://doi.org/10.1080/13547860.2022.2041286</w:t>
        </w:r>
      </w:hyperlink>
      <w:r>
        <w:t xml:space="preserve">.</w:t>
      </w:r>
    </w:p>
    <w:bookmarkEnd w:id="270"/>
    <w:bookmarkStart w:id="272"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271">
        <w:r>
          <w:rPr>
            <w:rStyle w:val="Hyperlink"/>
          </w:rPr>
          <w:t xml:space="preserve">https://doi.org/10.1111/polp.70050</w:t>
        </w:r>
      </w:hyperlink>
      <w:r>
        <w:t xml:space="preserve">.</w:t>
      </w:r>
    </w:p>
    <w:bookmarkEnd w:id="272"/>
    <w:bookmarkStart w:id="274" w:name="ref-ursavas_mendez_turkey"/>
    <w:p>
      <w:pPr>
        <w:pStyle w:val="Bibliography"/>
      </w:pPr>
      <w:r>
        <w:t xml:space="preserve">Ursavaş, Uğur,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273">
        <w:r>
          <w:rPr>
            <w:rStyle w:val="Hyperlink"/>
          </w:rPr>
          <w:t xml:space="preserve">https://doi.org/10.1007/s00168-022-01168-0</w:t>
        </w:r>
      </w:hyperlink>
      <w:r>
        <w:t xml:space="preserve">.</w:t>
      </w:r>
    </w:p>
    <w:bookmarkEnd w:id="274"/>
    <w:bookmarkStart w:id="276" w:name="ref-witmer_lights_conflict"/>
    <w:p>
      <w:pPr>
        <w:pStyle w:val="Bibliography"/>
      </w:pPr>
      <w:r>
        <w:t xml:space="preserve">Witmer, Frank D. W., and John O’Loughlin. 2011.</w:t>
      </w:r>
      <w:r>
        <w:t xml:space="preserve"> </w:t>
      </w:r>
      <w:r>
        <w:t xml:space="preserve">“Detecting the Effects of Wars in the Caucasus Regions of Russia and Georgia Using Radiometrically Normalized DMSP-OLS Nighttime Lights Imagery.”</w:t>
      </w:r>
      <w:r>
        <w:t xml:space="preserve"> </w:t>
      </w:r>
      <w:r>
        <w:rPr>
          <w:i/>
          <w:iCs/>
        </w:rPr>
        <w:t xml:space="preserve">GIScience &amp; Remote Sensing</w:t>
      </w:r>
      <w:r>
        <w:t xml:space="preserve"> </w:t>
      </w:r>
      <w:r>
        <w:t xml:space="preserve">48 (4): 478–500.</w:t>
      </w:r>
      <w:r>
        <w:t xml:space="preserve"> </w:t>
      </w:r>
      <w:hyperlink r:id="rId275">
        <w:r>
          <w:rPr>
            <w:rStyle w:val="Hyperlink"/>
          </w:rPr>
          <w:t xml:space="preserve">https://doi.org/10.2747/1548-1603.48.4.478</w:t>
        </w:r>
      </w:hyperlink>
      <w:r>
        <w:t xml:space="preserve">.</w:t>
      </w:r>
    </w:p>
    <w:bookmarkEnd w:id="276"/>
    <w:bookmarkEnd w:id="277"/>
    <w:bookmarkEnd w:id="2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Nighttime lights have been used in India to analyze the impact of public welfare programs</w:t>
      </w:r>
      <w:r>
        <w:t xml:space="preserve"> </w:t>
      </w:r>
      <w:r>
        <w:t xml:space="preserve">(Cook and Shah 2022)</w:t>
      </w:r>
      <w:r>
        <w:t xml:space="preserve">, the effects of colonial institutions</w:t>
      </w:r>
      <w:r>
        <w:t xml:space="preserve"> </w:t>
      </w:r>
      <w:r>
        <w:t xml:space="preserve">(Jha and Talathi 2024)</w:t>
      </w:r>
      <w:r>
        <w:t xml:space="preserve">, the impact of demonetization</w:t>
      </w:r>
      <w:r>
        <w:t xml:space="preserve"> </w:t>
      </w:r>
      <w:r>
        <w:t xml:space="preserve">(Chanda and Cook 2022)</w:t>
      </w:r>
      <w:r>
        <w:t xml:space="preserve">, and the effects of COVID-19</w:t>
      </w:r>
      <w:r>
        <w:t xml:space="preserve"> </w:t>
      </w:r>
      <w:r>
        <w:t xml:space="preserve">(Beyer, Jain, and Sinha 2023)</w:t>
      </w:r>
      <w:r>
        <w:t xml:space="preserve">.</w:t>
      </w:r>
    </w:p>
  </w:footnote>
  <w:footnote w:id="25">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half of the new districts were created in that manner.</w:t>
      </w:r>
      <w:r>
        <w:t xml:space="preserve"> </w:t>
      </w:r>
      <w:r>
        <w:t xml:space="preserve">The 73 districts not in our sample are those of Assam and Tripura, the union-territory districts outside Delhi, the eight by which the nine districts of Delhi are collapsed to one, and 28 multiple-origin districts and their parents.</w:t>
      </w:r>
    </w:p>
  </w:footnote>
  <w:footnote w:id="30">
    <w:p>
      <w:pPr>
        <w:pStyle w:val="FootnoteText"/>
      </w:pPr>
      <w:r>
        <w:rPr>
          <w:rStyle w:val="FootnoteReference"/>
        </w:rPr>
        <w:footnoteRef/>
      </w:r>
      <w:r>
        <w:t xml:space="preserve"> </w:t>
      </w:r>
      <w:r>
        <w:t xml:space="preserve">Geography and agro-climate comprise agricultural suitability, rainfall, temperature, a malaria ecology index, terrain ruggedness, latitude, and distance to the coast.</w:t>
      </w:r>
      <w:r>
        <w:t xml:space="preserve"> </w:t>
      </w:r>
      <w:r>
        <w:t xml:space="preserve">Demographics and human capital comprise the rural population share, log population density, the scheduled caste and scheduled tribe shares, the working population share, and the literate and higher-educated shares.</w:t>
      </w:r>
      <w:r>
        <w:t xml:space="preserve"> </w:t>
      </w:r>
      <w:r>
        <w:t xml:space="preserve">Infrastructure comprises the share of households with an electricity connection and the log number of households with access to paved roads.</w:t>
      </w:r>
    </w:p>
  </w:footnote>
  <w:footnote w:id="33">
    <w:p>
      <w:pPr>
        <w:pStyle w:val="FootnoteText"/>
      </w:pPr>
      <w:r>
        <w:rPr>
          <w:rStyle w:val="FootnoteReference"/>
        </w:rPr>
        <w:footnoteRef/>
      </w:r>
      <w:r>
        <w:t xml:space="preserve"> </w:t>
      </w:r>
      <w:r>
        <w:t xml:space="preserve">Values near zero suggest spatial randomness, and negative values indicate spatial dispersion, where dissimilar values are neighbors.</w:t>
      </w:r>
    </w:p>
  </w:footnote>
  <w:footnote w:id="34">
    <w:p>
      <w:pPr>
        <w:pStyle w:val="FootnoteText"/>
      </w:pPr>
      <w:r>
        <w:rPr>
          <w:rStyle w:val="FootnoteReference"/>
        </w:rPr>
        <w:footnoteRef/>
      </w:r>
      <w:r>
        <w:t xml:space="preserve"> </w:t>
      </w:r>
      <w:r>
        <w:t xml:space="preserve">The observed statistic is compared against a reference distribution generated by randomly reassigning values across locations.</w:t>
      </w:r>
    </w:p>
  </w:footnote>
  <w:footnote w:id="36">
    <w:p>
      <w:pPr>
        <w:pStyle w:val="FootnoteText"/>
      </w:pPr>
      <w:r>
        <w:rPr>
          <w:rStyle w:val="FootnoteReference"/>
        </w:rPr>
        <w:footnoteRef/>
      </w:r>
      <w:r>
        <w:t xml:space="preserve"> </w:t>
      </w:r>
      <w:r>
        <w:t xml:space="preserve">High-High (HH) indicates a high-value location surrounded by high-value neighbors, and Low-Low (LL) indicates a low-value location surrounded by low-value neighbors.</w:t>
      </w:r>
      <w:r>
        <w:t xml:space="preserve"> </w:t>
      </w:r>
      <w:r>
        <w:t xml:space="preserve">High-Low (HL) is a spatial outlier where a high-value location is surrounded by low-value neighbors, and Low-High (LH) is the opposite spatial outlier.</w:t>
      </w:r>
    </w:p>
  </w:footnote>
  <w:footnote w:id="37">
    <w:p>
      <w:pPr>
        <w:pStyle w:val="FootnoteText"/>
      </w:pPr>
      <w:r>
        <w:rPr>
          <w:rStyle w:val="FootnoteReference"/>
        </w:rPr>
        <w:footnoteRef/>
      </w:r>
      <w:r>
        <w:t xml:space="preserve"> </w:t>
      </w:r>
      <w:r>
        <w:t xml:space="preserve">Centroid distances are measured in the geographic coordinates of the source file rather than in a projected metric, and rebuilding the matrix from a metric projection leaves 96.4% of the neighbor links unchanged.</w:t>
      </w:r>
    </w:p>
  </w:footnote>
  <w:footnote w:id="42">
    <w:p>
      <w:pPr>
        <w:pStyle w:val="FootnoteText"/>
      </w:pPr>
      <w:r>
        <w:rPr>
          <w:rStyle w:val="FootnoteReference"/>
        </w:rPr>
        <w:footnoteRef/>
      </w:r>
      <w:r>
        <w:t xml:space="preserve"> </w:t>
      </w:r>
      <w:r>
        <w:t xml:space="preserve">We denote the spatial autoregressive parameter by</w:t>
      </w:r>
      <w:r>
        <w:t xml:space="preserve"> </w:t>
      </w:r>
      <m:oMath>
        <m:r>
          <m:t>ρ</m:t>
        </m:r>
      </m:oMath>
      <w:r>
        <w:t xml:space="preserve"> </w:t>
      </w:r>
      <w:r>
        <w:t xml:space="preserve">to avoid any confusion with</w:t>
      </w:r>
      <w:r>
        <w:t xml:space="preserve"> </w:t>
      </w:r>
      <m:oMath>
        <m:r>
          <m:t>λ</m:t>
        </m:r>
      </m:oMath>
      <w:r>
        <w:t xml:space="preserve">, which denotes the implied speed of convergence throughout this article.</w:t>
      </w:r>
    </w:p>
  </w:footnote>
  <w:footnote w:id="45">
    <w:p>
      <w:pPr>
        <w:pStyle w:val="FootnoteText"/>
      </w:pPr>
      <w:r>
        <w:rPr>
          <w:rStyle w:val="FootnoteReference"/>
        </w:rPr>
        <w:footnoteRef/>
      </w:r>
      <w:r>
        <w:t xml:space="preserve"> </w:t>
      </w:r>
      <w:r>
        <w:t xml:space="preserve">The interactive web application is available at</w:t>
      </w:r>
      <w:r>
        <w:t xml:space="preserve"> </w:t>
      </w:r>
      <w:hyperlink r:id="rId46">
        <w:r>
          <w:rPr>
            <w:rStyle w:val="Hyperlink"/>
          </w:rPr>
          <w:t xml:space="preserve">https://bit.ly/india-rc-ntl</w:t>
        </w:r>
      </w:hyperlink>
      <w:r>
        <w:t xml:space="preserve">.</w:t>
      </w:r>
      <w:r>
        <w:t xml:space="preserve"> </w:t>
      </w:r>
      <w:r>
        <w:t xml:space="preserve">It was developed using Google Earth Engine, and the source code is available in the</w:t>
      </w:r>
      <w:r>
        <w:t xml:space="preserve"> </w:t>
      </w:r>
      <w:hyperlink r:id="rId47">
        <w:r>
          <w:rPr>
            <w:rStyle w:val="Hyperlink"/>
          </w:rPr>
          <w:t xml:space="preserve">View from outer space</w:t>
        </w:r>
      </w:hyperlink>
      <w:r>
        <w:t xml:space="preserve"> </w:t>
      </w:r>
      <w:r>
        <w:t xml:space="preserve">notebook.</w:t>
      </w:r>
    </w:p>
  </w:footnote>
  <w:footnote w:id="57">
    <w:p>
      <w:pPr>
        <w:pStyle w:val="FootnoteText"/>
      </w:pPr>
      <w:r>
        <w:rPr>
          <w:rStyle w:val="FootnoteReference"/>
        </w:rPr>
        <w:footnoteRef/>
      </w:r>
      <w:r>
        <w:t xml:space="preserve"> </w:t>
      </w:r>
      <w:r>
        <w:t xml:space="preserve">The figures are relative per capita income for 2000–01, the census year closest to the start of our study period, measured as per capita net state domestic product divided by per capita net national income.</w:t>
      </w:r>
      <w:r>
        <w:t xml:space="preserve"> </w:t>
      </w:r>
      <w:r>
        <w:t xml:space="preserve">They are taken from Table 4 of Sanyal and Arora,</w:t>
      </w:r>
      <w:r>
        <w:t xml:space="preserve"> </w:t>
      </w:r>
      <w:r>
        <w:t xml:space="preserve">“Relative Economic Performance of Indian States: 1960-61 to 2023-24”</w:t>
      </w:r>
      <w:r>
        <w:t xml:space="preserve">, Economic Advisory Council to the Prime Minister, Working Paper EAC-PM/WP/31/2024, September 2024.</w:t>
      </w:r>
    </w:p>
  </w:footnote>
  <w:footnote w:id="82">
    <w:p>
      <w:pPr>
        <w:pStyle w:val="FootnoteText"/>
      </w:pPr>
      <w:r>
        <w:rPr>
          <w:rStyle w:val="FootnoteReference"/>
        </w:rPr>
        <w:footnoteRef/>
      </w:r>
      <w:r>
        <w:t xml:space="preserve"> </w:t>
      </w:r>
      <w:r>
        <w:t xml:space="preserve">Without controls, the strong residual spatial dependence confounds the spillover estimates with omitted variables.</w:t>
      </w:r>
      <w:r>
        <w:t xml:space="preserve"> </w:t>
      </w:r>
      <w:r>
        <w:t xml:space="preserve">The spatial autoregressive parameter also reaches about 0.80 in Model 1, so its decomposition is the most sensitive of the four to how the spatial multiplier is computed.</w:t>
      </w:r>
    </w:p>
  </w:footnote>
  <w:footnote w:id="84">
    <w:p>
      <w:pPr>
        <w:pStyle w:val="FootnoteText"/>
      </w:pPr>
      <w:r>
        <w:rPr>
          <w:rStyle w:val="FootnoteReference"/>
        </w:rPr>
        <w:footnoteRef/>
      </w:r>
      <w:r>
        <w:t xml:space="preserve"> </w:t>
      </w:r>
      <w:r>
        <w:t xml:space="preserve">The unconditional speeds are 2.3% against 2.6% in Model 1 and 2.6% against 2.7% in Model 2.</w:t>
      </w:r>
    </w:p>
  </w:footnote>
  <w:footnote w:id="85">
    <w:p>
      <w:pPr>
        <w:pStyle w:val="FootnoteText"/>
      </w:pPr>
      <w:r>
        <w:rPr>
          <w:rStyle w:val="FootnoteReference"/>
        </w:rPr>
        <w:footnoteRef/>
      </w:r>
      <w:r>
        <w:t xml:space="preserve"> </w:t>
      </w:r>
      <w:r>
        <w:t xml:space="preserve">The improvement from incorporating spatial structure is most pronounced in the unconditional specification, where the AIC drops by 347 units when moving from OLS to SDM in Model 1, reflecting the large amount of spatial dependence left unmodeled by ordinary regressions.</w:t>
      </w:r>
    </w:p>
  </w:footnote>
  <w:footnote w:id="87">
    <w:p>
      <w:pPr>
        <w:pStyle w:val="FootnoteText"/>
      </w:pPr>
      <w:r>
        <w:rPr>
          <w:rStyle w:val="FootnoteReference"/>
        </w:rPr>
        <w:footnoteRef/>
      </w:r>
      <w:r>
        <w:t xml:space="preserve"> </w:t>
      </w:r>
      <w:r>
        <w:t xml:space="preserve">The regularity is about 2% per year across 1,528 regions in 83 countries</w:t>
      </w:r>
      <w:r>
        <w:t xml:space="preserve"> </w:t>
      </w:r>
      <w:r>
        <w:t xml:space="preserve">(Gennaioli et al. 2014)</w:t>
      </w:r>
      <w:r>
        <w:t xml:space="preserve">, and similar across regions of the United States, Japan, and five European countries</w:t>
      </w:r>
      <w:r>
        <w:t xml:space="preserve"> </w:t>
      </w:r>
      <w:r>
        <w:t xml:space="preserve">(Sala-i-Martin 1996)</w:t>
      </w:r>
      <w:r>
        <w:t xml:space="preserve">.</w:t>
      </w:r>
      <w:r>
        <w:t xml:space="preserve"> </w:t>
      </w:r>
      <w:r>
        <w:t xml:space="preserve">The meta-analytic objection is that estimates from different specifications are drawn from different populations, so there is no single natural rate to be estimated.</w:t>
      </w:r>
    </w:p>
  </w:footnote>
  <w:footnote w:id="88">
    <w:p>
      <w:pPr>
        <w:pStyle w:val="FootnoteText"/>
      </w:pPr>
      <w:r>
        <w:rPr>
          <w:rStyle w:val="FootnoteReference"/>
        </w:rPr>
        <w:footnoteRef/>
      </w:r>
      <w:r>
        <w:t xml:space="preserve"> </w:t>
      </w:r>
      <w:r>
        <w:t xml:space="preserve">In our own case the indirect effect carries the same negative sign as the direct effect, so the two reinforce one another and the total effect exceeds the OLS coefficient in magnitude.</w:t>
      </w:r>
      <w:r>
        <w:t xml:space="preserve"> </w:t>
      </w:r>
      <w:r>
        <w:t xml:space="preserve">Where the initial conditions of neighbors enter with the opposite sign, or where the spatial terms absorb variation the non-spatial model had attributed to initial luminosity, the same exercise reduces the estimated speed.</w:t>
      </w:r>
    </w:p>
  </w:footnote>
  <w:footnote w:id="97">
    <w:p>
      <w:pPr>
        <w:pStyle w:val="FootnoteText"/>
      </w:pPr>
      <w:r>
        <w:rPr>
          <w:rStyle w:val="FootnoteReference"/>
        </w:rPr>
        <w:footnoteRef/>
      </w:r>
      <w:r>
        <w:t xml:space="preserve"> </w:t>
      </w:r>
      <w:r>
        <w:t xml:space="preserve">The programme was launched in 2018 to direct additional resources to the least developed districts of the country.</w:t>
      </w:r>
      <w:r>
        <w:t xml:space="preserve"> </w:t>
      </w:r>
      <w:r>
        <w:t xml:space="preserve">The two studies also differ in outcome variable and period, so the contrast between them is suggestive rather than decisive.</w:t>
      </w:r>
    </w:p>
  </w:footnote>
  <w:footnote w:id="98">
    <w:p>
      <w:pPr>
        <w:pStyle w:val="FootnoteText"/>
      </w:pPr>
      <w:r>
        <w:rPr>
          <w:rStyle w:val="FootnoteReference"/>
        </w:rPr>
        <w:footnoteRef/>
      </w:r>
      <w:r>
        <w:t xml:space="preserve"> </w:t>
      </w:r>
      <w:r>
        <w:t xml:space="preserve">Shenoy (2018)</w:t>
      </w:r>
      <w:r>
        <w:t xml:space="preserve"> </w:t>
      </w:r>
      <w:r>
        <w:t xml:space="preserve">uses nighttime lights to evaluate a large place-based package in Uttarakhand and finds that luminosity rises sharply on the targeted side of the new state border, which shows that the outcome we study is responsive enough to register policy at this scale.</w:t>
      </w:r>
    </w:p>
  </w:footnote>
  <w:footnote w:id="100">
    <w:p>
      <w:pPr>
        <w:pStyle w:val="FootnoteText"/>
      </w:pPr>
      <w:r>
        <w:rPr>
          <w:rStyle w:val="FootnoteReference"/>
        </w:rPr>
        <w:footnoteRef/>
      </w:r>
      <w:r>
        <w:t xml:space="preserve"> </w:t>
      </w:r>
      <w:r>
        <w:t xml:space="preserve">The dataset we adopt from</w:t>
      </w:r>
      <w:r>
        <w:t xml:space="preserve"> </w:t>
      </w:r>
      <w:r>
        <w:t xml:space="preserve">Chanda and Kabiraj (2020)</w:t>
      </w:r>
      <w:r>
        <w:t xml:space="preserve"> </w:t>
      </w:r>
      <w:r>
        <w:t xml:space="preserve">holds radiance-calibrated luminosity at six dates between 1996 and 2010, so per-capita luminosity at the intermediate dates would rest on interpolated denominators.</w:t>
      </w:r>
    </w:p>
  </w:footnote>
  <w:footnote w:id="101">
    <w:p>
      <w:pPr>
        <w:pStyle w:val="FootnoteText"/>
      </w:pPr>
      <w:r>
        <w:rPr>
          <w:rStyle w:val="FootnoteReference"/>
        </w:rPr>
        <w:footnoteRef/>
      </w:r>
      <w:r>
        <w:t xml:space="preserve"> </w:t>
      </w:r>
      <w:r>
        <w:t xml:space="preserve">Barro (2015)</w:t>
      </w:r>
      <w:r>
        <w:t xml:space="preserve"> </w:t>
      </w:r>
      <w:r>
        <w:t xml:space="preserve">argues that country fixed effects generate a misleadingly high convergence rate, and that combining post-1960 with post-1870 evidence returns a figure close to the conventional 2%.</w:t>
      </w:r>
      <w:r>
        <w:t xml:space="preserve"> </w:t>
      </w:r>
      <w:r>
        <w:t xml:space="preserve">Meta-analytic evidence finds that corrections for unobserved heterogeneity raise estimated convergence systematically</w:t>
      </w:r>
      <w:r>
        <w:t xml:space="preserve"> </w:t>
      </w:r>
      <w:r>
        <w:t xml:space="preserve">(Abreu, de Groot, and Florax 2005)</w:t>
      </w:r>
      <w:r>
        <w:t xml:space="preserve">.</w:t>
      </w:r>
    </w:p>
  </w:footnote>
  <w:footnote w:id="102">
    <w:p>
      <w:pPr>
        <w:pStyle w:val="FootnoteText"/>
      </w:pPr>
      <w:r>
        <w:rPr>
          <w:rStyle w:val="FootnoteReference"/>
        </w:rPr>
        <w:footnoteRef/>
      </w:r>
      <w:r>
        <w:t xml:space="preserve"> </w:t>
      </w:r>
      <w:r>
        <w:t xml:space="preserve">A short-horizon panel would therefore pair a specification that is hard to interpret with a proxy operating where it is weakest.</w:t>
      </w:r>
      <w:r>
        <w:t xml:space="preserve"> </w:t>
      </w:r>
      <w:r>
        <w:t xml:space="preserve">Chakrabarty and Mukherjee (2022)</w:t>
      </w:r>
      <w:r>
        <w:t xml:space="preserve"> </w:t>
      </w:r>
      <w:r>
        <w:t xml:space="preserve">estimate district convergence across the pandemic period, and how such estimates should be read depends on how much of the short-run movement in lights reflects output rather than measurement.</w:t>
      </w:r>
    </w:p>
  </w:footnote>
  <w:footnote w:id="104">
    <w:p>
      <w:pPr>
        <w:pStyle w:val="FootnoteText"/>
      </w:pPr>
      <w:r>
        <w:rPr>
          <w:rStyle w:val="FootnoteReference"/>
        </w:rPr>
        <w:footnoteRef/>
      </w:r>
      <w:r>
        <w:t xml:space="preserve"> </w:t>
      </w:r>
      <w:r>
        <w:t xml:space="preserve">A cross-sectional association is consistent with either direction, and with both operating at once.</w:t>
      </w:r>
      <w:r>
        <w:t xml:space="preserve"> </w:t>
      </w:r>
      <w:r>
        <w:t xml:space="preserve">What it can do is establish that the two are related, and describe the form that relationship takes.</w:t>
      </w:r>
    </w:p>
  </w:footnote>
  <w:footnote w:id="105">
    <w:p>
      <w:pPr>
        <w:pStyle w:val="FootnoteText"/>
      </w:pPr>
      <w:r>
        <w:rPr>
          <w:rStyle w:val="FootnoteReference"/>
        </w:rPr>
        <w:footnoteRef/>
      </w:r>
      <w:r>
        <w:t xml:space="preserve"> </w:t>
      </w:r>
      <w:r>
        <w:t xml:space="preserve">The six dimensions are live cultural performance, cultural telecast (TV/media), socio-cultural participation, cultural heritage and religion, live cultural shows, and sports.</w:t>
      </w:r>
      <w:r>
        <w:t xml:space="preserve"> </w:t>
      </w:r>
      <w:r>
        <w:t xml:space="preserve">They are extracted from the survey items by principal-components analysis.</w:t>
      </w:r>
      <w:r>
        <w:t xml:space="preserve"> </w:t>
      </w:r>
      <w:r>
        <w:t xml:space="preserve">See the</w:t>
      </w:r>
      <w:r>
        <w:t xml:space="preserve"> </w:t>
      </w:r>
      <w:hyperlink r:id="rId106">
        <w:r>
          <w:rPr>
            <w:rStyle w:val="Hyperlink"/>
          </w:rPr>
          <w:t xml:space="preserve">Spatial culture</w:t>
        </w:r>
      </w:hyperlink>
      <w:r>
        <w:t xml:space="preserve"> </w:t>
      </w:r>
      <w:r>
        <w:t xml:space="preserve">notebook for details and extended analyses.</w:t>
      </w:r>
    </w:p>
  </w:footnote>
  <w:footnote w:id="116">
    <w:p>
      <w:pPr>
        <w:pStyle w:val="FootnoteText"/>
      </w:pPr>
      <w:r>
        <w:rPr>
          <w:rStyle w:val="FootnoteReference"/>
        </w:rPr>
        <w:footnoteRef/>
      </w:r>
      <w:r>
        <w:t xml:space="preserve"> </w:t>
      </w:r>
      <w:r>
        <w:t xml:space="preserve">Top-coding compresses variation at the bright end of the distribution, so classical measurement error in initial luminosity attenuates the convergence coefficient toward zero, while the same error entering the growth rate with the opposite sign works in the direction of overstating convergence.</w:t>
      </w:r>
      <w:r>
        <w:t xml:space="preserve"> </w:t>
      </w:r>
      <w:r>
        <w:t xml:space="preserve">The net effect is ambiguous in sign, and we do not claim to sign it.</w:t>
      </w:r>
      <w:r>
        <w:t xml:space="preserve"> </w:t>
      </w:r>
      <w:r>
        <w:t xml:space="preserve">Measurement error is also unlikely to be homogeneous across the sample, because the association between luminosity and economic outcomes is stronger in urban than in rural areas and Indian districts differ considerably in how urbanized they are.</w:t>
      </w:r>
      <w:r>
        <w:t xml:space="preserve"> </w:t>
      </w:r>
      <w:r>
        <w:t xml:space="preserve">That the direct and total effects hold across all seven definitions of the neighborhood, and the indirect effect under five of the seven (</w:t>
      </w:r>
      <w:hyperlink w:anchor="tbl-altw">
        <w:r>
          <w:rPr>
            <w:rStyle w:val="Hyperlink"/>
          </w:rPr>
          <w:t xml:space="preserve">Table 4</w:t>
        </w:r>
      </w:hyperlink>
      <w:r>
        <w:t xml:space="preserve">), indicates that they are not an artifact of any particular neighbor definition, but it does not rule out blooming, for which deblurring methods offer one route</w:t>
      </w:r>
      <w:r>
        <w:t xml:space="preserve"> </w:t>
      </w:r>
      <w:r>
        <w:t xml:space="preserve">(Abrahams, Oram, and Lozano-Gracia 2018)</w:t>
      </w:r>
      <w:r>
        <w:t xml:space="preserve">.</w:t>
      </w:r>
    </w:p>
  </w:footnote>
  <w:footnote w:id="117">
    <w:p>
      <w:pPr>
        <w:pStyle w:val="FootnoteText"/>
      </w:pPr>
      <w:r>
        <w:rPr>
          <w:rStyle w:val="FootnoteReference"/>
        </w:rPr>
        <w:footnoteRef/>
      </w:r>
      <w:r>
        <w:t xml:space="preserve"> </w:t>
      </w:r>
      <w:r>
        <w:t xml:space="preserve">VIIRS, operational since 2012, improves spatial resolution (roughly 750 meters against 2.7 kilometers), adds on-board radiometric calibration, and widens dynamic range, which avoids saturation in bright areas while detecting dim lights in rural settlements</w:t>
      </w:r>
      <w:r>
        <w:t xml:space="preserve"> </w:t>
      </w:r>
      <w:r>
        <w:t xml:space="preserve">(Gibson et al. 2021)</w:t>
      </w:r>
      <w:r>
        <w:t xml:space="preserve">.</w:t>
      </w:r>
      <w:r>
        <w:t xml:space="preserve"> </w:t>
      </w:r>
      <w:r>
        <w:t xml:space="preserve">Lights have also been combined with daytime imagery for poverty prediction</w:t>
      </w:r>
      <w:r>
        <w:t xml:space="preserve"> </w:t>
      </w:r>
      <w:r>
        <w:t xml:space="preserve">(Jean et al. 2016)</w:t>
      </w:r>
      <w:r>
        <w:t xml:space="preserve">, with land cover in agricultural areas</w:t>
      </w:r>
      <w:r>
        <w:t xml:space="preserve"> </w:t>
      </w:r>
      <w:r>
        <w:t xml:space="preserve">(Keola, Andersson, and Hall 2015)</w:t>
      </w:r>
      <w:r>
        <w:t xml:space="preserve">, with multiple remote sensing indicators for subnational output</w:t>
      </w:r>
      <w:r>
        <w:t xml:space="preserve"> </w:t>
      </w:r>
      <w:r>
        <w:t xml:space="preserve">(Y. Chen, Ursavaş, and Mendez 2024; Suleiman, Nguyen, and Mendez 2025)</w:t>
      </w:r>
      <w:r>
        <w:t xml:space="preserve">, and with survey data for multidimensional poverty</w:t>
      </w:r>
      <w:r>
        <w:t xml:space="preserve"> </w:t>
      </w:r>
      <w:r>
        <w:t xml:space="preserve">(Khoun et al. 2025)</w:t>
      </w:r>
      <w:r>
        <w:t xml:space="preserve">.</w:t>
      </w:r>
    </w:p>
  </w:footnote>
  <w:footnote w:id="118">
    <w:p>
      <w:pPr>
        <w:pStyle w:val="FootnoteText"/>
      </w:pPr>
      <w:r>
        <w:rPr>
          <w:rStyle w:val="FootnoteReference"/>
        </w:rPr>
        <w:footnoteRef/>
      </w:r>
      <w:r>
        <w:t xml:space="preserve"> </w:t>
      </w:r>
      <w:r>
        <w:t xml:space="preserve">Africa accounts for 39% of unlit settlements worldwide, rising to 65% when only rural settlement areas are considered</w:t>
      </w:r>
      <w:r>
        <w:t xml:space="preserve"> </w:t>
      </w:r>
      <w:r>
        <w:t xml:space="preserve">(McCallum et al. 2022)</w:t>
      </w:r>
      <w:r>
        <w:t xml:space="preserve">.</w:t>
      </w:r>
      <w:r>
        <w:t xml:space="preserve"> </w:t>
      </w:r>
      <w:r>
        <w:t xml:space="preserve">Across 34 sub-Saharan African countries the association between harmonized luminosity and household wealth is pronounced in urban areas and considerably weaker in rural ones</w:t>
      </w:r>
      <w:r>
        <w:t xml:space="preserve"> </w:t>
      </w:r>
      <w:r>
        <w:t xml:space="preserve">(Jhamb et al. 2025)</w:t>
      </w:r>
      <w:r>
        <w:t xml:space="preserve">, and systematic assessments of which product to use, and where, reach similar conclusions</w:t>
      </w:r>
      <w:r>
        <w:t xml:space="preserve"> </w:t>
      </w:r>
      <w:r>
        <w:t xml:space="preserve">(Gibson et al. 2021)</w:t>
      </w:r>
      <w:r>
        <w:t xml:space="preserve">.</w:t>
      </w:r>
    </w:p>
  </w:footnote>
  <w:footnote w:id="119">
    <w:p>
      <w:pPr>
        <w:pStyle w:val="FootnoteText"/>
      </w:pPr>
      <w:r>
        <w:rPr>
          <w:rStyle w:val="FootnoteReference"/>
        </w:rPr>
        <w:footnoteRef/>
      </w:r>
      <w:r>
        <w:t xml:space="preserve"> </w:t>
      </w:r>
      <w:r>
        <w:t xml:space="preserve">The relevant tools are distribution dynamics</w:t>
      </w:r>
      <w:r>
        <w:t xml:space="preserve"> </w:t>
      </w:r>
      <w:r>
        <w:t xml:space="preserve">(Quah 1996)</w:t>
      </w:r>
      <w:r>
        <w:t xml:space="preserve"> </w:t>
      </w:r>
      <w:r>
        <w:t xml:space="preserve">and the regression-tree methods developed for identifying multiple growth regimes</w:t>
      </w:r>
      <w:r>
        <w:t xml:space="preserve"> </w:t>
      </w:r>
      <w:r>
        <w:t xml:space="preserve">(Durlauf and Johnson 1995)</w:t>
      </w:r>
      <w:r>
        <w:t xml:space="preserve">, which can reveal whether Indian districts converge to a single steady state or form distinct clubs.</w:t>
      </w:r>
      <w:r>
        <w:t xml:space="preserve"> </w:t>
      </w:r>
      <w:r>
        <w:t xml:space="preserve">Combining them with spatial econometrics could expose spatial poverty traps or growth poles that average estimates render invisible</w:t>
      </w:r>
      <w:r>
        <w:t xml:space="preserve"> </w:t>
      </w:r>
      <w:r>
        <w:t xml:space="preserve">(Rey and Montouri 1999)</w:t>
      </w:r>
      <w:r>
        <w:t xml:space="preserve">.</w:t>
      </w:r>
    </w:p>
  </w:footnote>
  <w:footnote w:id="120">
    <w:p>
      <w:pPr>
        <w:pStyle w:val="FootnoteText"/>
      </w:pPr>
      <w:r>
        <w:rPr>
          <w:rStyle w:val="FootnoteReference"/>
        </w:rPr>
        <w:footnoteRef/>
      </w:r>
      <w:r>
        <w:t xml:space="preserve"> </w:t>
      </w:r>
      <w:r>
        <w:t xml:space="preserve">VIIRS predicts cross-sectional GDP better than time-series GDP</w:t>
      </w:r>
      <w:r>
        <w:t xml:space="preserve"> </w:t>
      </w:r>
      <w:r>
        <w:t xml:space="preserve">(X. Chen and Nordhaus 2019)</w:t>
      </w:r>
      <w:r>
        <w:t xml:space="preserve">, and in India the elasticity of lights with respect to local outcomes is far lower in the time series than in the cross-section</w:t>
      </w:r>
      <w:r>
        <w:t xml:space="preserve"> </w:t>
      </w:r>
      <w:r>
        <w:t xml:space="preserve">(Asher et al. 2021)</w:t>
      </w:r>
      <w:r>
        <w:t xml:space="preserve">.</w:t>
      </w:r>
      <w:r>
        <w:t xml:space="preserve"> </w:t>
      </w:r>
      <w:r>
        <w:t xml:space="preserve">The relationship between lights and growth is also unstable across regions in both Brazil and India</w:t>
      </w:r>
      <w:r>
        <w:t xml:space="preserve"> </w:t>
      </w:r>
      <w:r>
        <w:t xml:space="preserve">(Bickenbach et al. 2016)</w:t>
      </w:r>
      <w:r>
        <w:t xml:space="preserve">, and responsiveness to output varies with baseline income, density, and sector.</w:t>
      </w:r>
      <w:r>
        <w:t xml:space="preserve"> </w:t>
      </w:r>
      <w:r>
        <w:t xml:space="preserve">An evaluation may therefore fail to detect a real effect where lights react weakly, or attribute to a policy what is in fact heterogeneity in the relationship between light and output.</w:t>
      </w:r>
    </w:p>
  </w:footnote>
  <w:footnote w:id="124">
    <w:p>
      <w:pPr>
        <w:pStyle w:val="FootnoteText"/>
      </w:pPr>
      <w:r>
        <w:rPr>
          <w:rStyle w:val="FootnoteReference"/>
        </w:rPr>
        <w:footnoteRef/>
      </w:r>
      <w:r>
        <w:t xml:space="preserve"> </w:t>
      </w:r>
      <w:r>
        <w:t xml:space="preserve">A single manuscript source generates multiple output formats.</w:t>
      </w:r>
      <w:r>
        <w:t xml:space="preserve"> </w:t>
      </w:r>
      <w:r>
        <w:t xml:space="preserve">The HTML version allows readers to engage with interactive visualizations, inspect the code of the computational notebooks, and re-evaluate the results in light of their source code.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52" Target="media/rId52.png" /><Relationship Type="http://schemas.openxmlformats.org/officeDocument/2006/relationships/image" Id="rId63" Target="media/rId63.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7" Target="media/rId107.png" /><Relationship Type="http://schemas.openxmlformats.org/officeDocument/2006/relationships/image" Id="rId90" Target="media/rId90.png" /><Relationship Type="http://schemas.openxmlformats.org/officeDocument/2006/relationships/hyperlink" Id="rId46" Target="https://bit.ly/india-rc-ntl" TargetMode="External" /><Relationship Type="http://schemas.openxmlformats.org/officeDocument/2006/relationships/hyperlink" Id="rId188" Target="https://doi.org/10.1002/jae.3950100404" TargetMode="External" /><Relationship Type="http://schemas.openxmlformats.org/officeDocument/2006/relationships/hyperlink" Id="rId192" Target="https://doi.org/10.1002/jae.963" TargetMode="External" /><Relationship Type="http://schemas.openxmlformats.org/officeDocument/2006/relationships/hyperlink" Id="rId136" Target="https://doi.org/10.1007/978-94-015-7799-1" TargetMode="External" /><Relationship Type="http://schemas.openxmlformats.org/officeDocument/2006/relationships/hyperlink" Id="rId160" Target="https://doi.org/10.1007/BF00141044" TargetMode="External" /><Relationship Type="http://schemas.openxmlformats.org/officeDocument/2006/relationships/hyperlink" Id="rId194" Target="https://doi.org/10.1007/s00168-010-0384-6" TargetMode="External" /><Relationship Type="http://schemas.openxmlformats.org/officeDocument/2006/relationships/hyperlink" Id="rId273" Target="https://doi.org/10.1007/s00168-022-01168-0" TargetMode="External" /><Relationship Type="http://schemas.openxmlformats.org/officeDocument/2006/relationships/hyperlink" Id="rId154" Target="https://doi.org/10.1007/s10290-016-0246-0" TargetMode="External" /><Relationship Type="http://schemas.openxmlformats.org/officeDocument/2006/relationships/hyperlink" Id="rId231" Target="https://doi.org/10.1007/s10708-018-9893-0" TargetMode="External" /><Relationship Type="http://schemas.openxmlformats.org/officeDocument/2006/relationships/hyperlink" Id="rId259" Target="https://doi.org/10.1007/s10708-021-10377-7" TargetMode="External" /><Relationship Type="http://schemas.openxmlformats.org/officeDocument/2006/relationships/hyperlink" Id="rId196" Target="https://doi.org/10.1007/s10887-014-9105-9" TargetMode="External" /><Relationship Type="http://schemas.openxmlformats.org/officeDocument/2006/relationships/hyperlink" Id="rId220" Target="https://doi.org/10.1007/s11205-025-03718-3" TargetMode="External" /><Relationship Type="http://schemas.openxmlformats.org/officeDocument/2006/relationships/hyperlink" Id="rId178" Target="https://doi.org/10.1007/s12076-024-00375-x" TargetMode="External" /><Relationship Type="http://schemas.openxmlformats.org/officeDocument/2006/relationships/hyperlink" Id="rId265" Target="https://doi.org/10.1007/s12076-025-00397-z" TargetMode="External" /><Relationship Type="http://schemas.openxmlformats.org/officeDocument/2006/relationships/hyperlink" Id="rId257" Target="https://doi.org/10.1016/0014-2921(95)00029-1" TargetMode="External" /><Relationship Type="http://schemas.openxmlformats.org/officeDocument/2006/relationships/hyperlink" Id="rId150" Target="https://doi.org/10.1016/j.asieco.2023.101589" TargetMode="External" /><Relationship Type="http://schemas.openxmlformats.org/officeDocument/2006/relationships/hyperlink" Id="rId227" Target="https://doi.org/10.1016/j.euroecorev.2016.11.009" TargetMode="External" /><Relationship Type="http://schemas.openxmlformats.org/officeDocument/2006/relationships/hyperlink" Id="rId267" Target="https://doi.org/10.1016/j.isprsjprs.2020.04.001" TargetMode="External" /><Relationship Type="http://schemas.openxmlformats.org/officeDocument/2006/relationships/hyperlink" Id="rId261" Target="https://doi.org/10.1016/j.jdeveco.2017.10.001" TargetMode="External" /><Relationship Type="http://schemas.openxmlformats.org/officeDocument/2006/relationships/hyperlink" Id="rId198" Target="https://doi.org/10.1016/j.jdeveco.2020.102602" TargetMode="External" /><Relationship Type="http://schemas.openxmlformats.org/officeDocument/2006/relationships/hyperlink" Id="rId204" Target="https://doi.org/10.1016/j.jdeveco.2020.102621" TargetMode="External" /><Relationship Type="http://schemas.openxmlformats.org/officeDocument/2006/relationships/hyperlink" Id="rId168" Target="https://doi.org/10.1016/j.jmacro.2022.103438" TargetMode="External" /><Relationship Type="http://schemas.openxmlformats.org/officeDocument/2006/relationships/hyperlink" Id="rId162" Target="https://doi.org/10.1016/j.jue.2020.103254" TargetMode="External" /><Relationship Type="http://schemas.openxmlformats.org/officeDocument/2006/relationships/hyperlink" Id="rId202" Target="https://doi.org/10.1016/j.rse.2017.06.031" TargetMode="External" /><Relationship Type="http://schemas.openxmlformats.org/officeDocument/2006/relationships/hyperlink" Id="rId128" Target="https://doi.org/10.1016/j.rse.2018.03.018" TargetMode="External" /><Relationship Type="http://schemas.openxmlformats.org/officeDocument/2006/relationships/hyperlink" Id="rId208" Target="https://doi.org/10.1016/j.seps.2024.102012" TargetMode="External" /><Relationship Type="http://schemas.openxmlformats.org/officeDocument/2006/relationships/hyperlink" Id="rId218" Target="https://doi.org/10.1016/j.worlddev.2014.08.017" TargetMode="External" /><Relationship Type="http://schemas.openxmlformats.org/officeDocument/2006/relationships/hyperlink" Id="rId170" Target="https://doi.org/10.1016/j.worlddev.2020.104961" TargetMode="External" /><Relationship Type="http://schemas.openxmlformats.org/officeDocument/2006/relationships/hyperlink" Id="rId233" Target="https://doi.org/10.1038/s41467-022-30099-9" TargetMode="External" /><Relationship Type="http://schemas.openxmlformats.org/officeDocument/2006/relationships/hyperlink" Id="rId229" Target="https://doi.org/10.1038/s41597-020-0510-y" TargetMode="External" /><Relationship Type="http://schemas.openxmlformats.org/officeDocument/2006/relationships/hyperlink" Id="rId174" Target="https://doi.org/10.1073/pnas.1017031108" TargetMode="External" /><Relationship Type="http://schemas.openxmlformats.org/officeDocument/2006/relationships/hyperlink" Id="rId200" Target="https://doi.org/10.1080/00036846.2024.2439583" TargetMode="External" /><Relationship Type="http://schemas.openxmlformats.org/officeDocument/2006/relationships/hyperlink" Id="rId239" Target="https://doi.org/10.1080/00074918.2022.2071415" TargetMode="External" /><Relationship Type="http://schemas.openxmlformats.org/officeDocument/2006/relationships/hyperlink" Id="rId253" Target="https://doi.org/10.1080/00343409950122945" TargetMode="External" /><Relationship Type="http://schemas.openxmlformats.org/officeDocument/2006/relationships/hyperlink" Id="rId237" Target="https://doi.org/10.1080/01431161.2013.833358" TargetMode="External" /><Relationship Type="http://schemas.openxmlformats.org/officeDocument/2006/relationships/hyperlink" Id="rId190" Target="https://doi.org/10.1080/01431161.2017.1342050" TargetMode="External" /><Relationship Type="http://schemas.openxmlformats.org/officeDocument/2006/relationships/hyperlink" Id="rId148" Target="https://doi.org/10.1080/13504851.2022.2099798" TargetMode="External" /><Relationship Type="http://schemas.openxmlformats.org/officeDocument/2006/relationships/hyperlink" Id="rId269" Target="https://doi.org/10.1080/13547860.2022.2041286" TargetMode="External" /><Relationship Type="http://schemas.openxmlformats.org/officeDocument/2006/relationships/hyperlink" Id="rId146" Target="https://doi.org/10.1086/261816" TargetMode="External" /><Relationship Type="http://schemas.openxmlformats.org/officeDocument/2006/relationships/hyperlink" Id="rId212" Target="https://doi.org/10.1086/725058" TargetMode="External" /><Relationship Type="http://schemas.openxmlformats.org/officeDocument/2006/relationships/hyperlink" Id="rId223" Target="https://doi.org/10.1093/comjnl/27.2.97" TargetMode="External" /><Relationship Type="http://schemas.openxmlformats.org/officeDocument/2006/relationships/hyperlink" Id="rId180" Target="https://doi.org/10.1093/ej/ueaf134" TargetMode="External" /><Relationship Type="http://schemas.openxmlformats.org/officeDocument/2006/relationships/hyperlink" Id="rId184" Target="https://doi.org/10.1093/jae/ejx027" TargetMode="External" /><Relationship Type="http://schemas.openxmlformats.org/officeDocument/2006/relationships/hyperlink" Id="rId247" Target="https://doi.org/10.1093/qje/qjw003" TargetMode="External" /><Relationship Type="http://schemas.openxmlformats.org/officeDocument/2006/relationships/hyperlink" Id="rId140" Target="https://doi.org/10.1093/wber/lhab003" TargetMode="External" /><Relationship Type="http://schemas.openxmlformats.org/officeDocument/2006/relationships/hyperlink" Id="rId164" Target="https://doi.org/10.1108/igdr-11-2021-0152" TargetMode="External" /><Relationship Type="http://schemas.openxmlformats.org/officeDocument/2006/relationships/hyperlink" Id="rId132" Target="https://doi.org/10.1111/ecin.12967" TargetMode="External" /><Relationship Type="http://schemas.openxmlformats.org/officeDocument/2006/relationships/hyperlink" Id="rId144" Target="https://doi.org/10.1111/ecoj.12247" TargetMode="External" /><Relationship Type="http://schemas.openxmlformats.org/officeDocument/2006/relationships/hyperlink" Id="rId130" Target="https://doi.org/10.1111/j.0950-0804.2005.00253.x" TargetMode="External" /><Relationship Type="http://schemas.openxmlformats.org/officeDocument/2006/relationships/hyperlink" Id="rId138" Target="https://doi.org/10.1111/j.1538-4632.1995.tb00338.x" TargetMode="External" /><Relationship Type="http://schemas.openxmlformats.org/officeDocument/2006/relationships/hyperlink" Id="rId271" Target="https://doi.org/10.1111/polp.70050" TargetMode="External" /><Relationship Type="http://schemas.openxmlformats.org/officeDocument/2006/relationships/hyperlink" Id="rId158" Target="https://doi.org/10.1111/rode.12712" TargetMode="External" /><Relationship Type="http://schemas.openxmlformats.org/officeDocument/2006/relationships/hyperlink" Id="rId216" Target="https://doi.org/10.1111/rode.12851" TargetMode="External" /><Relationship Type="http://schemas.openxmlformats.org/officeDocument/2006/relationships/hyperlink" Id="rId245" Target="https://doi.org/10.1126/science.1213847" TargetMode="External" /><Relationship Type="http://schemas.openxmlformats.org/officeDocument/2006/relationships/hyperlink" Id="rId210" Target="https://doi.org/10.1126/science.aaf7894" TargetMode="External" /><Relationship Type="http://schemas.openxmlformats.org/officeDocument/2006/relationships/hyperlink" Id="rId182" Target="https://doi.org/10.1162/rest_a_00993" TargetMode="External" /><Relationship Type="http://schemas.openxmlformats.org/officeDocument/2006/relationships/hyperlink" Id="rId225" Target="https://doi.org/10.1201/9781420064254" TargetMode="External" /><Relationship Type="http://schemas.openxmlformats.org/officeDocument/2006/relationships/hyperlink" Id="rId206" Target="https://doi.org/10.1257/aer.102.2.994" TargetMode="External" /><Relationship Type="http://schemas.openxmlformats.org/officeDocument/2006/relationships/hyperlink" Id="rId142" Target="https://doi.org/10.1257/aer.20180268" TargetMode="External" /><Relationship Type="http://schemas.openxmlformats.org/officeDocument/2006/relationships/hyperlink" Id="rId186" Target="https://doi.org/10.1257/jep.30.4.171" TargetMode="External" /><Relationship Type="http://schemas.openxmlformats.org/officeDocument/2006/relationships/hyperlink" Id="rId235" Target="https://doi.org/10.1371/journal.pone.0139779" TargetMode="External" /><Relationship Type="http://schemas.openxmlformats.org/officeDocument/2006/relationships/hyperlink" Id="rId214" Target="https://doi.org/10.1371/journal.pone.0318482" TargetMode="External" /><Relationship Type="http://schemas.openxmlformats.org/officeDocument/2006/relationships/hyperlink" Id="rId243" Target="https://doi.org/10.18335/region.v11i1.493" TargetMode="External" /><Relationship Type="http://schemas.openxmlformats.org/officeDocument/2006/relationships/hyperlink" Id="rId251" Target="https://doi.org/10.18335/region.v12i1.563" TargetMode="External" /><Relationship Type="http://schemas.openxmlformats.org/officeDocument/2006/relationships/hyperlink" Id="rId172" Target="https://doi.org/10.18335/region.v7i2.295" TargetMode="External" /><Relationship Type="http://schemas.openxmlformats.org/officeDocument/2006/relationships/hyperlink" Id="rId255" Target="https://doi.org/10.18335/region.v7i3.357" TargetMode="External" /><Relationship Type="http://schemas.openxmlformats.org/officeDocument/2006/relationships/hyperlink" Id="rId152" Target="https://doi.org/10.2139/ssrn.3818578" TargetMode="External" /><Relationship Type="http://schemas.openxmlformats.org/officeDocument/2006/relationships/hyperlink" Id="rId263" Target="https://doi.org/10.2307/1884513" TargetMode="External" /><Relationship Type="http://schemas.openxmlformats.org/officeDocument/2006/relationships/hyperlink" Id="rId249" Target="https://doi.org/10.2307/2235377" TargetMode="External" /><Relationship Type="http://schemas.openxmlformats.org/officeDocument/2006/relationships/hyperlink" Id="rId241" Target="https://doi.org/10.2307/2332142" TargetMode="External" /><Relationship Type="http://schemas.openxmlformats.org/officeDocument/2006/relationships/hyperlink" Id="rId275" Target="https://doi.org/10.2747/1548-1603.48.4.478" TargetMode="External" /><Relationship Type="http://schemas.openxmlformats.org/officeDocument/2006/relationships/hyperlink" Id="rId176" Target="https://doi.org/10.3390/rs11091057" TargetMode="External" /><Relationship Type="http://schemas.openxmlformats.org/officeDocument/2006/relationships/hyperlink" Id="rId156"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7"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4" Target="https://quarto.org" TargetMode="External" /><Relationship Type="http://schemas.openxmlformats.org/officeDocument/2006/relationships/hyperlink" Id="rId166" Target="https://www.epw.in/journal/2017/25-26/notes/will-gst-exacerbate-regional-divergence.html" TargetMode="External" /><Relationship Type="http://schemas.openxmlformats.org/officeDocument/2006/relationships/hyperlink" Id="rId55" Target="notebooks/c02_regional_convergence_sc.ipynb" TargetMode="External" /><Relationship Type="http://schemas.openxmlformats.org/officeDocument/2006/relationships/hyperlink" Id="rId66"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46" Target="https://bit.ly/india-rc-ntl" TargetMode="External" /><Relationship Type="http://schemas.openxmlformats.org/officeDocument/2006/relationships/hyperlink" Id="rId188" Target="https://doi.org/10.1002/jae.3950100404" TargetMode="External" /><Relationship Type="http://schemas.openxmlformats.org/officeDocument/2006/relationships/hyperlink" Id="rId192" Target="https://doi.org/10.1002/jae.963" TargetMode="External" /><Relationship Type="http://schemas.openxmlformats.org/officeDocument/2006/relationships/hyperlink" Id="rId136" Target="https://doi.org/10.1007/978-94-015-7799-1" TargetMode="External" /><Relationship Type="http://schemas.openxmlformats.org/officeDocument/2006/relationships/hyperlink" Id="rId160" Target="https://doi.org/10.1007/BF00141044" TargetMode="External" /><Relationship Type="http://schemas.openxmlformats.org/officeDocument/2006/relationships/hyperlink" Id="rId194" Target="https://doi.org/10.1007/s00168-010-0384-6" TargetMode="External" /><Relationship Type="http://schemas.openxmlformats.org/officeDocument/2006/relationships/hyperlink" Id="rId273" Target="https://doi.org/10.1007/s00168-022-01168-0" TargetMode="External" /><Relationship Type="http://schemas.openxmlformats.org/officeDocument/2006/relationships/hyperlink" Id="rId154" Target="https://doi.org/10.1007/s10290-016-0246-0" TargetMode="External" /><Relationship Type="http://schemas.openxmlformats.org/officeDocument/2006/relationships/hyperlink" Id="rId231" Target="https://doi.org/10.1007/s10708-018-9893-0" TargetMode="External" /><Relationship Type="http://schemas.openxmlformats.org/officeDocument/2006/relationships/hyperlink" Id="rId259" Target="https://doi.org/10.1007/s10708-021-10377-7" TargetMode="External" /><Relationship Type="http://schemas.openxmlformats.org/officeDocument/2006/relationships/hyperlink" Id="rId196" Target="https://doi.org/10.1007/s10887-014-9105-9" TargetMode="External" /><Relationship Type="http://schemas.openxmlformats.org/officeDocument/2006/relationships/hyperlink" Id="rId220" Target="https://doi.org/10.1007/s11205-025-03718-3" TargetMode="External" /><Relationship Type="http://schemas.openxmlformats.org/officeDocument/2006/relationships/hyperlink" Id="rId178" Target="https://doi.org/10.1007/s12076-024-00375-x" TargetMode="External" /><Relationship Type="http://schemas.openxmlformats.org/officeDocument/2006/relationships/hyperlink" Id="rId265" Target="https://doi.org/10.1007/s12076-025-00397-z" TargetMode="External" /><Relationship Type="http://schemas.openxmlformats.org/officeDocument/2006/relationships/hyperlink" Id="rId257" Target="https://doi.org/10.1016/0014-2921(95)00029-1" TargetMode="External" /><Relationship Type="http://schemas.openxmlformats.org/officeDocument/2006/relationships/hyperlink" Id="rId150" Target="https://doi.org/10.1016/j.asieco.2023.101589" TargetMode="External" /><Relationship Type="http://schemas.openxmlformats.org/officeDocument/2006/relationships/hyperlink" Id="rId227" Target="https://doi.org/10.1016/j.euroecorev.2016.11.009" TargetMode="External" /><Relationship Type="http://schemas.openxmlformats.org/officeDocument/2006/relationships/hyperlink" Id="rId267" Target="https://doi.org/10.1016/j.isprsjprs.2020.04.001" TargetMode="External" /><Relationship Type="http://schemas.openxmlformats.org/officeDocument/2006/relationships/hyperlink" Id="rId261" Target="https://doi.org/10.1016/j.jdeveco.2017.10.001" TargetMode="External" /><Relationship Type="http://schemas.openxmlformats.org/officeDocument/2006/relationships/hyperlink" Id="rId198" Target="https://doi.org/10.1016/j.jdeveco.2020.102602" TargetMode="External" /><Relationship Type="http://schemas.openxmlformats.org/officeDocument/2006/relationships/hyperlink" Id="rId204" Target="https://doi.org/10.1016/j.jdeveco.2020.102621" TargetMode="External" /><Relationship Type="http://schemas.openxmlformats.org/officeDocument/2006/relationships/hyperlink" Id="rId168" Target="https://doi.org/10.1016/j.jmacro.2022.103438" TargetMode="External" /><Relationship Type="http://schemas.openxmlformats.org/officeDocument/2006/relationships/hyperlink" Id="rId162" Target="https://doi.org/10.1016/j.jue.2020.103254" TargetMode="External" /><Relationship Type="http://schemas.openxmlformats.org/officeDocument/2006/relationships/hyperlink" Id="rId202" Target="https://doi.org/10.1016/j.rse.2017.06.031" TargetMode="External" /><Relationship Type="http://schemas.openxmlformats.org/officeDocument/2006/relationships/hyperlink" Id="rId128" Target="https://doi.org/10.1016/j.rse.2018.03.018" TargetMode="External" /><Relationship Type="http://schemas.openxmlformats.org/officeDocument/2006/relationships/hyperlink" Id="rId208" Target="https://doi.org/10.1016/j.seps.2024.102012" TargetMode="External" /><Relationship Type="http://schemas.openxmlformats.org/officeDocument/2006/relationships/hyperlink" Id="rId218" Target="https://doi.org/10.1016/j.worlddev.2014.08.017" TargetMode="External" /><Relationship Type="http://schemas.openxmlformats.org/officeDocument/2006/relationships/hyperlink" Id="rId170" Target="https://doi.org/10.1016/j.worlddev.2020.104961" TargetMode="External" /><Relationship Type="http://schemas.openxmlformats.org/officeDocument/2006/relationships/hyperlink" Id="rId233" Target="https://doi.org/10.1038/s41467-022-30099-9" TargetMode="External" /><Relationship Type="http://schemas.openxmlformats.org/officeDocument/2006/relationships/hyperlink" Id="rId229" Target="https://doi.org/10.1038/s41597-020-0510-y" TargetMode="External" /><Relationship Type="http://schemas.openxmlformats.org/officeDocument/2006/relationships/hyperlink" Id="rId174" Target="https://doi.org/10.1073/pnas.1017031108" TargetMode="External" /><Relationship Type="http://schemas.openxmlformats.org/officeDocument/2006/relationships/hyperlink" Id="rId200" Target="https://doi.org/10.1080/00036846.2024.2439583" TargetMode="External" /><Relationship Type="http://schemas.openxmlformats.org/officeDocument/2006/relationships/hyperlink" Id="rId239" Target="https://doi.org/10.1080/00074918.2022.2071415" TargetMode="External" /><Relationship Type="http://schemas.openxmlformats.org/officeDocument/2006/relationships/hyperlink" Id="rId253" Target="https://doi.org/10.1080/00343409950122945" TargetMode="External" /><Relationship Type="http://schemas.openxmlformats.org/officeDocument/2006/relationships/hyperlink" Id="rId237" Target="https://doi.org/10.1080/01431161.2013.833358" TargetMode="External" /><Relationship Type="http://schemas.openxmlformats.org/officeDocument/2006/relationships/hyperlink" Id="rId190" Target="https://doi.org/10.1080/01431161.2017.1342050" TargetMode="External" /><Relationship Type="http://schemas.openxmlformats.org/officeDocument/2006/relationships/hyperlink" Id="rId148" Target="https://doi.org/10.1080/13504851.2022.2099798" TargetMode="External" /><Relationship Type="http://schemas.openxmlformats.org/officeDocument/2006/relationships/hyperlink" Id="rId269" Target="https://doi.org/10.1080/13547860.2022.2041286" TargetMode="External" /><Relationship Type="http://schemas.openxmlformats.org/officeDocument/2006/relationships/hyperlink" Id="rId146" Target="https://doi.org/10.1086/261816" TargetMode="External" /><Relationship Type="http://schemas.openxmlformats.org/officeDocument/2006/relationships/hyperlink" Id="rId212" Target="https://doi.org/10.1086/725058" TargetMode="External" /><Relationship Type="http://schemas.openxmlformats.org/officeDocument/2006/relationships/hyperlink" Id="rId223" Target="https://doi.org/10.1093/comjnl/27.2.97" TargetMode="External" /><Relationship Type="http://schemas.openxmlformats.org/officeDocument/2006/relationships/hyperlink" Id="rId180" Target="https://doi.org/10.1093/ej/ueaf134" TargetMode="External" /><Relationship Type="http://schemas.openxmlformats.org/officeDocument/2006/relationships/hyperlink" Id="rId184" Target="https://doi.org/10.1093/jae/ejx027" TargetMode="External" /><Relationship Type="http://schemas.openxmlformats.org/officeDocument/2006/relationships/hyperlink" Id="rId247" Target="https://doi.org/10.1093/qje/qjw003" TargetMode="External" /><Relationship Type="http://schemas.openxmlformats.org/officeDocument/2006/relationships/hyperlink" Id="rId140" Target="https://doi.org/10.1093/wber/lhab003" TargetMode="External" /><Relationship Type="http://schemas.openxmlformats.org/officeDocument/2006/relationships/hyperlink" Id="rId164" Target="https://doi.org/10.1108/igdr-11-2021-0152" TargetMode="External" /><Relationship Type="http://schemas.openxmlformats.org/officeDocument/2006/relationships/hyperlink" Id="rId132" Target="https://doi.org/10.1111/ecin.12967" TargetMode="External" /><Relationship Type="http://schemas.openxmlformats.org/officeDocument/2006/relationships/hyperlink" Id="rId144" Target="https://doi.org/10.1111/ecoj.12247" TargetMode="External" /><Relationship Type="http://schemas.openxmlformats.org/officeDocument/2006/relationships/hyperlink" Id="rId130" Target="https://doi.org/10.1111/j.0950-0804.2005.00253.x" TargetMode="External" /><Relationship Type="http://schemas.openxmlformats.org/officeDocument/2006/relationships/hyperlink" Id="rId138" Target="https://doi.org/10.1111/j.1538-4632.1995.tb00338.x" TargetMode="External" /><Relationship Type="http://schemas.openxmlformats.org/officeDocument/2006/relationships/hyperlink" Id="rId271" Target="https://doi.org/10.1111/polp.70050" TargetMode="External" /><Relationship Type="http://schemas.openxmlformats.org/officeDocument/2006/relationships/hyperlink" Id="rId158" Target="https://doi.org/10.1111/rode.12712" TargetMode="External" /><Relationship Type="http://schemas.openxmlformats.org/officeDocument/2006/relationships/hyperlink" Id="rId216" Target="https://doi.org/10.1111/rode.12851" TargetMode="External" /><Relationship Type="http://schemas.openxmlformats.org/officeDocument/2006/relationships/hyperlink" Id="rId245" Target="https://doi.org/10.1126/science.1213847" TargetMode="External" /><Relationship Type="http://schemas.openxmlformats.org/officeDocument/2006/relationships/hyperlink" Id="rId210" Target="https://doi.org/10.1126/science.aaf7894" TargetMode="External" /><Relationship Type="http://schemas.openxmlformats.org/officeDocument/2006/relationships/hyperlink" Id="rId182" Target="https://doi.org/10.1162/rest_a_00993" TargetMode="External" /><Relationship Type="http://schemas.openxmlformats.org/officeDocument/2006/relationships/hyperlink" Id="rId225" Target="https://doi.org/10.1201/9781420064254" TargetMode="External" /><Relationship Type="http://schemas.openxmlformats.org/officeDocument/2006/relationships/hyperlink" Id="rId206" Target="https://doi.org/10.1257/aer.102.2.994" TargetMode="External" /><Relationship Type="http://schemas.openxmlformats.org/officeDocument/2006/relationships/hyperlink" Id="rId142" Target="https://doi.org/10.1257/aer.20180268" TargetMode="External" /><Relationship Type="http://schemas.openxmlformats.org/officeDocument/2006/relationships/hyperlink" Id="rId186" Target="https://doi.org/10.1257/jep.30.4.171" TargetMode="External" /><Relationship Type="http://schemas.openxmlformats.org/officeDocument/2006/relationships/hyperlink" Id="rId235" Target="https://doi.org/10.1371/journal.pone.0139779" TargetMode="External" /><Relationship Type="http://schemas.openxmlformats.org/officeDocument/2006/relationships/hyperlink" Id="rId214" Target="https://doi.org/10.1371/journal.pone.0318482" TargetMode="External" /><Relationship Type="http://schemas.openxmlformats.org/officeDocument/2006/relationships/hyperlink" Id="rId243" Target="https://doi.org/10.18335/region.v11i1.493" TargetMode="External" /><Relationship Type="http://schemas.openxmlformats.org/officeDocument/2006/relationships/hyperlink" Id="rId251" Target="https://doi.org/10.18335/region.v12i1.563" TargetMode="External" /><Relationship Type="http://schemas.openxmlformats.org/officeDocument/2006/relationships/hyperlink" Id="rId172" Target="https://doi.org/10.18335/region.v7i2.295" TargetMode="External" /><Relationship Type="http://schemas.openxmlformats.org/officeDocument/2006/relationships/hyperlink" Id="rId255" Target="https://doi.org/10.18335/region.v7i3.357" TargetMode="External" /><Relationship Type="http://schemas.openxmlformats.org/officeDocument/2006/relationships/hyperlink" Id="rId152" Target="https://doi.org/10.2139/ssrn.3818578" TargetMode="External" /><Relationship Type="http://schemas.openxmlformats.org/officeDocument/2006/relationships/hyperlink" Id="rId263" Target="https://doi.org/10.2307/1884513" TargetMode="External" /><Relationship Type="http://schemas.openxmlformats.org/officeDocument/2006/relationships/hyperlink" Id="rId249" Target="https://doi.org/10.2307/2235377" TargetMode="External" /><Relationship Type="http://schemas.openxmlformats.org/officeDocument/2006/relationships/hyperlink" Id="rId241" Target="https://doi.org/10.2307/2332142" TargetMode="External" /><Relationship Type="http://schemas.openxmlformats.org/officeDocument/2006/relationships/hyperlink" Id="rId275" Target="https://doi.org/10.2747/1548-1603.48.4.478" TargetMode="External" /><Relationship Type="http://schemas.openxmlformats.org/officeDocument/2006/relationships/hyperlink" Id="rId176" Target="https://doi.org/10.3390/rs11091057" TargetMode="External" /><Relationship Type="http://schemas.openxmlformats.org/officeDocument/2006/relationships/hyperlink" Id="rId156" Target="https://doi.org/10.3390/rs14051190" TargetMode="External" /><Relationship Type="http://schemas.openxmlformats.org/officeDocument/2006/relationships/hyperlink" Id="rId20" Target="https://github.com/quarcs-lab/project2025s-py" TargetMode="External" /><Relationship Type="http://schemas.openxmlformats.org/officeDocument/2006/relationships/hyperlink" Id="rId21" Target="https://quarcs-lab.github.io/project2025s-py/" TargetMode="External" /><Relationship Type="http://schemas.openxmlformats.org/officeDocument/2006/relationships/hyperlink" Id="rId47" Target="https://quarcs-lab.github.io/project2025s-py/notebooks/c01_view_from_space.html" TargetMode="External" /><Relationship Type="http://schemas.openxmlformats.org/officeDocument/2006/relationships/hyperlink" Id="rId106" Target="https://quarcs-lab.github.io/project2025s-py/notebooks/c06_spatial_culture.html" TargetMode="External" /><Relationship Type="http://schemas.openxmlformats.org/officeDocument/2006/relationships/hyperlink" Id="rId134" Target="https://quarto.org" TargetMode="External" /><Relationship Type="http://schemas.openxmlformats.org/officeDocument/2006/relationships/hyperlink" Id="rId166" Target="https://www.epw.in/journal/2017/25-26/notes/will-gst-exacerbate-regional-divergence.html" TargetMode="External" /><Relationship Type="http://schemas.openxmlformats.org/officeDocument/2006/relationships/hyperlink" Id="rId55" Target="notebooks/c02_regional_convergence_sc.ipynb" TargetMode="External" /><Relationship Type="http://schemas.openxmlformats.org/officeDocument/2006/relationships/hyperlink" Id="rId66"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Carlos Mendez; Sujana Kabiraj; Jiaqi Li</dc:creator>
  <cp:keywords>Regional convergence, Spatial dependence, Spatial Durbin model, Nighttime lights, Reproducible research, India</cp:keywords>
  <dcterms:created xsi:type="dcterms:W3CDTF">2026-08-27T04:27:03Z</dcterms:created>
  <dcterms:modified xsi:type="dcterms:W3CDTF">2026-08-27T04:27:03Z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In our fully specified model, accounting for them raises the implied speed from about 3.0% to about 5.2% per year, which shortens the half-life of regional disparities from roughly 23 to 13 years. The direct and total convergence effects are robust across seven definitions of the spatial weight matrix, and the spillover component is negative under all seven and statistically significant under five. We close by illustrating how the same reproducible workflow extends beyond economic output, with an exploratory analysis of how luminosity relates to cultural participation across Indian states. We also set out the gaps in data, geographic coverage, and theory that this line of work must close next.</vt:lpwstr>
  </property>
  <property fmtid="{D5CDD505-2E9C-101B-9397-08002B2CF9AE}" pid="3" name="accepted">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editor">
    <vt:lpwstr>source</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ceived">
    <vt:lpwstr>February 5, 2026</vt:lpwstr>
  </property>
  <property fmtid="{D5CDD505-2E9C-101B-9397-08002B2CF9AE}" pid="23" name="remove-hidden">
    <vt:lpwstr>all</vt:lpwstr>
  </property>
  <property fmtid="{D5CDD505-2E9C-101B-9397-08002B2CF9AE}" pid="24" name="subtitle">
    <vt:lpwstr>A reproducible view from outer space</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