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53.png" ContentType="image/png"/>
  <Override PartName="/word/media/rId64.png" ContentType="image/png"/>
  <Override PartName="/word/media/rId78.png" ContentType="image/png"/>
  <Override PartName="/word/media/rId73.png" ContentType="image/png"/>
  <Override PartName="/word/media/rId69.png" ContentType="image/png"/>
  <Override PartName="/word/media/rId110.png" ContentType="image/png"/>
  <Override PartName="/word/media/rId106.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In our fully specified model, accounting for them raises the implied speed from about 3.0% to about 5.2% per year, which shortens the half-life of regional disparities from roughly 23 to 13 years.</w:t>
      </w:r>
      <w:r>
        <w:t xml:space="preserve"> </w:t>
      </w:r>
      <w:r>
        <w:t xml:space="preserve">The direct and total convergence effects are robust across seven definitions of the spatial weight matrix, and the spillover component is negative under all seven and statistically significant under five.</w:t>
      </w:r>
      <w:r>
        <w:t xml:space="preserve"> </w:t>
      </w:r>
      <w:r>
        <w:t xml:space="preserve">We close by illustrating how the same reproducible workflow extends beyond economic output, with an exploratory analysis of how luminosity relates to cultural participation across Indian states.</w:t>
      </w:r>
      <w:r>
        <w:t xml:space="preserve"> </w:t>
      </w:r>
      <w:r>
        <w:t xml:space="preserve">We also set out the gaps in data, geographic coverage, and theory that this line of work must close next.</w:t>
      </w:r>
    </w:p>
    <w:bookmarkStart w:id="23" w:name="introduction"/>
    <w:p>
      <w:pPr>
        <w:pStyle w:val="Heading2"/>
      </w:pPr>
      <w:r>
        <w:t xml:space="preserve">Introduction</w:t>
      </w:r>
    </w:p>
    <w:p>
      <w:pPr>
        <w:pStyle w:val="FirstParagraph"/>
      </w:pPr>
      <w:r>
        <w:t xml:space="preserve">Regional growth and convergence are central concerns in developing countries, and above all in large federal states such as India, where spatial inequalities can threaten social cohesion and political stability.</w:t>
      </w:r>
      <w:r>
        <w:t xml:space="preserve"> </w:t>
      </w:r>
      <w:r>
        <w:t xml:space="preserve">Consistent economic data are rarely available below the state level, which has long made convergence difficult to study.</w:t>
      </w:r>
      <w:r>
        <w:t xml:space="preserve"> </w:t>
      </w:r>
      <w:r>
        <w:t xml:space="preserve">Satellite nighttime lights, used as a proxy for economic activity, have relaxed that constraint and opened a literature on regional growth at granular scales.</w:t>
      </w:r>
    </w:p>
    <w:p>
      <w:pPr>
        <w:pStyle w:val="BodyText"/>
      </w:pPr>
      <w:r>
        <w:t xml:space="preserve">Chanda and Kabiraj (2020)</w:t>
      </w:r>
      <w:r>
        <w:t xml:space="preserve"> </w:t>
      </w:r>
      <w:r>
        <w:t xml:space="preserve">used nighttime light data to document regional convergence across 520 districts in India between 1996 and 2010, with poorer districts growing faster than richer ones.</w:t>
      </w:r>
      <w:r>
        <w:t xml:space="preserve"> </w:t>
      </w:r>
      <w:r>
        <w:t xml:space="preserve">Their econometric approach, however, did not model spatial dependence.</w:t>
      </w:r>
      <w:r>
        <w:t xml:space="preserve"> </w:t>
      </w:r>
      <w:r>
        <w:t xml:space="preserve">The initial luminosity of neighboring districts enters only as a robustness control, with no spatially lagged dependent variable and no impact decomposition.</w:t>
      </w:r>
      <w:r>
        <w:t xml:space="preserve"> </w:t>
      </w:r>
      <w:r>
        <w:t xml:space="preserve">The growth of a district may nevertheless depend on the initial conditions of its neighbors as well as on its own.</w:t>
      </w:r>
    </w:p>
    <w:p>
      <w:pPr>
        <w:pStyle w:val="BodyText"/>
      </w:pPr>
      <w:r>
        <w:t xml:space="preserve">This article extends that analysis in three methodological directions, and each of them yields a substantive result.</w:t>
      </w:r>
      <w:r>
        <w:t xml:space="preserve"> </w:t>
      </w:r>
      <w:r>
        <w:t xml:space="preserve">First, we develop an interactive visualization tool for the spatial and temporal patterns of regional convergence in nighttime lights, which identifies converging regions and growth hotspots that static visualizations obscure.</w:t>
      </w:r>
      <w:r>
        <w:t xml:space="preserve"> </w:t>
      </w:r>
      <w:r>
        <w:t xml:space="preserve">It reveals clear spatial patterns in both the initial distribution and the subsequent growth of luminosity.</w:t>
      </w:r>
      <w:r>
        <w:t xml:space="preserve"> </w:t>
      </w:r>
      <w:r>
        <w:t xml:space="preserve">Second, we test formally for spatial dependence in the dependent and the independent variables of the convergence equation, and find that district-level economic trajectories are not independent of their neighbors.</w:t>
      </w:r>
      <w:r>
        <w:t xml:space="preserve"> </w:t>
      </w:r>
      <w:r>
        <w:t xml:space="preserve">Third, we employ a spatial Durbin model to measure how much of the estimated convergence is associated with the initial conditions of neighboring districts, and find that catch-up across Indian districts has a neighborhood dimension as well as a district one.</w:t>
      </w:r>
      <w:r>
        <w:t xml:space="preserve"> </w:t>
      </w:r>
      <w:r>
        <w:t xml:space="preserve">The indirect effect of initial luminosity is negative and statistically significant at the 10% level, so districts whose neighbors started from a lower base grew faster than their own initial conditions alone would predict.</w:t>
      </w:r>
    </w:p>
    <w:p>
      <w:pPr>
        <w:pStyle w:val="BodyText"/>
      </w:pPr>
      <w:r>
        <w:t xml:space="preserve">These contributions have three dimensions, and it is worth stating which of them carries the most weight.</w:t>
      </w:r>
      <w:r>
        <w:t xml:space="preserve"> </w:t>
      </w:r>
      <w:r>
        <w:t xml:space="preserve">The article is in part a replication and extension, since it adopts the data, the sample, and the conditioning set of</w:t>
      </w:r>
      <w:r>
        <w:t xml:space="preserve"> </w:t>
      </w:r>
      <w:r>
        <w:t xml:space="preserve">Chanda and Kabiraj (2020)</w:t>
      </w:r>
      <w:r>
        <w:t xml:space="preserve"> </w:t>
      </w:r>
      <w:r>
        <w:t xml:space="preserve">unchanged, so that any difference in the estimates reflects the spatial specification and not a different research design.</w:t>
      </w:r>
      <w:r>
        <w:t xml:space="preserve"> </w:t>
      </w:r>
      <w:r>
        <w:t xml:space="preserve">It is also in part a substantive contribution to what is known about convergence across Indian districts.</w:t>
      </w:r>
      <w:r>
        <w:t xml:space="preserve"> </w:t>
      </w:r>
      <w:r>
        <w:t xml:space="preserve">Its primary contribution, however, is methodological: a complete spatial econometric study of regional convergence, from raw satellite imagery through the weight matrix and the impact decomposition to the robustness checks, can be published in a form that any reader can re-execute in a browser.</w:t>
      </w:r>
      <w:r>
        <w:t xml:space="preserve"> </w:t>
      </w:r>
      <w:r>
        <w:t xml:space="preserve">This journal has argued for that form of publication in a special issue on computational notebooks</w:t>
      </w:r>
      <w:r>
        <w:t xml:space="preserve"> </w:t>
      </w:r>
      <w:r>
        <w:t xml:space="preserve">(Rowe et al. 2020)</w:t>
      </w:r>
      <w:r>
        <w:t xml:space="preserve">, which includes one for acquiring and processing satellite imagery</w:t>
      </w:r>
      <w:r>
        <w:t xml:space="preserve"> </w:t>
      </w:r>
      <w:r>
        <w:t xml:space="preserve">(M. Chen et al. 2020)</w:t>
      </w:r>
      <w:r>
        <w:t xml:space="preserve">.</w:t>
      </w:r>
      <w:r>
        <w:t xml:space="preserve"> </w:t>
      </w:r>
      <w:r>
        <w:t xml:space="preserve">A Python notebook for nighttime lights has appeared here since</w:t>
      </w:r>
      <w:r>
        <w:t xml:space="preserve"> </w:t>
      </w:r>
      <w:r>
        <w:t xml:space="preserve">(Patnaik and Mendez 2024)</w:t>
      </w:r>
      <w:r>
        <w:t xml:space="preserve">, as has a study of spatial inequality using the same combination of Python and Quarto that we use here</w:t>
      </w:r>
      <w:r>
        <w:t xml:space="preserve"> </w:t>
      </w:r>
      <w:r>
        <w:t xml:space="preserve">(Rey 2025)</w:t>
      </w:r>
      <w:r>
        <w:t xml:space="preserve">.</w:t>
      </w:r>
      <w:r>
        <w:t xml:space="preserve"> </w:t>
      </w:r>
      <w:r>
        <w:t xml:space="preserve">What this article adds to that line of work is a complete applied study rather than a tool or a demonstration dataset.</w:t>
      </w:r>
    </w:p>
    <w:p>
      <w:pPr>
        <w:pStyle w:val="BodyText"/>
      </w:pPr>
      <w:r>
        <w:t xml:space="preserve">That the spatial specification raises rather than lowers the measured speed of convergence is a substantive result and not merely a methodological one.</w:t>
      </w:r>
      <w:r>
        <w:t xml:space="preserve"> </w:t>
      </w:r>
      <w:r>
        <w:t xml:space="preserve">That convergence estimates respond to spatial dependence is well established, but the direction of the response is not, and on that point the published evidence divides.</w:t>
      </w:r>
      <w:r>
        <w:t xml:space="preserve"> </w:t>
      </w:r>
      <w:r>
        <w:t xml:space="preserve">Allowing for it lowers the estimated speed across European regions and Indonesian districts, and reduces the estimated role of initial income across Indian states at a more aggregated level</w:t>
      </w:r>
      <w:r>
        <w:t xml:space="preserve"> </w:t>
      </w:r>
      <w:r>
        <w:t xml:space="preserve">(Isla-Castillo, Garashchuk, and Podadera-Rivera 2024; Santos-Marquez, Gunawan, and Mendez 2022; Lolayekar and Mukhopadhyay 2019)</w:t>
      </w:r>
      <w:r>
        <w:t xml:space="preserve">.</w:t>
      </w:r>
      <w:r>
        <w:t xml:space="preserve"> </w:t>
      </w:r>
      <w:r>
        <w:t xml:space="preserve">Across Indian districts it raises the estimated speed, from about 3.0% to about 5.2% per year, because here the spillover works with within-district catch-up rather than against it.</w:t>
      </w:r>
      <w:r>
        <w:t xml:space="preserve"> </w:t>
      </w:r>
      <w:r>
        <w:t xml:space="preserve">What the article adds on this point is therefore a signed estimate of that effect for a specific setting, benchmarked against the comparable literature in the results section.</w:t>
      </w:r>
    </w:p>
    <w:p>
      <w:pPr>
        <w:pStyle w:val="BodyText"/>
      </w:pPr>
      <w:r>
        <w:t xml:space="preserve">Beyond these three contributions, we illustrate the wider potential of luminosity data with an exploratory analysis of how it relates to cultural participation across Indian states.</w:t>
      </w:r>
      <w:r>
        <w:t xml:space="preserve"> </w:t>
      </w:r>
      <w:r>
        <w:t xml:space="preserve">That exercise relies on state-level data for an adjacent period, and on rank correlations rather than on the district-level convergence framework.</w:t>
      </w:r>
      <w:r>
        <w:t xml:space="preserve"> </w:t>
      </w:r>
      <w:r>
        <w:t xml:space="preserve">We present it as a demonstration of what the workflow makes possible rather than as additional evidence on the convergence process itself.</w:t>
      </w:r>
    </w:p>
    <w:p>
      <w:pPr>
        <w:pStyle w:val="BodyText"/>
      </w:pPr>
      <w:r>
        <w:t xml:space="preserve">These findings carry implications for methodology and for policy.</w:t>
      </w:r>
      <w:r>
        <w:t xml:space="preserve"> </w:t>
      </w:r>
      <w:r>
        <w:t xml:space="preserve">Methodologically, they suggest that in settings of this kind conventional non-spatial approaches understate the speed of regional convergence because they omit the spatial structure of the growth process.</w:t>
      </w:r>
      <w:r>
        <w:t xml:space="preserve"> </w:t>
      </w:r>
      <w:r>
        <w:t xml:space="preserve">For policy, the implied half-life of regional disparities falls from roughly 23 years to 13, and if the indirect effects reflect genuine spillovers, place-based policies would benefit more districts than they target and be more cost-effective than conventional estimates imply.</w:t>
      </w:r>
      <w:r>
        <w:t xml:space="preserve"> </w:t>
      </w:r>
      <w:r>
        <w:t xml:space="preserve">The Indian evidence, however, also carries a warning: a district-targeted tax program has been found to raise activity partly by displacing it from neighboring districts that narrowly missed qualifying</w:t>
      </w:r>
      <w:r>
        <w:t xml:space="preserve"> </w:t>
      </w:r>
      <w:r>
        <w:t xml:space="preserve">(Hasan, Jiang, and Rafols 2021)</w:t>
      </w:r>
      <w:r>
        <w:t xml:space="preserve">.</w:t>
      </w:r>
      <w:r>
        <w:t xml:space="preserve"> </w:t>
      </w:r>
      <w:r>
        <w:t xml:space="preserve">Displaced activity would appear in our framework as a spillover, so we weigh both readings in the discussion.</w:t>
      </w:r>
    </w:p>
    <w:p>
      <w:pPr>
        <w:pStyle w:val="BodyText"/>
      </w:pPr>
      <w:r>
        <w:t xml:space="preserve">Every empirical figure and table in this article is produced by one of the six computational notebooks listed in</w:t>
      </w:r>
      <w:r>
        <w:t xml:space="preserve"> </w:t>
      </w:r>
      <w:hyperlink w:anchor="tbl-notebooks">
        <w:r>
          <w:rPr>
            <w:rStyle w:val="Hyperlink"/>
          </w:rPr>
          <w:t xml:space="preserve">Table 1</w:t>
        </w:r>
      </w:hyperlink>
      <w:r>
        <w:t xml:space="preserve">.</w:t>
      </w:r>
      <w:r>
        <w:t xml:space="preserve"> </w:t>
      </w:r>
      <w:r>
        <w:t xml:space="preserve">The five analytical notebooks are written in Python and run directly in Google Colaboratory, so that a reader needs no local installation, no environment configuration, and no software licenses.</w:t>
      </w:r>
      <w:r>
        <w:t xml:space="preserve"> </w:t>
      </w:r>
      <w:r>
        <w:t xml:space="preserve">Opening a notebook through its Colab badge and clicking</w:t>
      </w:r>
      <w:r>
        <w:t xml:space="preserve"> </w:t>
      </w:r>
      <w:r>
        <w:rPr>
          <w:i/>
          <w:iCs/>
        </w:rPr>
        <w:t xml:space="preserve">Run all</w:t>
      </w:r>
      <w:r>
        <w:t xml:space="preserve"> </w:t>
      </w:r>
      <w:r>
        <w:t xml:space="preserve">downloads the raw data from the repository and re-executes the analysis, regenerating every figure and table that the notebook contributes.</w:t>
      </w:r>
      <w:r>
        <w:t xml:space="preserve"> </w:t>
      </w:r>
      <w:r>
        <w:t xml:space="preserve">The remaining notebook, N1, hosts the interactive visualization and its Google Earth Engine source code, which runs in the Earth Engine Code Editor.</w:t>
      </w:r>
      <w:r>
        <w:t xml:space="preserve"> </w:t>
      </w:r>
      <w:r>
        <w:t xml:space="preserve">The notebooks, the data, and the manuscript source are in the project repository at</w:t>
      </w:r>
      <w:r>
        <w:t xml:space="preserve"> </w:t>
      </w:r>
      <w:hyperlink r:id="rId20">
        <w:r>
          <w:rPr>
            <w:rStyle w:val="Hyperlink"/>
          </w:rPr>
          <w:t xml:space="preserve">https://github.com/quarcs-lab/project2025s-py</w:t>
        </w:r>
      </w:hyperlink>
      <w:r>
        <w:t xml:space="preserve">, and their rendered versions are embedded in the online edition at</w:t>
      </w:r>
      <w:r>
        <w:t xml:space="preserve"> </w:t>
      </w:r>
      <w:hyperlink r:id="rId21">
        <w:r>
          <w:rPr>
            <w:rStyle w:val="Hyperlink"/>
          </w:rPr>
          <w:t xml:space="preserve">https://quarcs-lab.github.io/project2025s-py/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notebooks"/>
          <w:p>
            <w:pPr>
              <w:jc w:val="center"/>
            </w:pPr>
            <w:pPr>
              <w:jc w:val="left"/>
              <w:spacing w:before="200"/>
              <w:pStyle w:val="ImageCaption"/>
            </w:pPr>
            <w:r>
              <w:t xml:space="preserve">Table 1: Computational notebooks underlying this article. Each analytical notebook carries a Colab badge that opens it in the browser, ready to run without any local setup.</w:t>
            </w:r>
          </w:p>
          <w:tbl>
            <w:tblPr>
              <w:tblStyle w:val="Table"/>
              <w:tblW w:type="pct" w:w="5000"/>
              <w:tblLayout w:type="fixed"/>
              <w:tblLook w:firstRow="1" w:lastRow="0" w:firstColumn="0" w:lastColumn="0" w:noHBand="0" w:noVBand="0" w:val="0020"/>
            </w:tblPr>
            <w:tblGrid>
              <w:gridCol w:w="2828"/>
              <w:gridCol w:w="2545"/>
              <w:gridCol w:w="2545"/>
            </w:tblGrid>
            <w:tr>
              <w:trPr>
                <w:tblHeader w:val="on"/>
              </w:trPr>
              <w:tc>
                <w:tcPr/>
                <w:p>
                  <w:pPr>
                    <w:pStyle w:val="Compact"/>
                    <w:jc w:val="left"/>
                    <w:jc w:val="center"/>
                  </w:pPr>
                  <w:r>
                    <w:t xml:space="preserve">Notebook</w:t>
                  </w:r>
                </w:p>
              </w:tc>
              <w:tc>
                <w:tcPr/>
                <w:p>
                  <w:pPr>
                    <w:pStyle w:val="Compact"/>
                    <w:jc w:val="left"/>
                    <w:jc w:val="center"/>
                  </w:pPr>
                  <w:r>
                    <w:t xml:space="preserve">Content</w:t>
                  </w:r>
                </w:p>
              </w:tc>
              <w:tc>
                <w:tcPr/>
                <w:p>
                  <w:pPr>
                    <w:pStyle w:val="Compact"/>
                    <w:jc w:val="left"/>
                    <w:jc w:val="center"/>
                  </w:pPr>
                  <w:r>
                    <w:t xml:space="preserve">Runs in</w:t>
                  </w:r>
                </w:p>
              </w:tc>
            </w:tr>
            <w:tr>
              <w:tc>
                <w:tcPr/>
                <w:p>
                  <w:pPr>
                    <w:pStyle w:val="Compact"/>
                    <w:jc w:val="left"/>
                    <w:jc w:val="center"/>
                  </w:pPr>
                  <w:r>
                    <w:t xml:space="preserve">N1. View from outer space</w:t>
                  </w:r>
                </w:p>
              </w:tc>
              <w:tc>
                <w:tcPr/>
                <w:p>
                  <w:pPr>
                    <w:pStyle w:val="Compact"/>
                    <w:jc w:val="left"/>
                    <w:jc w:val="center"/>
                  </w:pPr>
                  <w:r>
                    <w:t xml:space="preserve">Interactive visualization of regional luminosity and its Earth Engine source code</w:t>
                  </w:r>
                </w:p>
              </w:tc>
              <w:tc>
                <w:tcPr/>
                <w:p>
                  <w:pPr>
                    <w:pStyle w:val="Compact"/>
                    <w:jc w:val="left"/>
                    <w:jc w:val="center"/>
                  </w:pPr>
                  <w:r>
                    <w:t xml:space="preserve">Earth Engine Code Editor</w:t>
                  </w:r>
                </w:p>
              </w:tc>
            </w:tr>
            <w:tr>
              <w:tc>
                <w:tcPr/>
                <w:p>
                  <w:pPr>
                    <w:pStyle w:val="Compact"/>
                    <w:jc w:val="left"/>
                    <w:jc w:val="center"/>
                  </w:pPr>
                  <w:r>
                    <w:t xml:space="preserve">N2. Regional convergence</w:t>
                  </w:r>
                </w:p>
              </w:tc>
              <w:tc>
                <w:tcPr/>
                <w:p>
                  <w:pPr>
                    <w:pStyle w:val="Compact"/>
                    <w:jc w:val="left"/>
                    <w:jc w:val="center"/>
                  </w:pPr>
                  <w:r>
                    <w:t xml:space="preserve">Bivariate convergence of luminosity growth on initial luminosity, with the implied speed and half-life</w:t>
                  </w:r>
                </w:p>
              </w:tc>
              <w:tc>
                <w:tcPr/>
                <w:p>
                  <w:pPr>
                    <w:pStyle w:val="Compact"/>
                    <w:jc w:val="left"/>
                    <w:jc w:val="center"/>
                  </w:pPr>
                  <w:r>
                    <w:t xml:space="preserve">Google Colaboratory</w:t>
                  </w:r>
                </w:p>
              </w:tc>
            </w:tr>
            <w:tr>
              <w:tc>
                <w:tcPr/>
                <w:p>
                  <w:pPr>
                    <w:pStyle w:val="Compact"/>
                    <w:jc w:val="left"/>
                    <w:jc w:val="center"/>
                  </w:pPr>
                  <w:r>
                    <w:t xml:space="preserve">N3. Spatial dependence</w:t>
                  </w:r>
                </w:p>
              </w:tc>
              <w:tc>
                <w:tcPr/>
                <w:p>
                  <w:pPr>
                    <w:pStyle w:val="Compact"/>
                    <w:jc w:val="left"/>
                    <w:jc w:val="center"/>
                  </w:pPr>
                  <w:r>
                    <w:t xml:space="preserve">Spatial weight matrices, Global Moran’s I, and LISA cluster maps</w:t>
                  </w:r>
                </w:p>
              </w:tc>
              <w:tc>
                <w:tcPr/>
                <w:p>
                  <w:pPr>
                    <w:pStyle w:val="Compact"/>
                    <w:jc w:val="left"/>
                    <w:jc w:val="center"/>
                  </w:pPr>
                  <w:r>
                    <w:t xml:space="preserve">Google Colaboratory</w:t>
                  </w:r>
                </w:p>
              </w:tc>
            </w:tr>
            <w:tr>
              <w:tc>
                <w:tcPr/>
                <w:p>
                  <w:pPr>
                    <w:pStyle w:val="Compact"/>
                    <w:jc w:val="left"/>
                    <w:jc w:val="center"/>
                  </w:pPr>
                  <w:r>
                    <w:t xml:space="preserve">N4. Spillover modeling</w:t>
                  </w:r>
                </w:p>
              </w:tc>
              <w:tc>
                <w:tcPr/>
                <w:p>
                  <w:pPr>
                    <w:pStyle w:val="Compact"/>
                    <w:jc w:val="left"/>
                    <w:jc w:val="center"/>
                  </w:pPr>
                  <w:r>
                    <w:t xml:space="preserve">OLS and spatial Durbin estimates, the decomposition into direct and indirect impacts, and convergence speeds</w:t>
                  </w:r>
                </w:p>
              </w:tc>
              <w:tc>
                <w:tcPr/>
                <w:p>
                  <w:pPr>
                    <w:pStyle w:val="Compact"/>
                    <w:jc w:val="left"/>
                    <w:jc w:val="center"/>
                  </w:pPr>
                  <w:r>
                    <w:t xml:space="preserve">Google Colaboratory</w:t>
                  </w:r>
                </w:p>
              </w:tc>
            </w:tr>
            <w:tr>
              <w:tc>
                <w:tcPr/>
                <w:p>
                  <w:pPr>
                    <w:pStyle w:val="Compact"/>
                    <w:jc w:val="left"/>
                    <w:jc w:val="center"/>
                  </w:pPr>
                  <w:r>
                    <w:t xml:space="preserve">N5. Robustness</w:t>
                  </w:r>
                </w:p>
              </w:tc>
              <w:tc>
                <w:tcPr/>
                <w:p>
                  <w:pPr>
                    <w:pStyle w:val="Compact"/>
                    <w:jc w:val="left"/>
                    <w:jc w:val="center"/>
                  </w:pPr>
                  <w:r>
                    <w:t xml:space="preserve">Model 4 re-estimated under seven spatial weight matrices</w:t>
                  </w:r>
                </w:p>
              </w:tc>
              <w:tc>
                <w:tcPr/>
                <w:p>
                  <w:pPr>
                    <w:pStyle w:val="Compact"/>
                    <w:jc w:val="left"/>
                    <w:jc w:val="center"/>
                  </w:pPr>
                  <w:r>
                    <w:t xml:space="preserve">Google Colaboratory</w:t>
                  </w:r>
                </w:p>
              </w:tc>
            </w:tr>
            <w:tr>
              <w:tc>
                <w:tcPr/>
                <w:p>
                  <w:pPr>
                    <w:pStyle w:val="Compact"/>
                    <w:jc w:val="left"/>
                    <w:jc w:val="center"/>
                  </w:pPr>
                  <w:r>
                    <w:t xml:space="preserve">N6. Spatial culture</w:t>
                  </w:r>
                </w:p>
              </w:tc>
              <w:tc>
                <w:tcPr/>
                <w:p>
                  <w:pPr>
                    <w:pStyle w:val="Compact"/>
                    <w:jc w:val="left"/>
                    <w:jc w:val="center"/>
                  </w:pPr>
                  <w:r>
                    <w:t xml:space="preserve">Luminosity and cultural participation across Indian states</w:t>
                  </w:r>
                </w:p>
              </w:tc>
              <w:tc>
                <w:tcPr/>
                <w:p>
                  <w:pPr>
                    <w:pStyle w:val="Compact"/>
                    <w:jc w:val="left"/>
                    <w:jc w:val="center"/>
                  </w:pPr>
                  <w:r>
                    <w:t xml:space="preserve">Google Colaboratory</w:t>
                  </w:r>
                </w:p>
              </w:tc>
            </w:tr>
          </w:tbl>
          <w:bookmarkEnd w:id="22"/>
          <w:p/>
        </w:tc>
      </w:tr>
    </w:tbl>
    <w:p>
      <w:pPr>
        <w:pStyle w:val="BodyText"/>
      </w:pPr>
      <w:r>
        <w:t xml:space="preserve">Setting out what this approach can do also makes clear what it cannot do yet, and three constraints stand out.</w:t>
      </w:r>
      <w:r>
        <w:t xml:space="preserve"> </w:t>
      </w:r>
      <w:r>
        <w:t xml:space="preserve">The first concerns the data, since the DMSP-OLS series on which this literature rests is coarse, saturates in bright urban cores, and blurs light across administrative boundaries.</w:t>
      </w:r>
      <w:r>
        <w:t xml:space="preserve"> </w:t>
      </w:r>
      <w:r>
        <w:t xml:space="preserve">The second concerns geography, since lights record only development that is illuminated, so they are least informative exactly where conventional statistics are weakest.</w:t>
      </w:r>
      <w:r>
        <w:t xml:space="preserve"> </w:t>
      </w:r>
      <w:r>
        <w:t xml:space="preserve">The third concerns theory, since luminosity is now applied well beyond convergence analysis, yet it discriminates differences across places far better than changes over time, which limits what short-horizon studies can credibly claim.</w:t>
      </w:r>
      <w:r>
        <w:t xml:space="preserve"> </w:t>
      </w:r>
      <w:r>
        <w:t xml:space="preserve">We return to each in the discussion, where they define a research agenda rather than a list of caveats.</w:t>
      </w:r>
    </w:p>
    <w:p>
      <w:pPr>
        <w:pStyle w:val="BodyText"/>
      </w:pPr>
      <w:r>
        <w:t xml:space="preserve">The rest of this article is organized as follows.</w:t>
      </w:r>
      <w:r>
        <w:t xml:space="preserve"> </w:t>
      </w:r>
      <w:r>
        <w:t xml:space="preserve">Section 2 describes the data and methods, and Section 3 presents the empirical results.</w:t>
      </w:r>
      <w:r>
        <w:t xml:space="preserve"> </w:t>
      </w:r>
      <w:r>
        <w:t xml:space="preserve">Section 4 discusses what the estimates imply for regional policy, what a single growth period cannot show, an exploratory extension beyond economic output, the gaps in data, geography, and theory that remain open, and what reproducible practice contributes.</w:t>
      </w:r>
      <w:r>
        <w:t xml:space="preserve"> </w:t>
      </w:r>
      <w:r>
        <w:t xml:space="preserve">Section 5 offers some concluding remarks.</w:t>
      </w:r>
    </w:p>
    <w:bookmarkEnd w:id="23"/>
    <w:bookmarkStart w:id="45" w:name="data-and-methods"/>
    <w:p>
      <w:pPr>
        <w:pStyle w:val="Heading2"/>
      </w:pPr>
      <w:r>
        <w:t xml:space="preserve">Data and methods</w:t>
      </w:r>
    </w:p>
    <w:bookmarkStart w:id="26"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such as India is the limited availability and reliability of data on aggregate economic activity below the state level.</w:t>
      </w:r>
      <w:r>
        <w:t xml:space="preserve"> </w:t>
      </w:r>
      <w:r>
        <w:t xml:space="preserve">To address this problem, a growing body of literature pioneered by</w:t>
      </w:r>
      <w:r>
        <w:t xml:space="preserve"> </w:t>
      </w:r>
      <w:r>
        <w:t xml:space="preserve">Henderson, Storeygard, and Weil (2012)</w:t>
      </w:r>
      <w:r>
        <w:t xml:space="preserve"> </w:t>
      </w:r>
      <w:r>
        <w:t xml:space="preserve">has used satellite nighttime light data as a proxy for economic activity at subnational levels.</w:t>
      </w:r>
      <w:r>
        <w:t xml:space="preserve"> </w:t>
      </w:r>
      <w:r>
        <w:t xml:space="preserve">This approach exploits the empirical correlation between the intensity of artificial light observed from satellites and the level of economic output on the ground.</w:t>
      </w:r>
      <w:r>
        <w:t xml:space="preserve"> </w:t>
      </w:r>
      <w:r>
        <w:t xml:space="preserve">X. Chen and Nordhaus (2011)</w:t>
      </w:r>
      <w:r>
        <w:t xml:space="preserve"> </w:t>
      </w:r>
      <w:r>
        <w:t xml:space="preserve">show that the proxy carries most information where official statistics are of low quality.</w:t>
      </w:r>
    </w:p>
    <w:p>
      <w:pPr>
        <w:pStyle w:val="BodyText"/>
      </w:pPr>
      <w:r>
        <w:t xml:space="preserve">Nighttime light (hereafter NTL) data have been widely used to investigate economic growth and convergence across national and subnational regions.</w:t>
      </w:r>
      <w:r>
        <w:t xml:space="preserve"> </w:t>
      </w:r>
      <w:r>
        <w:t xml:space="preserve">Applications include the effect of decentralization on convergence</w:t>
      </w:r>
      <w:r>
        <w:t xml:space="preserve"> </w:t>
      </w:r>
      <w:r>
        <w:t xml:space="preserve">(Adhikari and Dhital 2021)</w:t>
      </w:r>
      <w:r>
        <w:t xml:space="preserve">, the adjudication between national accounts and household surveys, which national accounts win</w:t>
      </w:r>
      <w:r>
        <w:t xml:space="preserve"> </w:t>
      </w:r>
      <w:r>
        <w:t xml:space="preserve">(Pinkovskiy and Sala-i-Martin 2016)</w:t>
      </w:r>
      <w:r>
        <w:t xml:space="preserve">, and the global estimation of GDP per capita and spatial inequality</w:t>
      </w:r>
      <w:r>
        <w:t xml:space="preserve"> </w:t>
      </w:r>
      <w:r>
        <w:t xml:space="preserve">(Lessmann and Seidel 2017)</w:t>
      </w:r>
      <w:r>
        <w:t xml:space="preserve">.</w:t>
      </w:r>
      <w:r>
        <w:t xml:space="preserve"> </w:t>
      </w:r>
      <w:r>
        <w:t xml:space="preserve">The Indian literature is equally varied, and it covers welfare programs, colonial institutions, demonetization, and the pandemic.</w:t>
      </w:r>
      <w:r>
        <w:rPr>
          <w:rStyle w:val="FootnoteReference"/>
        </w:rPr>
        <w:footnoteReference w:id="24"/>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 based on observations from the DMSP-OLS satellites over the period from 1996 to 2010.</w:t>
      </w:r>
      <w:r>
        <w:t xml:space="preserve"> </w:t>
      </w:r>
      <w:r>
        <w:t xml:space="preserve">To mitigate the issue of top-coding, the NGDC released radiance-calibrated nighttime lights for eight specific years, using high magnification settings for low-light regions and low magnification settings for brightly lit areas.</w:t>
      </w:r>
      <w:r>
        <w:t xml:space="preserve"> </w:t>
      </w:r>
      <w:r>
        <w:t xml:space="preserve">Six of those eight fall inside our sample window, and they are the dates our dataset holds.</w:t>
      </w:r>
      <w:r>
        <w:t xml:space="preserve"> </w:t>
      </w:r>
      <w:r>
        <w:t xml:space="preserve">We use the radiance-calibrated series throughout.</w:t>
      </w:r>
      <w:r>
        <w:rPr>
          <w:rStyle w:val="FootnoteReference"/>
        </w:rPr>
        <w:footnoteReference w:id="25"/>
      </w:r>
    </w:p>
    <w:bookmarkEnd w:id="26"/>
    <w:bookmarkStart w:id="27" w:name="X4b06f35525457a58a6ba46c6f4688096e2e6dda"/>
    <w:p>
      <w:pPr>
        <w:pStyle w:val="Heading3"/>
      </w:pPr>
      <w:r>
        <w:t xml:space="preserve">Jupyter and Quarto for reproducible open science</w:t>
      </w:r>
    </w:p>
    <w:p>
      <w:pPr>
        <w:pStyle w:val="FirstParagraph"/>
      </w:pPr>
      <w:r>
        <w:t xml:space="preserve">Jupyter notebooks integrate executable code, explanatory narrative, and computational outputs within a single self-contained document</w:t>
      </w:r>
      <w:r>
        <w:t xml:space="preserve"> </w:t>
      </w:r>
      <w:r>
        <w:t xml:space="preserve">(Kluyver et al. 2016)</w:t>
      </w:r>
      <w:r>
        <w:t xml:space="preserve">, which is the practical expression of literate programming</w:t>
      </w:r>
      <w:r>
        <w:t xml:space="preserve"> </w:t>
      </w:r>
      <w:r>
        <w:t xml:space="preserve">(Knuth 1984)</w:t>
      </w:r>
      <w:r>
        <w:t xml:space="preserve">.</w:t>
      </w:r>
      <w:r>
        <w:t xml:space="preserve"> </w:t>
      </w:r>
      <w:r>
        <w:t xml:space="preserve">We employ notebooks running a single Python kernel to document our data processing, analysis, and visualization steps, so that each result can be traced back to the code that produced it.</w:t>
      </w:r>
      <w:r>
        <w:t xml:space="preserve"> </w:t>
      </w:r>
      <w:r>
        <w:t xml:space="preserve">Relying on an open-source toolchain also means that the entire pipeline can be re-executed without proprietary software.</w:t>
      </w:r>
    </w:p>
    <w:p>
      <w:pPr>
        <w:pStyle w:val="BodyText"/>
      </w:pPr>
      <w:r>
        <w:t xml:space="preserve">Quarto extends these notebooks into a manuscript framework</w:t>
      </w:r>
      <w:r>
        <w:t xml:space="preserve"> </w:t>
      </w:r>
      <w:r>
        <w:t xml:space="preserve">(Allaire et al. 2024)</w:t>
      </w:r>
      <w:r>
        <w:t xml:space="preserve">.</w:t>
      </w:r>
      <w:r>
        <w:t xml:space="preserve"> </w:t>
      </w:r>
      <w:r>
        <w:t xml:space="preserve">The figures and tables in this article are embedded programmatically from specific notebook cells, so that every empirical claim in the text is traceable to the computation behind it.</w:t>
      </w:r>
      <w:r>
        <w:t xml:space="preserve"> </w:t>
      </w:r>
      <w:r>
        <w:t xml:space="preserve">A single source file generates the HTML, PDF, Word, and JATS XML versions of the article without discrepancies between them.</w:t>
      </w:r>
      <w:r>
        <w:t xml:space="preserve"> </w:t>
      </w:r>
      <w:r>
        <w:t xml:space="preserve">The raw data and code are available in a public repository, so that other researchers can verify the analysis and build upon it</w:t>
      </w:r>
      <w:r>
        <w:t xml:space="preserve"> </w:t>
      </w:r>
      <w:r>
        <w:t xml:space="preserve">(Peng 2011)</w:t>
      </w:r>
      <w:r>
        <w:t xml:space="preserve">.</w:t>
      </w:r>
    </w:p>
    <w:bookmarkEnd w:id="27"/>
    <w:bookmarkStart w:id="28" w:name="X0538ba4deb4db05bd34cafc2271ed74da7dfd37"/>
    <w:p>
      <w:pPr>
        <w:pStyle w:val="Heading3"/>
      </w:pPr>
      <w:r>
        <w:t xml:space="preserve">Google Earth Engine for interactive spatial visualizations</w:t>
      </w:r>
    </w:p>
    <w:p>
      <w:pPr>
        <w:pStyle w:val="FirstParagraph"/>
      </w:pPr>
      <w:r>
        <w:t xml:space="preserve">Satellite data have opened new dimensions of economic measurement</w:t>
      </w:r>
      <w:r>
        <w:t xml:space="preserve"> </w:t>
      </w:r>
      <w:r>
        <w:t xml:space="preserve">(Donaldson and Storeygard 2016)</w:t>
      </w:r>
      <w:r>
        <w:t xml:space="preserve">.</w:t>
      </w:r>
      <w:r>
        <w:t xml:space="preserve"> </w:t>
      </w:r>
      <w:r>
        <w:t xml:space="preserve">Interactive visualizations of nighttime lights imagery offer further methodological advantages over static representations, especially when the analysis concerns temporal and spatial heterogeneity in economic activity.</w:t>
      </w:r>
      <w:r>
        <w:t xml:space="preserve"> </w:t>
      </w:r>
      <w:r>
        <w:t xml:space="preserve">Google Earth Engine (GEE) lowers the computational and technical barriers to creating such visualizations and provides an accessible platform for analyzing satellite data</w:t>
      </w:r>
      <w:r>
        <w:t xml:space="preserve"> </w:t>
      </w:r>
      <w:r>
        <w:t xml:space="preserve">(Gorelick et al. 2017)</w:t>
      </w:r>
      <w:r>
        <w:t xml:space="preserve">.</w:t>
      </w:r>
      <w:r>
        <w:t xml:space="preserve"> </w:t>
      </w:r>
      <w:r>
        <w:t xml:space="preserve">Its browser-based development environment supports interactive web applications without specialized local software, and its extensive catalog of pre-processed datasets, including the DMSP-OLS and VIIRS nighttime lights collections, reduces the storage and processing burden</w:t>
      </w:r>
      <w:r>
        <w:t xml:space="preserve"> </w:t>
      </w:r>
      <w:r>
        <w:t xml:space="preserve">(Tamiminia et al. 2020)</w:t>
      </w:r>
      <w:r>
        <w:t xml:space="preserve">.</w:t>
      </w:r>
      <w:r>
        <w:t xml:space="preserve"> </w:t>
      </w:r>
      <w:r>
        <w:t xml:space="preserve">For the purposes of this article, the platform allows readers to track the evolution of light intensity across regions over time, and therefore to see where initially dim regions brightened fastest, which is the visual counterpart of the convergence relationship estimated in Section 3.</w:t>
      </w:r>
    </w:p>
    <w:bookmarkEnd w:id="28"/>
    <w:bookmarkStart w:id="32"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the initial endowment of a region, primarily because of diminishing returns to capital accumulation</w:t>
      </w:r>
      <w:r>
        <w:t xml:space="preserve"> </w:t>
      </w:r>
      <w:r>
        <w:t xml:space="preserve">(Solow 1956)</w:t>
      </w:r>
      <w:r>
        <w:t xml:space="preserve">.</w:t>
      </w:r>
      <w:r>
        <w:t xml:space="preserve"> </w:t>
      </w:r>
      <w:r>
        <w:t xml:space="preserve">Poorer regions, assuming similar technology and preferences, are expected to experience higher growth rates than their wealthier counterparts.</w:t>
      </w:r>
      <w:r>
        <w:t xml:space="preserve"> </w:t>
      </w:r>
      <w:r>
        <w:t xml:space="preserve">Over the long run, regions with similar characteristics should therefore converge to a common steady state.</w:t>
      </w:r>
      <w:r>
        <w:t xml:space="preserve"> </w:t>
      </w:r>
      <w:r>
        <w:t xml:space="preserve">We examine this convergence hypothesis within the growth regression framework of</w:t>
      </w:r>
      <w:r>
        <w:t xml:space="preserve"> </w:t>
      </w:r>
      <w:r>
        <w:t xml:space="preserve">Barro and Sala-i-Martin (1992)</w:t>
      </w:r>
      <w:r>
        <w:t xml:space="preserve">, and</w:t>
      </w:r>
      <w:r>
        <w:t xml:space="preserve"> </w:t>
      </w:r>
      <w:hyperlink w:anchor="eq-matrix-form-abs">
        <w:r>
          <w:rPr>
            <w:rStyle w:val="Hyperlink"/>
          </w:rPr>
          <w:t xml:space="preserve">Equation 1</w:t>
        </w:r>
      </w:hyperlink>
      <w:r>
        <w:t xml:space="preserve"> </w:t>
      </w:r>
      <w:r>
        <w:t xml:space="preserve">presents the convergence process in its simplest unconditional form.</w:t>
      </w:r>
    </w:p>
    <w:p>
      <w:pPr>
        <w:pStyle w:val="BodyText"/>
      </w:pPr>
      <w:bookmarkStart w:id="29"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9"/>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To facilitate interpretation, the estimated convergence coefficient can be translated into an annual speed of convergence and a half-life</w:t>
      </w:r>
      <w:r>
        <w:t xml:space="preserve"> </w:t>
      </w:r>
      <w:r>
        <w:t xml:space="preserve">(Barro and Sala-i-Martin 1992)</w:t>
      </w:r>
      <w:r>
        <w:t xml:space="preserve">.</w:t>
      </w:r>
      <w:r>
        <w:t xml:space="preserve"> </w:t>
      </w:r>
      <w:r>
        <w:t xml:space="preserve">The dependent variable is the average annual growth rate over a period of</w:t>
      </w:r>
      <w:r>
        <w:t xml:space="preserve"> </w:t>
      </w:r>
      <m:oMath>
        <m:r>
          <m:t>T</m:t>
        </m:r>
      </m:oMath>
      <w:r>
        <w:t xml:space="preserve"> </w:t>
      </w:r>
      <w:r>
        <w:t xml:space="preserve">years, so the implied speed of convergence is</w:t>
      </w:r>
      <w:r>
        <w:t xml:space="preserve"> </w:t>
      </w:r>
      <m:oMath>
        <m:r>
          <m:t>λ</m:t>
        </m:r>
        <m:r>
          <m:rPr>
            <m:sty m:val="p"/>
          </m:rPr>
          <m:t>=</m:t>
        </m:r>
        <m:r>
          <m:rPr>
            <m:sty m:val="p"/>
          </m:rPr>
          <m:t>−</m:t>
        </m:r>
        <m:r>
          <m:rPr>
            <m:sty m:val="p"/>
          </m:rPr>
          <m:t>ln</m:t>
        </m:r>
        <m:d>
          <m:dPr>
            <m:begChr m:val="("/>
            <m:sepChr m:val=""/>
            <m:endChr m:val=")"/>
            <m:grow/>
          </m:dPr>
          <m:e>
            <m:r>
              <m:t>1</m:t>
            </m:r>
            <m:r>
              <m:rPr>
                <m:sty m:val="p"/>
              </m:rPr>
              <m:t>+</m:t>
            </m:r>
            <m:sSub>
              <m:e>
                <m:r>
                  <m:t>β</m:t>
                </m:r>
              </m:e>
              <m:sub>
                <m:r>
                  <m:t>1</m:t>
                </m:r>
              </m:sub>
            </m:sSub>
            <m:r>
              <m:t>T</m:t>
            </m:r>
          </m:e>
        </m:d>
        <m:r>
          <m:rPr>
            <m:sty m:val="p"/>
          </m:rPr>
          <m:t>/</m:t>
        </m:r>
        <m:r>
          <m:t>T</m:t>
        </m:r>
      </m:oMath>
      <w:r>
        <w:t xml:space="preserve">.</w:t>
      </w:r>
      <w:r>
        <w:t xml:space="preserve"> </w:t>
      </w:r>
      <w:r>
        <w:t xml:space="preserve">The corresponding half-life, which is the time required to close half of the initial gap to the steady state, is</w:t>
      </w:r>
      <w:r>
        <w:t xml:space="preserve"> </w:t>
      </w:r>
      <m:oMath>
        <m:r>
          <m:rPr>
            <m:sty m:val="p"/>
          </m:rPr>
          <m:t>ln</m:t>
        </m:r>
        <m:d>
          <m:dPr>
            <m:begChr m:val="("/>
            <m:sepChr m:val=""/>
            <m:endChr m:val=")"/>
            <m:grow/>
          </m:dPr>
          <m:e>
            <m:r>
              <m:t>2</m:t>
            </m:r>
          </m:e>
        </m:d>
        <m:r>
          <m:rPr>
            <m:sty m:val="p"/>
          </m:rPr>
          <m:t>/</m:t>
        </m:r>
        <m:r>
          <m:t>λ</m:t>
        </m:r>
      </m:oMath>
      <w:r>
        <w:t xml:space="preserve">.</w:t>
      </w:r>
      <w:r>
        <w:t xml:space="preserve"> </w:t>
      </w:r>
      <w:r>
        <w:t xml:space="preserve">In our application</w:t>
      </w:r>
      <w:r>
        <w:t xml:space="preserve"> </w:t>
      </w:r>
      <m:oMath>
        <m:r>
          <m:t>T</m:t>
        </m:r>
        <m:r>
          <m:rPr>
            <m:sty m:val="p"/>
          </m:rPr>
          <m:t>=</m:t>
        </m:r>
        <m:r>
          <m:t>14</m:t>
        </m:r>
      </m:oMath>
      <w:r>
        <w:t xml:space="preserve"> </w:t>
      </w:r>
      <w:r>
        <w:t xml:space="preserve">years, and the same transformation is applied to the total effect of initial luminosity in the spatial models.</w:t>
      </w:r>
    </w:p>
    <w:p>
      <w:pPr>
        <w:pStyle w:val="BodyText"/>
      </w:pPr>
      <w:r>
        <w:t xml:space="preserve">Because this simple framework contains no control variables, it implies that districts converge to a common steady state.</w:t>
      </w:r>
      <w:r>
        <w:t xml:space="preserve"> </w:t>
      </w:r>
      <w:r>
        <w:t xml:space="preserve">Regions may nevertheless differ in geography, socio-economic conditions, and policy implementation.</w:t>
      </w:r>
      <w:r>
        <w:t xml:space="preserve"> </w:t>
      </w:r>
      <w:r>
        <w:t xml:space="preserve">To account for these differences, we include state fixed effects that control for state-specific institutions and policies, and we add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30"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30"/>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conditioning set is adopted unchanged from</w:t>
      </w:r>
      <w:r>
        <w:t xml:space="preserve"> </w:t>
      </w:r>
      <w:r>
        <w:t xml:space="preserve">Chanda and Kabiraj (2020)</w:t>
      </w:r>
      <w:r>
        <w:t xml:space="preserve">, and this is deliberate: because the present analysis extends that study rather than replacing it, holding the controls fixed ensures that any difference between our estimates and theirs is attributable to the spatial specification and not to a different choice of covariates.</w:t>
      </w:r>
      <w:r>
        <w:t xml:space="preserve"> </w:t>
      </w:r>
      <w:r>
        <w:t xml:space="preserve">The 16 district-level controls fall into three groups.</w:t>
      </w:r>
      <w:r>
        <w:rPr>
          <w:rStyle w:val="FootnoteReference"/>
        </w:rPr>
        <w:footnoteReference w:id="31"/>
      </w:r>
      <w:r>
        <w:t xml:space="preserve"> </w:t>
      </w:r>
      <w:r>
        <w:t xml:space="preserve">Geography and agro-climate capture slow-moving determinants of the steady state that do not vary over the sample period.</w:t>
      </w:r>
      <w:r>
        <w:t xml:space="preserve"> </w:t>
      </w:r>
      <w:r>
        <w:t xml:space="preserve">Demographics and human capital capture the factor endowments through which districts accumulate.</w:t>
      </w:r>
      <w:r>
        <w:t xml:space="preserve"> </w:t>
      </w:r>
      <w:r>
        <w:t xml:space="preserve">Infrastructure captures access to the grid and to markets, which matters here because luminosity is itself partly a measure of electrification, so the conditional models compare districts that began the period with similar levels of grid access.</w:t>
      </w:r>
      <w:r>
        <w:t xml:space="preserve"> </w:t>
      </w:r>
      <w:r>
        <w:t xml:space="preserve">The demographic, human-capital, and electrification controls are measured in 1996, at the start of the growth period, and are therefore predetermined with respect to subsequent growth.</w:t>
      </w:r>
      <w:r>
        <w:t xml:space="preserve"> </w:t>
      </w:r>
      <w:r>
        <w:t xml:space="preserve">The paved-roads variable is measured in 2000.</w:t>
      </w:r>
      <w:r>
        <w:t xml:space="preserve"> </w:t>
      </w:r>
      <w:r>
        <w:t xml:space="preserve">The full list of control variables, with their measurement years and summary statistics, is given in Table A.1 of</w:t>
      </w:r>
      <w:r>
        <w:t xml:space="preserve"> </w:t>
      </w:r>
      <w:r>
        <w:t xml:space="preserve">Chanda and Kabiraj (2020)</w:t>
      </w:r>
      <w:r>
        <w:t xml:space="preserve">.</w:t>
      </w:r>
    </w:p>
    <w:p>
      <w:pPr>
        <w:pStyle w:val="BodyText"/>
      </w:pPr>
      <w:r>
        <w:t xml:space="preserve">Both specifications are estimated on a single long difference: average annual growth between 1996 and 2010, regressed on conditions at the start of that period.</w:t>
      </w:r>
      <w:r>
        <w:t xml:space="preserve"> </w:t>
      </w:r>
      <w:r>
        <w:t xml:space="preserve">This is the design of</w:t>
      </w:r>
      <w:r>
        <w:t xml:space="preserve"> </w:t>
      </w:r>
      <w:r>
        <w:t xml:space="preserve">Chanda and Kabiraj (2020)</w:t>
      </w:r>
      <w:r>
        <w:t xml:space="preserve"> </w:t>
      </w:r>
      <w:r>
        <w:t xml:space="preserve">and we retain it, but it should be stated plainly what it does and does not allow.</w:t>
      </w:r>
      <w:r>
        <w:t xml:space="preserve"> </w:t>
      </w:r>
      <w:r>
        <w:t xml:space="preserve">It identifies the average rate at which districts converged over fourteen years, but it cannot speak to how that rate evolved within the period.</w:t>
      </w:r>
      <w:r>
        <w:t xml:space="preserve"> </w:t>
      </w:r>
      <w:r>
        <w:t xml:space="preserve">We return to this limitation, and to what a panel design would require, in the discussion.</w:t>
      </w:r>
    </w:p>
    <w:bookmarkEnd w:id="32"/>
    <w:bookmarkStart w:id="39"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 is the tendency for observations at nearby locations to be more similar than those at distant locations, and it 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w:t>
      </w:r>
      <w:r>
        <w:t xml:space="preserve"> </w:t>
      </w:r>
      <w:r>
        <w:t xml:space="preserve">It can be expressed as</w:t>
      </w:r>
      <w:r>
        <w:t xml:space="preserve"> </w:t>
      </w:r>
      <w:hyperlink w:anchor="eq-moran">
        <w:r>
          <w:rPr>
            <w:rStyle w:val="Hyperlink"/>
          </w:rPr>
          <w:t xml:space="preserve">Equation 3</w:t>
        </w:r>
      </w:hyperlink>
      <w:r>
        <w:t xml:space="preserve">:</w:t>
      </w:r>
    </w:p>
    <w:p>
      <w:pPr>
        <w:pStyle w:val="BodyText"/>
      </w:pPr>
      <w:bookmarkStart w:id="33"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33"/>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 with positive values indicating that similar values tend to be located near each other.</w:t>
      </w:r>
      <w:r>
        <w:rPr>
          <w:rStyle w:val="FootnoteReference"/>
        </w:rPr>
        <w:footnoteReference w:id="34"/>
      </w:r>
      <w:r>
        <w:t xml:space="preserve"> </w:t>
      </w:r>
      <w:r>
        <w:t xml:space="preserve">Statistical significance is assessed through a permutation-based inference approach.</w:t>
      </w:r>
      <w:r>
        <w:rPr>
          <w:rStyle w:val="FootnoteReference"/>
        </w:rPr>
        <w:footnoteReference w:id="35"/>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in</w:t>
      </w:r>
      <w:r>
        <w:t xml:space="preserve"> </w:t>
      </w:r>
      <w:hyperlink w:anchor="eq-lisa">
        <w:r>
          <w:rPr>
            <w:rStyle w:val="Hyperlink"/>
          </w:rPr>
          <w:t xml:space="preserve">Equation 4</w:t>
        </w:r>
      </w:hyperlink>
      <w:r>
        <w:t xml:space="preserve">:</w:t>
      </w:r>
    </w:p>
    <w:p>
      <w:pPr>
        <w:pStyle w:val="BodyText"/>
      </w:pPr>
      <w:bookmarkStart w:id="36"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36"/>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according to the relationship between the value at a location and the values of its neighbors.</w:t>
      </w:r>
      <w:r>
        <w:rPr>
          <w:rStyle w:val="FootnoteReference"/>
        </w:rPr>
        <w:footnoteReference w:id="37"/>
      </w:r>
      <w:r>
        <w:t xml:space="preserve"> </w:t>
      </w:r>
      <w:r>
        <w:t xml:space="preserve">The High-High (HH) and Low-Low (LL) categories identify spatial clusters, while the High-Low (HL) and Low-High (LH) categories identify spatial outliers.</w:t>
      </w:r>
      <w:r>
        <w:t xml:space="preserve"> </w:t>
      </w:r>
      <w:r>
        <w:t xml:space="preserve">Statistical significance of each local statistic is assessed through conditional permutation tests, and only statistically significant locations (typically at</w:t>
      </w:r>
      <w:r>
        <w:t xml:space="preserve"> </w:t>
      </w:r>
      <m:oMath>
        <m:r>
          <m:t>p</m:t>
        </m:r>
        <m:r>
          <m:rPr>
            <m:sty m:val="p"/>
          </m:rPr>
          <m:t>&lt;</m:t>
        </m:r>
        <m:r>
          <m:t>0.05</m:t>
        </m:r>
      </m:oMath>
      <w:r>
        <w:t xml:space="preserve">) are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 six-nearest-neighbors (6NN) weight matrix, so that for each district the six nearest districts by centroid distance are identified as its neighbors.</w:t>
      </w:r>
      <w:r>
        <w:rPr>
          <w:rStyle w:val="FootnoteReference"/>
        </w:rPr>
        <w:footnoteReference w:id="38"/>
      </w:r>
      <w:r>
        <w:t xml:space="preserve"> </w:t>
      </w:r>
      <w:r>
        <w:t xml:space="preserve">This specification ensures a fixed number of connections per district regardless of the heterogeneity in district sizes across the country:</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argues that the spatial Durbin model (SDM) can appropriately account for spatial dependence in the convergence process, and</w:t>
      </w:r>
      <w:r>
        <w:t xml:space="preserve"> </w:t>
      </w:r>
      <w:r>
        <w:t xml:space="preserve">Fischer (2011)</w:t>
      </w:r>
      <w:r>
        <w:t xml:space="preserve"> </w:t>
      </w:r>
      <w:r>
        <w:t xml:space="preserve">derives the same specification as the reduced form of a spatially interdependent growth model.</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9"/>
    <w:bookmarkStart w:id="44" w:name="spatial-spillover-modeling"/>
    <w:p>
      <w:pPr>
        <w:pStyle w:val="Heading3"/>
      </w:pPr>
      <w:r>
        <w:t xml:space="preserve">Spatial spillover modeling</w:t>
      </w:r>
    </w:p>
    <w:p>
      <w:pPr>
        <w:pStyle w:val="FirstParagraph"/>
      </w:pPr>
      <w:r>
        <w:t xml:space="preserve">Our spatial spillover modeling builds upon the spatially augmented Solow model of</w:t>
      </w:r>
      <w:r>
        <w:t xml:space="preserve"> </w:t>
      </w:r>
      <w:r>
        <w:t xml:space="preserve">Ertur and Koch (2007)</w:t>
      </w:r>
      <w:r>
        <w:t xml:space="preserve">, developed for countries, and its regional Mankiw-Romer-Weil extension by</w:t>
      </w:r>
      <w:r>
        <w:t xml:space="preserve"> </w:t>
      </w:r>
      <w:r>
        <w:t xml:space="preserve">Fischer (2011)</w:t>
      </w:r>
      <w:r>
        <w:t xml:space="preserve">.</w:t>
      </w:r>
      <w:r>
        <w:t xml:space="preserve"> </w:t>
      </w:r>
      <w:r>
        <w:t xml:space="preserve">Both extend the traditional Solow framework to account for technological interdependence across economies.</w:t>
      </w:r>
      <w:r>
        <w:t xml:space="preserve"> </w:t>
      </w:r>
      <w:r>
        <w:t xml:space="preserve">We apply that framework to an economy of</w:t>
      </w:r>
      <w:r>
        <w:t xml:space="preserve"> </w:t>
      </w:r>
      <m:oMath>
        <m:r>
          <m:t>N</m:t>
        </m:r>
      </m:oMath>
      <w:r>
        <w:t xml:space="preserve"> </w:t>
      </w:r>
      <w:r>
        <w:t xml:space="preserve">subnational regions, each characterized by the Cobb-Douglas production function with constant returns to scale in</w:t>
      </w:r>
      <w:r>
        <w:t xml:space="preserve"> </w:t>
      </w:r>
      <w:hyperlink w:anchor="eq-production">
        <w:r>
          <w:rPr>
            <w:rStyle w:val="Hyperlink"/>
          </w:rPr>
          <w:t xml:space="preserve">Equation 5</w:t>
        </w:r>
      </w:hyperlink>
      <w:r>
        <w:t xml:space="preserve">:</w:t>
      </w:r>
    </w:p>
    <w:p>
      <w:pPr>
        <w:pStyle w:val="BodyText"/>
      </w:pPr>
      <w:bookmarkStart w:id="40"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40"/>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in</w:t>
      </w:r>
      <w:r>
        <w:t xml:space="preserve"> </w:t>
      </w:r>
      <w:hyperlink w:anchor="eq-technology">
        <w:r>
          <w:rPr>
            <w:rStyle w:val="Hyperlink"/>
          </w:rPr>
          <w:t xml:space="preserve">Equation 6</w:t>
        </w:r>
      </w:hyperlink>
      <w:r>
        <w:t xml:space="preserve">, which incorporates both internal and external factors:</w:t>
      </w:r>
    </w:p>
    <w:p>
      <w:pPr>
        <w:pStyle w:val="BodyText"/>
      </w:pPr>
      <w:bookmarkStart w:id="41"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41"/>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spillovers in the convergence process, with the human-capital terms following</w:t>
      </w:r>
      <w:r>
        <w:t xml:space="preserve"> </w:t>
      </w:r>
      <w:r>
        <w:t xml:space="preserve">Fischer (2011)</w:t>
      </w:r>
      <w:r>
        <w:t xml:space="preserve">.</w:t>
      </w:r>
      <w:r>
        <w:t xml:space="preserve"> </w:t>
      </w:r>
      <w:r>
        <w:t xml:space="preserve">The model augments the conditional specification of</w:t>
      </w:r>
      <w:r>
        <w:t xml:space="preserve"> </w:t>
      </w:r>
      <w:hyperlink w:anchor="eq-matrix-form-cond">
        <w:r>
          <w:rPr>
            <w:rStyle w:val="Hyperlink"/>
          </w:rPr>
          <w:t xml:space="preserve">Equation 2</w:t>
        </w:r>
      </w:hyperlink>
      <w:r>
        <w:t xml:space="preserve"> </w:t>
      </w:r>
      <w:r>
        <w:t xml:space="preserve">with spatial lags of the dependent variable, of initial luminosity, and of the control variables.</w:t>
      </w:r>
      <w:r>
        <w:t xml:space="preserve"> </w:t>
      </w:r>
      <w:r>
        <w:t xml:space="preserve">It can be compactly written in matrix notation as</w:t>
      </w:r>
      <w:r>
        <w:t xml:space="preserve"> </w:t>
      </w:r>
      <w:hyperlink w:anchor="eq-matrix-form-sdm">
        <w:r>
          <w:rPr>
            <w:rStyle w:val="Hyperlink"/>
          </w:rPr>
          <w:t xml:space="preserve">Equation 7</w:t>
        </w:r>
      </w:hyperlink>
      <w:r>
        <w:t xml:space="preserve">:</w:t>
      </w:r>
    </w:p>
    <w:p>
      <w:pPr>
        <w:pStyle w:val="BodyText"/>
      </w:pPr>
      <w:bookmarkStart w:id="42" w:name="eq-matrix-form-sd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ρ</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42"/>
    </w:p>
    <w:p>
      <w:pPr>
        <w:pStyle w:val="FirstParagraph"/>
      </w:pPr>
      <w:r>
        <w:t xml:space="preserve">The vectors</w:t>
      </w:r>
      <w:r>
        <w:t xml:space="preserve"> </w:t>
      </w:r>
      <m:oMath>
        <m:sSub>
          <m:e>
            <m:r>
              <m:rPr>
                <m:sty m:val="b"/>
              </m:rPr>
              <m:t>g</m:t>
            </m:r>
          </m:e>
          <m:sub>
            <m:r>
              <m:rPr>
                <m:sty m:val="b"/>
              </m:rPr>
              <m:t>t</m:t>
            </m:r>
          </m:sub>
        </m:sSub>
      </m:oMath>
      <w:r>
        <w:t xml:space="preserve">,</w:t>
      </w:r>
      <w:r>
        <w:t xml:space="preserve"> </w:t>
      </w:r>
      <m:oMath>
        <m:sSub>
          <m:e>
            <m:r>
              <m:rPr>
                <m:sty m:val="b"/>
              </m:rPr>
              <m:t>x</m:t>
            </m:r>
          </m:e>
          <m:sub>
            <m:r>
              <m:rPr>
                <m:sty m:val="b"/>
              </m:rPr>
              <m:t>t</m:t>
            </m:r>
            <m:r>
              <m:rPr>
                <m:sty m:val="b"/>
              </m:rPr>
              <m:t>−</m:t>
            </m:r>
            <m:r>
              <m:rPr>
                <m:sty m:val="b"/>
              </m:rPr>
              <m:t>1</m:t>
            </m:r>
          </m:sub>
        </m:sSub>
      </m:oMath>
      <w:r>
        <w:t xml:space="preserve"> </w:t>
      </w:r>
      <w:r>
        <w:t xml:space="preserve">and</w:t>
      </w:r>
      <w:r>
        <w:t xml:space="preserve"> </w:t>
      </w:r>
      <m:oMath>
        <m:sSub>
          <m:e>
            <m:r>
              <m:rPr>
                <m:sty m:val="b"/>
              </m:rPr>
              <m:t>ε</m:t>
            </m:r>
          </m:e>
          <m:sub>
            <m:r>
              <m:rPr>
                <m:sty m:val="b"/>
              </m:rPr>
              <m:t>t</m:t>
            </m:r>
          </m:sub>
        </m:sSub>
      </m:oMath>
      <w:r>
        <w:t xml:space="preserve">, the matrix</w:t>
      </w:r>
      <w:r>
        <w:t xml:space="preserve"> </w:t>
      </w:r>
      <m:oMath>
        <m:sSub>
          <m:e>
            <m:r>
              <m:rPr>
                <m:sty m:val="b"/>
              </m:rPr>
              <m:t>X</m:t>
            </m:r>
          </m:e>
          <m:sub>
            <m:r>
              <m:rPr>
                <m:sty m:val="b"/>
              </m:rPr>
              <m:t>t</m:t>
            </m:r>
          </m:sub>
        </m:sSub>
      </m:oMath>
      <w:r>
        <w:t xml:space="preserve">, and the parameters</w:t>
      </w:r>
      <w:r>
        <w:t xml:space="preserve"> </w:t>
      </w:r>
      <m:oMath>
        <m:sSub>
          <m:e>
            <m:r>
              <m:t>β</m:t>
            </m:r>
          </m:e>
          <m:sub>
            <m:r>
              <m:t>1</m:t>
            </m:r>
          </m:sub>
        </m:sSub>
      </m:oMath>
      <w:r>
        <w:t xml:space="preserve"> </w:t>
      </w:r>
      <w:r>
        <w:t xml:space="preserve">and</w:t>
      </w:r>
      <w:r>
        <w:t xml:space="preserve"> </w:t>
      </w:r>
      <m:oMath>
        <m:r>
          <m:rPr>
            <m:sty m:val="b"/>
          </m:rPr>
          <m:t>α</m:t>
        </m:r>
      </m:oMath>
      <w:r>
        <w:t xml:space="preserve"> </w:t>
      </w:r>
      <w:r>
        <w:t xml:space="preserve">are defined as in</w:t>
      </w:r>
      <w:r>
        <w:t xml:space="preserve"> </w:t>
      </w:r>
      <w:hyperlink w:anchor="eq-matrix-form-cond">
        <w:r>
          <w:rPr>
            <w:rStyle w:val="Hyperlink"/>
          </w:rPr>
          <w:t xml:space="preserve">Equation 2</w:t>
        </w:r>
      </w:hyperlink>
      <w:r>
        <w:t xml:space="preserve"> </w:t>
      </w:r>
      <w:r>
        <w:t xml:space="preserve">above.</w:t>
      </w:r>
      <w:r>
        <w:t xml:space="preserve"> </w:t>
      </w:r>
      <w:r>
        <w:t xml:space="preserve">The new terms are the spatial lags: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are</w:t>
      </w:r>
      <w:r>
        <w:t xml:space="preserve"> </w:t>
      </w:r>
      <m:oMath>
        <m:r>
          <m:t>N</m:t>
        </m:r>
        <m:r>
          <m:rPr>
            <m:nor/>
            <m:sty m:val="p"/>
          </m:rPr>
          <m:t>-by-</m:t>
        </m:r>
        <m:r>
          <m:t>1</m:t>
        </m:r>
      </m:oMath>
      <w:r>
        <w:t xml:space="preserve"> </w:t>
      </w:r>
      <w:r>
        <w:t xml:space="preserve">vectors of neighborhood averages of initial luminosity and of growth, while</w:t>
      </w:r>
      <w:r>
        <w:t xml:space="preserve"> </w:t>
      </w:r>
      <m:oMath>
        <m:r>
          <m:rPr>
            <m:sty m:val="b"/>
          </m:rPr>
          <m:t>W</m:t>
        </m:r>
        <m:sSub>
          <m:e>
            <m:r>
              <m:rPr>
                <m:sty m:val="b"/>
              </m:rPr>
              <m:t>X</m:t>
            </m:r>
          </m:e>
          <m:sub>
            <m:r>
              <m:rPr>
                <m:sty m:val="b"/>
              </m:rPr>
              <m:t>t</m:t>
            </m:r>
          </m:sub>
        </m:sSub>
      </m:oMath>
      <w:r>
        <w:t xml:space="preserve"> </w:t>
      </w:r>
      <w:r>
        <w:t xml:space="preserve">is the corresponding</w:t>
      </w:r>
      <w:r>
        <w:t xml:space="preserve"> </w:t>
      </w:r>
      <m:oMath>
        <m:r>
          <m:t>N</m:t>
        </m:r>
        <m:r>
          <m:rPr>
            <m:sty m:val="p"/>
          </m:rPr>
          <m:t>×</m:t>
        </m:r>
        <m:r>
          <m:t>k</m:t>
        </m:r>
      </m:oMath>
      <w:r>
        <w:t xml:space="preserve"> </w:t>
      </w:r>
      <w:r>
        <w:t xml:space="preserve">matrix for the control variables.</w:t>
      </w:r>
      <w:r>
        <w:t xml:space="preserve"> </w:t>
      </w:r>
      <w:r>
        <w:t xml:space="preserve">The coefficients</w:t>
      </w:r>
      <w:r>
        <w:t xml:space="preserve"> </w:t>
      </w:r>
      <m:oMath>
        <m:sSub>
          <m:e>
            <m:r>
              <m:t>β</m:t>
            </m:r>
          </m:e>
          <m:sub>
            <m:r>
              <m:t>2</m:t>
            </m:r>
          </m:sub>
        </m:sSub>
      </m:oMath>
      <w:r>
        <w:t xml:space="preserve">,</w:t>
      </w:r>
      <w:r>
        <w:t xml:space="preserve"> </w:t>
      </w:r>
      <m:oMath>
        <m:r>
          <m:rPr>
            <m:sty m:val="b"/>
          </m:rPr>
          <m:t>γ</m:t>
        </m:r>
      </m:oMath>
      <w:r>
        <w:t xml:space="preserve"> </w:t>
      </w:r>
      <w:r>
        <w:t xml:space="preserve">and</w:t>
      </w:r>
      <w:r>
        <w:t xml:space="preserve"> </w:t>
      </w:r>
      <m:oMath>
        <m:r>
          <m:t>ρ</m:t>
        </m:r>
      </m:oMath>
      <w:r>
        <w:t xml:space="preserve"> </w:t>
      </w:r>
      <w:r>
        <w:t xml:space="preserve">measure how strongly each of these neighborhood averages enters the growth of a district.</w:t>
      </w:r>
      <w:r>
        <w:rPr>
          <w:rStyle w:val="FootnoteReference"/>
        </w:rPr>
        <w:footnoteReference w:id="43"/>
      </w:r>
    </w:p>
    <w:bookmarkEnd w:id="44"/>
    <w:bookmarkEnd w:id="45"/>
    <w:bookmarkStart w:id="97" w:name="results"/>
    <w:p>
      <w:pPr>
        <w:pStyle w:val="Heading2"/>
      </w:pPr>
      <w:r>
        <w:t xml:space="preserve">Results</w:t>
      </w:r>
    </w:p>
    <w:bookmarkStart w:id="6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46"/>
      </w:r>
      <w:r>
        <w:t xml:space="preserve"> </w:t>
      </w:r>
      <w:r>
        <w:t xml:space="preserve">Second, we examine absolute convergence by constructing a convergence scatterplot, which relates per-capita growth rates in nighttime lights over 1996–2010 to initial per-capita nighttime light levels in 1996 for each district.</w:t>
      </w:r>
      <w:r>
        <w:t xml:space="preserve"> </w:t>
      </w:r>
      <w:r>
        <w:t xml:space="preserve">Finally, we present case studies of some of the poorest regions in the country.</w:t>
      </w:r>
      <w:r>
        <w:t xml:space="preserve"> </w:t>
      </w:r>
      <w:r>
        <w:t xml:space="preserve">These cases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52" w:name="fig-map"/>
          <w:p>
            <w:pPr>
              <w:pStyle w:val="Compact"/>
              <w:jc w:val="center"/>
            </w:pPr>
            <w:r>
              <w:drawing>
                <wp:inline>
                  <wp:extent cx="5334000" cy="3030721"/>
                  <wp:effectExtent b="0" l="0" r="0" t="0"/>
                  <wp:docPr descr="" title="" id="50" name="Picture"/>
                  <a:graphic>
                    <a:graphicData uri="http://schemas.openxmlformats.org/drawingml/2006/picture">
                      <pic:pic>
                        <pic:nvPicPr>
                          <pic:cNvPr descr="images/luminosity_map.png" id="51" name="Picture"/>
                          <pic:cNvPicPr>
                            <a:picLocks noChangeArrowheads="1" noChangeAspect="1"/>
                          </pic:cNvPicPr>
                        </pic:nvPicPr>
                        <pic:blipFill>
                          <a:blip r:embed="rId4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4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8">
              <w:r>
                <w:rPr>
                  <w:rStyle w:val="Hyperlink"/>
                </w:rPr>
                <w:t xml:space="preserve">View from outer space</w:t>
              </w:r>
            </w:hyperlink>
            <w:r>
              <w:t xml:space="preserve"> </w:t>
            </w:r>
            <w:r>
              <w:t xml:space="preserve">notebook for source code.</w:t>
            </w:r>
          </w:p>
          <w:bookmarkEnd w:id="52"/>
        </w:tc>
      </w:tr>
    </w:tbl>
    <w:p>
      <w:pPr>
        <w:pStyle w:val="BodyText"/>
      </w:pPr>
      <w:hyperlink w:anchor="fig-map">
        <w:r>
          <w:rPr>
            <w:rStyle w:val="Hyperlink"/>
          </w:rPr>
          <w:t xml:space="preserve">Figure 1</w:t>
        </w:r>
      </w:hyperlink>
      <w:r>
        <w:t xml:space="preserve"> </w:t>
      </w:r>
      <w:r>
        <w:t xml:space="preserve">presents static maps of luminosity in the initial and final years, 1996 and 2010, captured from our interactive application.</w:t>
      </w:r>
      <w:r>
        <w:t xml:space="preserve"> </w:t>
      </w:r>
      <w:r>
        <w:t xml:space="preserve">The maps show a noticeable increase in brightness across most parts of India in 2010.</w:t>
      </w:r>
      <w:r>
        <w:t xml:space="preserve"> </w:t>
      </w:r>
      <w:r>
        <w:t xml:space="preserve">Because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then illustrates the relationship between per-capita growth in nighttime lights and initial per-capita nighttime light.</w:t>
      </w:r>
      <w:r>
        <w:t xml:space="preserve"> </w:t>
      </w:r>
      <w:r>
        <w:t xml:space="preserve">The scatterplot shows an inverse relationship: the estimated</w:t>
      </w:r>
      <w:r>
        <w:t xml:space="preserve"> </w:t>
      </w:r>
      <m:oMath>
        <m:r>
          <m:t>β</m:t>
        </m:r>
      </m:oMath>
      <w:r>
        <w:t xml:space="preserve">-convergence coefficient of about</w:t>
      </w:r>
      <w:r>
        <w:t xml:space="preserve"> </w:t>
      </w:r>
      <m:oMath>
        <m:r>
          <m:rPr>
            <m:sty m:val="p"/>
          </m:rPr>
          <m:t>−</m:t>
        </m:r>
        <m:r>
          <m:t>0.02</m:t>
        </m:r>
      </m:oMath>
      <w:r>
        <w:t xml:space="preserve"> </w:t>
      </w:r>
      <w:r>
        <w:t xml:space="preserve">implies an annual speed of convergence of roughly 2.3% and a half-life of about 30 years, consistent with the seminal finding of</w:t>
      </w:r>
      <w:r>
        <w:t xml:space="preserve"> </w:t>
      </w:r>
      <w:r>
        <w:t xml:space="preserve">Barro and Sala-i-Martin (1992)</w:t>
      </w:r>
      <w:r>
        <w:t xml:space="preserve">.</w:t>
      </w:r>
      <w:r>
        <w:t xml:space="preserve"> </w:t>
      </w:r>
      <w:r>
        <w:t xml:space="preserve">Because</w:t>
      </w:r>
      <w:r>
        <w:t xml:space="preserve"> </w:t>
      </w:r>
      <m:oMath>
        <m:r>
          <m:t>β</m:t>
        </m:r>
      </m:oMath>
      <w:r>
        <w:t xml:space="preserve">-convergence need not imply a narrowing of the distribution, we also check</w:t>
      </w:r>
      <w:r>
        <w:t xml:space="preserve"> </w:t>
      </w:r>
      <m:oMath>
        <m:r>
          <m:t>σ</m:t>
        </m:r>
      </m:oMath>
      <w:r>
        <w:t xml:space="preserve">-convergence: the cross-district standard deviation of log per-capita luminosity falls from 1.09 in 1996 to 0.95 in 2010, a reduction of 13.5%, so spatial disparities did narrow over the period.</w:t>
      </w:r>
    </w:p>
    <w:tbl>
      <w:tblPr>
        <w:tblStyle w:val="Table"/>
        <w:tblW w:type="pct" w:w="5000"/>
        <w:tblLayout w:type="fixed"/>
        <w:tblLook w:firstRow="0" w:lastRow="0" w:firstColumn="0" w:lastColumn="0" w:noHBand="0" w:noVBand="0" w:val="0000"/>
      </w:tblPr>
      <w:tblGrid>
        <w:gridCol w:w="7920"/>
      </w:tblGrid>
      <w:tr>
        <w:tc>
          <w:tcPr/>
          <w:bookmarkStart w:id="57" w:name="fig-convergence"/>
          <w:p>
            <w:pPr>
              <w:pStyle w:val="Compact"/>
              <w:jc w:val="center"/>
            </w:pPr>
            <w:r>
              <w:drawing>
                <wp:inline>
                  <wp:extent cx="5334000" cy="3976868"/>
                  <wp:effectExtent b="0" l="0" r="0" t="0"/>
                  <wp:docPr descr="" title="" id="54" name="Picture"/>
                  <a:graphic>
                    <a:graphicData uri="http://schemas.openxmlformats.org/drawingml/2006/picture">
                      <pic:pic>
                        <pic:nvPicPr>
                          <pic:cNvPr descr="index_files/figure-docx/notebooks-c02_regional_convergence_sc-fig-convergence-output-1.png" id="55" name="Picture"/>
                          <pic:cNvPicPr>
                            <a:picLocks noChangeArrowheads="1" noChangeAspect="1"/>
                          </pic:cNvPicPr>
                        </pic:nvPicPr>
                        <pic:blipFill>
                          <a:blip r:embed="rId53"/>
                          <a:stretch>
                            <a:fillRect/>
                          </a:stretch>
                        </pic:blipFill>
                        <pic:spPr bwMode="auto">
                          <a:xfrm>
                            <a:off x="0" y="0"/>
                            <a:ext cx="5334000" cy="397686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56">
              <w:r>
                <w:rPr>
                  <w:rStyle w:val="Hyperlink"/>
                </w:rPr>
                <w:t xml:space="preserve">Regional convergence</w:t>
              </w:r>
            </w:hyperlink>
            <w:r>
              <w:t xml:space="preserve"> </w:t>
            </w:r>
            <w:r>
              <w:t xml:space="preserve">notebook for source code.</w:t>
            </w:r>
          </w:p>
          <w:bookmarkEnd w:id="5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31.2% of the national average, while Uttar Pradesh and Chhattisgarh stand at 55.3% and 59.9% respectively.</w:t>
      </w:r>
      <w:r>
        <w:rPr>
          <w:rStyle w:val="FootnoteReference"/>
        </w:rPr>
        <w:footnoteReference w:id="5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62" w:name="fig-map2"/>
          <w:p>
            <w:pPr>
              <w:pStyle w:val="Compact"/>
              <w:jc w:val="center"/>
            </w:pPr>
            <w:r>
              <w:drawing>
                <wp:inline>
                  <wp:extent cx="4000500" cy="7241369"/>
                  <wp:effectExtent b="0" l="0" r="0" t="0"/>
                  <wp:docPr descr="" title="" id="60" name="Picture"/>
                  <a:graphic>
                    <a:graphicData uri="http://schemas.openxmlformats.org/drawingml/2006/picture">
                      <pic:pic>
                        <pic:nvPicPr>
                          <pic:cNvPr descr="images/luminosity_map2.png" id="61" name="Picture"/>
                          <pic:cNvPicPr>
                            <a:picLocks noChangeArrowheads="1" noChangeAspect="1"/>
                          </pic:cNvPicPr>
                        </pic:nvPicPr>
                        <pic:blipFill>
                          <a:blip r:embed="rId5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4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8">
              <w:r>
                <w:rPr>
                  <w:rStyle w:val="Hyperlink"/>
                </w:rPr>
                <w:t xml:space="preserve">View from outer space</w:t>
              </w:r>
            </w:hyperlink>
            <w:r>
              <w:t xml:space="preserve"> </w:t>
            </w:r>
            <w:r>
              <w:t xml:space="preserve">notebook for source code.</w:t>
            </w:r>
          </w:p>
          <w:bookmarkEnd w:id="62"/>
        </w:tc>
      </w:tr>
    </w:tbl>
    <w:bookmarkEnd w:id="63"/>
    <w:bookmarkStart w:id="82" w:name="Xa63e35bf71f6213d31601c7d64926d62b07cc52"/>
    <w:p>
      <w:pPr>
        <w:pStyle w:val="Heading3"/>
      </w:pPr>
      <w:r>
        <w:t xml:space="preserve">Spatial dependence is a feature of the convergence process</w:t>
      </w:r>
    </w:p>
    <w:p>
      <w:pPr>
        <w:pStyle w:val="FirstParagraph"/>
      </w:pPr>
      <w:r>
        <w:t xml:space="preserve">Before proceeding with the formal econometric analysis, we examine the spatial distribution of the variables under study.</w:t>
      </w:r>
      <w:r>
        <w:t xml:space="preserve"> </w:t>
      </w:r>
      <w:r>
        <w:t xml:space="preserve">Choropleth maps are a natural tool for this purpose, because they show how a variable of interest varies across geographic units and reveal patterns that summary statistics alone would hide.</w:t>
      </w:r>
      <w:r>
        <w:t xml:space="preserve"> </w:t>
      </w:r>
      <w:hyperlink w:anchor="fig-chorophleths">
        <w:r>
          <w:rPr>
            <w:rStyle w:val="Hyperlink"/>
          </w:rPr>
          <w:t xml:space="preserve">Figure 4</w:t>
        </w:r>
      </w:hyperlink>
      <w:r>
        <w:t xml:space="preserve"> </w:t>
      </w:r>
      <w:r>
        <w:t xml:space="preserve">presents the spatial distribution of initial luminosity in 1996 and of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68" w:name="fig-chorophleths"/>
          <w:p>
            <w:pPr>
              <w:pStyle w:val="Compact"/>
              <w:jc w:val="center"/>
            </w:pPr>
            <w:r>
              <w:drawing>
                <wp:inline>
                  <wp:extent cx="5334000" cy="2769972"/>
                  <wp:effectExtent b="0" l="0" r="0" t="0"/>
                  <wp:docPr descr="" title="" id="65" name="Picture"/>
                  <a:graphic>
                    <a:graphicData uri="http://schemas.openxmlformats.org/drawingml/2006/picture">
                      <pic:pic>
                        <pic:nvPicPr>
                          <pic:cNvPr descr="index_files/figure-docx/notebooks-c03_spatial_dependence_lisa-fig-chorophleths-output-1.png" id="66" name="Picture"/>
                          <pic:cNvPicPr>
                            <a:picLocks noChangeArrowheads="1" noChangeAspect="1"/>
                          </pic:cNvPicPr>
                        </pic:nvPicPr>
                        <pic:blipFill>
                          <a:blip r:embed="rId64"/>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6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in western and north-western India, while large portions of eastern and northern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suggest the presence of spatial structure in both variables, a formal analysis of spatial dependence requires a definition of the neighborhood of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so that for each of the 520 districts the six nearest districts by centroid distance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72" w:name="fig-wmatrix6nn"/>
          <w:p>
            <w:pPr>
              <w:pStyle w:val="Compact"/>
              <w:jc w:val="center"/>
            </w:pPr>
            <w:r>
              <w:drawing>
                <wp:inline>
                  <wp:extent cx="5334000" cy="5052589"/>
                  <wp:effectExtent b="0" l="0" r="0" t="0"/>
                  <wp:docPr descr="" title="" id="70" name="Picture"/>
                  <a:graphic>
                    <a:graphicData uri="http://schemas.openxmlformats.org/drawingml/2006/picture">
                      <pic:pic>
                        <pic:nvPicPr>
                          <pic:cNvPr descr="index_files/figure-docx/notebooks-c03_spatial_dependence_lisa-fig-wmatrix6nn-output-1.png" id="71" name="Picture"/>
                          <pic:cNvPicPr>
                            <a:picLocks noChangeArrowheads="1" noChangeAspect="1"/>
                          </pic:cNvPicPr>
                        </pic:nvPicPr>
                        <pic:blipFill>
                          <a:blip r:embed="rId69"/>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72"/>
        </w:tc>
      </w:tr>
    </w:tbl>
    <w:p>
      <w:pPr>
        <w:pStyle w:val="BodyText"/>
      </w:pPr>
      <w:r>
        <w:t xml:space="preserve">With the neighborhood of each district defined, we can formally assess the degree of spatial dependence in the variables.</w:t>
      </w:r>
      <w:r>
        <w:t xml:space="preserve"> </w:t>
      </w:r>
      <w:r>
        <w:t xml:space="preserve">Spatial dependence can be understood through two complementary concepts: the overall degree of clustering in the data, and the specific locations of statistically significant clusters and spatial outliers.</w:t>
      </w:r>
      <w:r>
        <w:t xml:space="preserve"> </w:t>
      </w:r>
      <w:r>
        <w:t xml:space="preserve">The Global Moran’s I statistic captures the first of these concepts.</w:t>
      </w:r>
      <w:r>
        <w:t xml:space="preserve"> </w:t>
      </w:r>
      <w:r>
        <w:t xml:space="preserve">In our data, the Moran’s I for initial luminosity per capita is 0.73 (</w:t>
      </w:r>
      <m:oMath>
        <m:r>
          <m:t>p</m:t>
        </m:r>
        <m:r>
          <m:rPr>
            <m:sty m:val="p"/>
          </m:rPr>
          <m:t>=</m:t>
        </m:r>
        <m:r>
          <m:t>0.001</m:t>
        </m:r>
      </m:oMath>
      <w:r>
        <w:t xml:space="preserve">), which indicates strong positive spatial autocorrelation: districts with high (low) initial luminosity tend to be surrounded by districts that are also bright (dim).</w:t>
      </w:r>
      <w:r>
        <w:t xml:space="preserve"> </w:t>
      </w:r>
      <w:r>
        <w:t xml:space="preserve">The Moran’s I for luminosity growth is 0.60 (</w:t>
      </w:r>
      <m:oMath>
        <m:r>
          <m:t>p</m:t>
        </m:r>
        <m:r>
          <m:rPr>
            <m:sty m:val="p"/>
          </m:rPr>
          <m:t>=</m:t>
        </m:r>
        <m:r>
          <m:t>0.001</m:t>
        </m:r>
      </m:oMath>
      <w:r>
        <w:t xml:space="preserve">), which confirms that the growth rates of neighboring districts are also significantly correlated.</w:t>
      </w:r>
      <w:r>
        <w:t xml:space="preserve"> </w:t>
      </w:r>
      <w:r>
        <w:t xml:space="preserve">Both the initial level and the subsequent growth of luminosity therefore exhibit substantial spatial clustering.</w:t>
      </w:r>
    </w:p>
    <w:p>
      <w:pPr>
        <w:pStyle w:val="BodyText"/>
      </w:pPr>
      <w:r>
        <w:t xml:space="preserve">We now turn to the LISA statistics, which locate the significant clusters and outliers behind these global measures.</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w:t>
      </w:r>
      <w:r>
        <w:t xml:space="preserve"> </w:t>
      </w:r>
      <w:r>
        <w:t xml:space="preserve">HH clusters mark the most luminous regions and their bright neighbors, while LL clusters highlight contiguous areas of low luminosity.</w:t>
      </w:r>
      <w:r>
        <w:t xml:space="preserve"> </w:t>
      </w:r>
      <w:r>
        <w:t xml:space="preserve">These are predominantly in eastern and northern India, in Bihar, eastern Uttar Pradesh, and Jharkhand, together with the Himalayan north and the northeast.</w:t>
      </w:r>
    </w:p>
    <w:tbl>
      <w:tblPr>
        <w:tblStyle w:val="Table"/>
        <w:tblW w:type="pct" w:w="5000"/>
        <w:tblLayout w:type="fixed"/>
        <w:tblLook w:firstRow="0" w:lastRow="0" w:firstColumn="0" w:lastColumn="0" w:noHBand="0" w:noVBand="0" w:val="0000"/>
      </w:tblPr>
      <w:tblGrid>
        <w:gridCol w:w="7920"/>
      </w:tblGrid>
      <w:tr>
        <w:tc>
          <w:tcPr/>
          <w:bookmarkStart w:id="76" w:name="fig-dependence-initial"/>
          <w:p>
            <w:pPr>
              <w:pStyle w:val="Compact"/>
              <w:jc w:val="center"/>
            </w:pPr>
            <w:r>
              <w:drawing>
                <wp:inline>
                  <wp:extent cx="5334000" cy="2634591"/>
                  <wp:effectExtent b="0" l="0" r="0" t="0"/>
                  <wp:docPr descr="" title="" id="74" name="Picture"/>
                  <a:graphic>
                    <a:graphicData uri="http://schemas.openxmlformats.org/drawingml/2006/picture">
                      <pic:pic>
                        <pic:nvPicPr>
                          <pic:cNvPr descr="index_files/figure-docx/notebooks-c03_spatial_dependence_lisa-fig-dependence-initial-output-1.png" id="75" name="Picture"/>
                          <pic:cNvPicPr>
                            <a:picLocks noChangeArrowheads="1" noChangeAspect="1"/>
                          </pic:cNvPicPr>
                        </pic:nvPicPr>
                        <pic:blipFill>
                          <a:blip r:embed="rId73"/>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7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Districts that formed HH clusters in initial luminosity tend to appear as LL clusters in luminosity growth, and the dimmest clusters tend to emerge as HH clusters in growth.</w:t>
      </w:r>
      <w:r>
        <w:rPr>
          <w:rStyle w:val="FootnoteReference"/>
        </w:rPr>
        <w:footnoteReference w:id="77"/>
      </w:r>
      <w:r>
        <w:t xml:space="preserve"> </w:t>
      </w:r>
      <w:r>
        <w:t xml:space="preserve">This spatial inversion between the initial level and the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 and they motivate the use of spatial econometric methods.</w:t>
      </w:r>
    </w:p>
    <w:tbl>
      <w:tblPr>
        <w:tblStyle w:val="Table"/>
        <w:tblW w:type="pct" w:w="5000"/>
        <w:tblLayout w:type="fixed"/>
        <w:tblLook w:firstRow="0" w:lastRow="0" w:firstColumn="0" w:lastColumn="0" w:noHBand="0" w:noVBand="0" w:val="0000"/>
      </w:tblPr>
      <w:tblGrid>
        <w:gridCol w:w="7920"/>
      </w:tblGrid>
      <w:tr>
        <w:tc>
          <w:tcPr/>
          <w:bookmarkStart w:id="81" w:name="fig-dependence-growth"/>
          <w:p>
            <w:pPr>
              <w:pStyle w:val="Compact"/>
              <w:jc w:val="center"/>
            </w:pPr>
            <w:r>
              <w:drawing>
                <wp:inline>
                  <wp:extent cx="5334000" cy="2638363"/>
                  <wp:effectExtent b="0" l="0" r="0" t="0"/>
                  <wp:docPr descr="" title="" id="79" name="Picture"/>
                  <a:graphic>
                    <a:graphicData uri="http://schemas.openxmlformats.org/drawingml/2006/picture">
                      <pic:pic>
                        <pic:nvPicPr>
                          <pic:cNvPr descr="index_files/figure-docx/notebooks-c03_spatial_dependence_lisa-fig-dependence-growth-output-1.png" id="80" name="Picture"/>
                          <pic:cNvPicPr>
                            <a:picLocks noChangeArrowheads="1" noChangeAspect="1"/>
                          </pic:cNvPicPr>
                        </pic:nvPicPr>
                        <pic:blipFill>
                          <a:blip r:embed="rId78"/>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81"/>
        </w:tc>
      </w:tr>
    </w:tbl>
    <w:bookmarkEnd w:id="82"/>
    <w:bookmarkStart w:id="88"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2</w:t>
        </w:r>
      </w:hyperlink>
      <w:r>
        <w:t xml:space="preserve"> </w:t>
      </w:r>
      <w:r>
        <w:t xml:space="preserve">provide evidence of both unconditional and conditional convergence across districts in India.</w:t>
      </w:r>
      <w:r>
        <w:t xml:space="preserve"> </w:t>
      </w:r>
      <w:r>
        <w:t xml:space="preserve">Both conventional ordinary least squares (OLS) and spatial econometric approaches indicate significant negative relationships between initial luminosity levels and subsequent growth rates.</w:t>
      </w:r>
      <w:r>
        <w:t xml:space="preserve"> </w:t>
      </w:r>
      <w:r>
        <w:t xml:space="preserve">The direct effects, which represent within-district convergence, remain negative and of similar order across specifications, ranging from -0.020 to -0.026.</w:t>
      </w:r>
      <w:r>
        <w:t xml:space="preserve"> </w:t>
      </w:r>
      <w:r>
        <w:t xml:space="preserve">This consistency across specifications and estimation methods suggests that poorer districts are catching up to their wealthier counterparts, even after controlling for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83" w:name="tbl-models"/>
          <w:p>
            <w:pPr>
              <w:jc w:val="center"/>
            </w:pPr>
            <w:pPr>
              <w:jc w:val="left"/>
              <w:spacing w:before="200"/>
              <w:pStyle w:val="ImageCaption"/>
            </w:pPr>
            <w:r>
              <w:t xml:space="preserve">Table 2: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-2292</w:t>
                  </w:r>
                </w:p>
              </w:tc>
              <w:tc>
                <w:tcPr/>
                <w:p>
                  <w:pPr>
                    <w:pStyle w:val="Compact"/>
                    <w:jc w:val="center"/>
                  </w:pPr>
                  <w:r>
                    <w:t xml:space="preserve">-2409</w:t>
                  </w:r>
                </w:p>
              </w:tc>
              <w:tc>
                <w:tcPr/>
                <w:p>
                  <w:pPr>
                    <w:pStyle w:val="Compact"/>
                    <w:jc w:val="center"/>
                  </w:pPr>
                  <w:r>
                    <w:t xml:space="preserve">-2468</w:t>
                  </w:r>
                </w:p>
              </w:tc>
              <w:tc>
                <w:tcPr/>
                <w:p>
                  <w:pPr>
                    <w:pStyle w:val="Compact"/>
                    <w:jc w:val="center"/>
                  </w:pPr>
                  <w:r>
                    <w:t xml:space="preserve">-2211</w:t>
                  </w:r>
                </w:p>
              </w:tc>
              <w:tc>
                <w:tcPr/>
                <w:p>
                  <w:pPr>
                    <w:pStyle w:val="Compact"/>
                    <w:jc w:val="center"/>
                  </w:pPr>
                  <w:r>
                    <w:t xml:space="preserve">-2358</w:t>
                  </w:r>
                </w:p>
              </w:tc>
              <w:tc>
                <w:tcPr/>
                <w:p>
                  <w:pPr>
                    <w:pStyle w:val="Compact"/>
                    <w:jc w:val="center"/>
                  </w:pPr>
                  <w:r>
                    <w:t xml:space="preserve">-2465</w:t>
                  </w:r>
                </w:p>
              </w:tc>
              <w:tc>
                <w:tcPr/>
                <w:p>
                  <w:pPr>
                    <w:pStyle w:val="Compact"/>
                    <w:jc w:val="center"/>
                  </w:pPr>
                  <w:r>
                    <w:t xml:space="preserve">-2501</w:t>
                  </w:r>
                </w:p>
              </w:tc>
            </w:tr>
          </w:tbl>
          <w:bookmarkEnd w:id="83"/>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OLS specifications, the direct effect is -0.020 in Model 1 and -0.022 in Model 2, and it strengthens to -0.025 once district characteristics are added in Models 3 and 4.</w:t>
      </w:r>
      <w:r>
        <w:t xml:space="preserve"> </w:t>
      </w:r>
      <w:r>
        <w:t xml:space="preserve">Omitting these characteristics therefore attenuates the estimated speed of convergence.</w:t>
      </w:r>
      <w:r>
        <w:t xml:space="preserve"> </w:t>
      </w:r>
      <w:r>
        <w:t xml:space="preserve">The spatial Durbin direct effects match this pattern in the conditional models, at -0.026 in Model 3 and -0.025 in Model 4.</w:t>
      </w:r>
      <w:r>
        <w:t xml:space="preserve"> </w:t>
      </w:r>
      <w:r>
        <w:t xml:space="preserve">Once we account for structural differences across districts, the underlying tendency for poorer districts to catch up becomes more pronounced.</w:t>
      </w:r>
      <w:r>
        <w:t xml:space="preserve"> </w:t>
      </w:r>
      <w:r>
        <w:t xml:space="preserve">State fixed effects absorb unobserved state-level heterogeneity, such as differences in governance and institutional quality, that might otherwise confound the convergence relationship.</w:t>
      </w:r>
      <w:r>
        <w:t xml:space="preserve"> </w:t>
      </w:r>
      <w:r>
        <w:t xml:space="preserve">They tighten the standard errors on the spatial impacts and moderate the spatial total effect rather than strengthening it further.</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the initial conditions of neighboring districts on the growth rate of a district, follow a notable pattern across specifications.</w:t>
      </w:r>
      <w:r>
        <w:t xml:space="preserve"> </w:t>
      </w:r>
      <w:r>
        <w:t xml:space="preserve">In the unconditional models (Models 1 and 2), the estimated indirect effects are negative but small and statistically insignificant, at -0.001 in both.</w:t>
      </w:r>
      <w:r>
        <w:rPr>
          <w:rStyle w:val="FootnoteReference"/>
        </w:rPr>
        <w:footnoteReference w:id="84"/>
      </w:r>
      <w:r>
        <w:t xml:space="preserve"> </w:t>
      </w:r>
      <w:r>
        <w:t xml:space="preserve">Once district-level controls are introduced (Models 3 and 4), the indirect effects become both larger in magnitude and statistically significant at the 10% level, reaching -0.015 in Model 3 and -0.012 in our most comprehensive Model 4.</w:t>
      </w:r>
      <w:r>
        <w:t xml:space="preserve"> </w:t>
      </w:r>
      <w:r>
        <w:t xml:space="preserve">The spatial channels of convergence therefore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51% larger in magnitude than the OLS estimate (-0.025).</w:t>
      </w:r>
      <w:r>
        <w:t xml:space="preserve"> </w:t>
      </w:r>
      <w:r>
        <w:t xml:space="preserve">Translated into an annual speed of convergence, this raises the implied speed from about 3.0% under OLS to about 5.2% under the SDM, and it shortens the implied half-life from roughly 23 to 13 years.</w:t>
      </w:r>
      <w:r>
        <w:t xml:space="preserve"> </w:t>
      </w:r>
      <w:r>
        <w:t xml:space="preserve">The gap is even larger in Model 3 (SDM total -0.041 against OLS -0.025, or 67%), but the Model 3 and Model 4 spillover estimates are statistically indistinguishable, so we anchor our interpretation on the preferred Model 4.</w:t>
      </w:r>
      <w:r>
        <w:t xml:space="preserve"> </w:t>
      </w:r>
      <w:r>
        <w:t xml:space="preserve">These differences indicate that in this setting conventional non-spatial approaches understate the speed of regional convergence by failing to capture the additional convergence channels created through spatial spillovers.</w:t>
      </w:r>
    </w:p>
    <w:tbl>
      <w:tblPr>
        <w:tblStyle w:val="Table"/>
        <w:tblW w:type="pct" w:w="5000"/>
        <w:tblLayout w:type="fixed"/>
        <w:tblLook w:firstRow="0" w:lastRow="0" w:firstColumn="0" w:lastColumn="0" w:noHBand="0" w:noVBand="0" w:val="0000"/>
      </w:tblPr>
      <w:tblGrid>
        <w:gridCol w:w="7920"/>
      </w:tblGrid>
      <w:tr>
        <w:tc>
          <w:tcPr/>
          <w:bookmarkStart w:id="85" w:name="tbl-speed"/>
          <w:p>
            <w:pPr>
              <w:jc w:val="center"/>
            </w:pPr>
            <w:pPr>
              <w:jc w:val="left"/>
              <w:spacing w:before="200"/>
              <w:pStyle w:val="ImageCaption"/>
            </w:pPr>
            <w:r>
              <w:t xml:space="preserve">Table 3: Implied annual speed of convergence and half-life by model, from the OLS and SDM total effects of initial luminosity.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Model</w:t>
                  </w:r>
                </w:p>
              </w:tc>
              <w:tc>
                <w:tcPr/>
                <w:p>
                  <w:pPr>
                    <w:pStyle w:val="Compact"/>
                    <w:jc w:val="center"/>
                  </w:pPr>
                  <w:r>
                    <w:t xml:space="preserve">OLS speed</w:t>
                  </w:r>
                </w:p>
              </w:tc>
              <w:tc>
                <w:tcPr/>
                <w:p>
                  <w:pPr>
                    <w:pStyle w:val="Compact"/>
                    <w:jc w:val="center"/>
                  </w:pPr>
                  <w:r>
                    <w:t xml:space="preserve">SDM speed</w:t>
                  </w:r>
                </w:p>
              </w:tc>
              <w:tc>
                <w:tcPr/>
                <w:p>
                  <w:pPr>
                    <w:pStyle w:val="Compact"/>
                    <w:jc w:val="center"/>
                  </w:pPr>
                  <w:r>
                    <w:t xml:space="preserve">OLS half-life</w:t>
                  </w:r>
                </w:p>
              </w:tc>
              <w:tc>
                <w:tcPr/>
                <w:p>
                  <w:pPr>
                    <w:pStyle w:val="Compact"/>
                    <w:jc w:val="center"/>
                  </w:pPr>
                  <w:r>
                    <w:t xml:space="preserve">SDM half-life</w:t>
                  </w:r>
                </w:p>
              </w:tc>
            </w:tr>
            <w:tr>
              <w:tc>
                <w:tcPr/>
                <w:p>
                  <w:pPr>
                    <w:pStyle w:val="Compact"/>
                    <w:jc w:val="center"/>
                  </w:pPr>
                  <w:r>
                    <w:t xml:space="preserve">Model 1</w:t>
                  </w:r>
                </w:p>
              </w:tc>
              <w:tc>
                <w:tcPr/>
                <w:p>
                  <w:pPr>
                    <w:pStyle w:val="Compact"/>
                    <w:jc w:val="center"/>
                  </w:pPr>
                  <w:r>
                    <w:t xml:space="preserve">2.3%</w:t>
                  </w:r>
                </w:p>
              </w:tc>
              <w:tc>
                <w:tcPr/>
                <w:p>
                  <w:pPr>
                    <w:pStyle w:val="Compact"/>
                    <w:jc w:val="center"/>
                  </w:pPr>
                  <w:r>
                    <w:t xml:space="preserve">2.6%</w:t>
                  </w:r>
                </w:p>
              </w:tc>
              <w:tc>
                <w:tcPr/>
                <w:p>
                  <w:pPr>
                    <w:pStyle w:val="Compact"/>
                    <w:jc w:val="center"/>
                  </w:pPr>
                  <w:r>
                    <w:t xml:space="preserve">30 yr</w:t>
                  </w:r>
                </w:p>
              </w:tc>
              <w:tc>
                <w:tcPr/>
                <w:p>
                  <w:pPr>
                    <w:pStyle w:val="Compact"/>
                    <w:jc w:val="center"/>
                  </w:pPr>
                  <w:r>
                    <w:t xml:space="preserve">27 yr</w:t>
                  </w:r>
                </w:p>
              </w:tc>
            </w:tr>
            <w:tr>
              <w:tc>
                <w:tcPr/>
                <w:p>
                  <w:pPr>
                    <w:pStyle w:val="Compact"/>
                    <w:jc w:val="center"/>
                  </w:pPr>
                  <w:r>
                    <w:t xml:space="preserve">Model 2</w:t>
                  </w:r>
                </w:p>
              </w:tc>
              <w:tc>
                <w:tcPr/>
                <w:p>
                  <w:pPr>
                    <w:pStyle w:val="Compact"/>
                    <w:jc w:val="center"/>
                  </w:pPr>
                  <w:r>
                    <w:t xml:space="preserve">2.6%</w:t>
                  </w:r>
                </w:p>
              </w:tc>
              <w:tc>
                <w:tcPr/>
                <w:p>
                  <w:pPr>
                    <w:pStyle w:val="Compact"/>
                    <w:jc w:val="center"/>
                  </w:pPr>
                  <w:r>
                    <w:t xml:space="preserve">2.7%</w:t>
                  </w:r>
                </w:p>
              </w:tc>
              <w:tc>
                <w:tcPr/>
                <w:p>
                  <w:pPr>
                    <w:pStyle w:val="Compact"/>
                    <w:jc w:val="center"/>
                  </w:pPr>
                  <w:r>
                    <w:t xml:space="preserve">27 yr</w:t>
                  </w:r>
                </w:p>
              </w:tc>
              <w:tc>
                <w:tcPr/>
                <w:p>
                  <w:pPr>
                    <w:pStyle w:val="Compact"/>
                    <w:jc w:val="center"/>
                  </w:pPr>
                  <w:r>
                    <w:t xml:space="preserve">26 yr</w:t>
                  </w:r>
                </w:p>
              </w:tc>
            </w:tr>
            <w:tr>
              <w:tc>
                <w:tcPr/>
                <w:p>
                  <w:pPr>
                    <w:pStyle w:val="Compact"/>
                    <w:jc w:val="center"/>
                  </w:pPr>
                  <w:r>
                    <w:t xml:space="preserve">Model 3</w:t>
                  </w:r>
                </w:p>
              </w:tc>
              <w:tc>
                <w:tcPr/>
                <w:p>
                  <w:pPr>
                    <w:pStyle w:val="Compact"/>
                    <w:jc w:val="center"/>
                  </w:pPr>
                  <w:r>
                    <w:t xml:space="preserve">3.0%</w:t>
                  </w:r>
                </w:p>
              </w:tc>
              <w:tc>
                <w:tcPr/>
                <w:p>
                  <w:pPr>
                    <w:pStyle w:val="Compact"/>
                    <w:jc w:val="center"/>
                  </w:pPr>
                  <w:r>
                    <w:t xml:space="preserve">6.2%</w:t>
                  </w:r>
                </w:p>
              </w:tc>
              <w:tc>
                <w:tcPr/>
                <w:p>
                  <w:pPr>
                    <w:pStyle w:val="Compact"/>
                    <w:jc w:val="center"/>
                  </w:pPr>
                  <w:r>
                    <w:t xml:space="preserve">23 yr</w:t>
                  </w:r>
                </w:p>
              </w:tc>
              <w:tc>
                <w:tcPr/>
                <w:p>
                  <w:pPr>
                    <w:pStyle w:val="Compact"/>
                    <w:jc w:val="center"/>
                  </w:pPr>
                  <w:r>
                    <w:t xml:space="preserve">11 yr</w:t>
                  </w:r>
                </w:p>
              </w:tc>
            </w:tr>
            <w:tr>
              <w:tc>
                <w:tcPr/>
                <w:p>
                  <w:pPr>
                    <w:pStyle w:val="Compact"/>
                    <w:jc w:val="center"/>
                  </w:pPr>
                  <w:r>
                    <w:t xml:space="preserve">Model 4</w:t>
                  </w:r>
                </w:p>
              </w:tc>
              <w:tc>
                <w:tcPr/>
                <w:p>
                  <w:pPr>
                    <w:pStyle w:val="Compact"/>
                    <w:jc w:val="center"/>
                  </w:pPr>
                  <w:r>
                    <w:t xml:space="preserve">3.0%</w:t>
                  </w:r>
                </w:p>
              </w:tc>
              <w:tc>
                <w:tcPr/>
                <w:p>
                  <w:pPr>
                    <w:pStyle w:val="Compact"/>
                    <w:jc w:val="center"/>
                  </w:pPr>
                  <w:r>
                    <w:t xml:space="preserve">5.2%</w:t>
                  </w:r>
                </w:p>
              </w:tc>
              <w:tc>
                <w:tcPr/>
                <w:p>
                  <w:pPr>
                    <w:pStyle w:val="Compact"/>
                    <w:jc w:val="center"/>
                  </w:pPr>
                  <w:r>
                    <w:t xml:space="preserve">23 yr</w:t>
                  </w:r>
                </w:p>
              </w:tc>
              <w:tc>
                <w:tcPr/>
                <w:p>
                  <w:pPr>
                    <w:pStyle w:val="Compact"/>
                    <w:jc w:val="center"/>
                  </w:pPr>
                  <w:r>
                    <w:t xml:space="preserve">13 yr</w:t>
                  </w:r>
                </w:p>
              </w:tc>
            </w:tr>
          </w:tbl>
          <w:bookmarkEnd w:id="85"/>
          <w:p/>
        </w:tc>
      </w:tr>
    </w:tbl>
    <w:p>
      <w:pPr>
        <w:pStyle w:val="BodyText"/>
      </w:pPr>
      <w:hyperlink w:anchor="tbl-speed">
        <w:r>
          <w:rPr>
            <w:rStyle w:val="Hyperlink"/>
          </w:rPr>
          <w:t xml:space="preserve">Table 3</w:t>
        </w:r>
      </w:hyperlink>
      <w:r>
        <w:t xml:space="preserve"> </w:t>
      </w:r>
      <w:r>
        <w:t xml:space="preserve">reports the implied speeds and half-lives for all four specifications.</w:t>
      </w:r>
      <w:r>
        <w:t xml:space="preserve"> </w:t>
      </w:r>
      <w:r>
        <w:t xml:space="preserve">The spatial premium is concentrated in the conditional models.</w:t>
      </w:r>
      <w:r>
        <w:t xml:space="preserve"> </w:t>
      </w:r>
      <w:r>
        <w:t xml:space="preserve">In Models 1 and 2 the OLS and SDM speeds are nearly identical, whereas in Models 3 and 4 the SDM raises the implied speed from 3.0% to 6.2% and 5.2%, shortening the half-life from 23 years to 11 and 13 years respectively.</w:t>
      </w:r>
      <w:r>
        <w:rPr>
          <w:rStyle w:val="FootnoteReference"/>
        </w:rPr>
        <w:footnoteReference w:id="86"/>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 and the most comprehensive model (Model 4 SDM) achieves the lowest AIC value of -2501 compared to -2465 for the corresponding OLS.</w:t>
      </w:r>
      <w:r>
        <w:rPr>
          <w:rStyle w:val="FootnoteReference"/>
        </w:rPr>
        <w:footnoteReference w:id="87"/>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In this setting, ignoring these interactions leads to both underestimated convergence speeds and inferior model performance.</w:t>
      </w:r>
    </w:p>
    <w:p>
      <w:pPr>
        <w:pStyle w:val="BodyText"/>
      </w:pPr>
      <w:r>
        <w:t xml:space="preserve">A word of caution is in order about how the indirect effects should be read.</w:t>
      </w:r>
      <w:r>
        <w:t xml:space="preserve"> </w:t>
      </w:r>
      <w:r>
        <w:t xml:space="preserve">The spatial Durbin model identifies spatial dependence in reduced form: it establishes that the growth of a district covaries with the initial conditions of its neighbors, conditional on its own characteristics, but it does not establish why.</w:t>
      </w:r>
      <w:r>
        <w:t xml:space="preserve"> </w:t>
      </w:r>
      <w:r>
        <w:t xml:space="preserve">Several distinct processes generate the same reduced-form pattern.</w:t>
      </w:r>
      <w:r>
        <w:t xml:space="preserve"> </w:t>
      </w:r>
      <w:r>
        <w:t xml:space="preserve">Neighboring districts share geographic and agro-climatic conditions.</w:t>
      </w:r>
      <w:r>
        <w:t xml:space="preserve"> </w:t>
      </w:r>
      <w:r>
        <w:t xml:space="preserve">They are often governed by the same state, and so inherit common institutional and policy environments that our state fixed effects absorb only in part.</w:t>
      </w:r>
      <w:r>
        <w:t xml:space="preserve"> </w:t>
      </w:r>
      <w:r>
        <w:t xml:space="preserve">They are connected by infrastructure whose effects do not stop at administrative boundaries.</w:t>
      </w:r>
      <w:r>
        <w:t xml:space="preserve"> </w:t>
      </w:r>
      <w:r>
        <w:t xml:space="preserve">Any omitted determinant of growth that is itself spatially clustered will also be absorbed into the spatial terms of the model.</w:t>
      </w:r>
      <w:r>
        <w:t xml:space="preserve"> </w:t>
      </w:r>
      <w:r>
        <w:t xml:space="preserve">The measurement issues discussed below point in the same direction, since blooming spreads light across district boundaries and can raise the apparent correlation between neighbors for reasons unrelated to economic interaction.</w:t>
      </w:r>
      <w:r>
        <w:t xml:space="preserve"> </w:t>
      </w:r>
      <w:r>
        <w:t xml:space="preserve">We therefore read the indirect effects as evidence that spatial structure is a feature of the convergence process, and not as an estimate of the causal effect of the conditions of one district on the growth of another.</w:t>
      </w:r>
      <w:r>
        <w:t xml:space="preserve"> </w:t>
      </w:r>
      <w:r>
        <w:t xml:space="preserve">Establishing which channels are at work, and whether they are causal, would require research designs built for that purpose, a point we return to in the discussion.</w:t>
      </w:r>
    </w:p>
    <w:bookmarkEnd w:id="88"/>
    <w:bookmarkStart w:id="90" w:name="Xd5e7442d3d7346eee3f42bd4042a7856199f3f2"/>
    <w:p>
      <w:pPr>
        <w:pStyle w:val="Heading3"/>
      </w:pPr>
      <w:r>
        <w:t xml:space="preserve">How these estimates compare with the convergence literature</w:t>
      </w:r>
    </w:p>
    <w:p>
      <w:pPr>
        <w:pStyle w:val="FirstParagraph"/>
      </w:pPr>
      <w:r>
        <w:t xml:space="preserve">The speeds reported above can be placed against three sets of benchmarks.</w:t>
      </w:r>
      <w:r>
        <w:t xml:space="preserve"> </w:t>
      </w:r>
      <w:r>
        <w:t xml:space="preserve">The first is other work on Indian districts using the same proxy:</w:t>
      </w:r>
      <w:r>
        <w:t xml:space="preserve"> </w:t>
      </w:r>
      <w:r>
        <w:t xml:space="preserve">Beyer and Yamada (2020)</w:t>
      </w:r>
      <w:r>
        <w:t xml:space="preserve"> </w:t>
      </w:r>
      <w:r>
        <w:t xml:space="preserve">report 2.4% absolute and 3.7% conditional convergence for India over 2013–2019, against our own 2.3% and 3.0%.</w:t>
      </w:r>
      <w:r>
        <w:t xml:space="preserve"> </w:t>
      </w:r>
      <w:r>
        <w:t xml:space="preserve">That two independent applications of the same measurement strategy recover similar non-spatial rates, despite different periods and different generations of the sensor, is reassuring about the proxy.</w:t>
      </w:r>
    </w:p>
    <w:p>
      <w:pPr>
        <w:pStyle w:val="BodyText"/>
      </w:pPr>
      <w:r>
        <w:t xml:space="preserve">The second comparison is with convergence estimated from luminosity elsewhere.</w:t>
      </w:r>
      <w:r>
        <w:t xml:space="preserve"> </w:t>
      </w:r>
      <w:r>
        <w:t xml:space="preserve">Basher, Rashid, and Uddin (2023)</w:t>
      </w:r>
      <w:r>
        <w:t xml:space="preserve"> </w:t>
      </w:r>
      <w:r>
        <w:t xml:space="preserve">find 4.57% per year across the 64 districts of Bangladesh, implying a half-life of 15 years, above the 2.3% we obtain without controls and below the 5.2% of our preferred spatial model.</w:t>
      </w:r>
      <w:r>
        <w:t xml:space="preserve"> </w:t>
      </w:r>
      <w:r>
        <w:t xml:space="preserve">Carrington and Jiménez-Ayora (2021)</w:t>
      </w:r>
      <w:r>
        <w:t xml:space="preserve"> </w:t>
      </w:r>
      <w:r>
        <w:t xml:space="preserve">report a speed near the 2% benchmark for Ecuadorian provinces, while</w:t>
      </w:r>
      <w:r>
        <w:t xml:space="preserve"> </w:t>
      </w:r>
      <w:r>
        <w:t xml:space="preserve">Kacou (2022)</w:t>
      </w:r>
      <w:r>
        <w:t xml:space="preserve"> </w:t>
      </w:r>
      <w:r>
        <w:t xml:space="preserve">finds multiple equilibria in within-country regional inequality across 49 African countries.</w:t>
      </w:r>
      <w:r>
        <w:t xml:space="preserve"> </w:t>
      </w:r>
      <w:r>
        <w:t xml:space="preserve">Our unconditional non-spatial estimate therefore sits near the familiar 2% regularity, and the conditional spatial estimates well above it.</w:t>
      </w:r>
      <w:r>
        <w:rPr>
          <w:rStyle w:val="FootnoteReference"/>
        </w:rPr>
        <w:footnoteReference w:id="89"/>
      </w:r>
      <w:r>
        <w:t xml:space="preserve"> </w:t>
      </w:r>
      <w:r>
        <w:t xml:space="preserve">That regularity should not be treated as a law: a meta-analysis of some 600 published estimates concludes that it is misleading to speak of a natural convergence rate, since estimates from different specifications are drawn from different populations</w:t>
      </w:r>
      <w:r>
        <w:t xml:space="preserve"> </w:t>
      </w:r>
      <w:r>
        <w:t xml:space="preserve">(Abreu, de Groot, and Florax 2005)</w:t>
      </w:r>
      <w:r>
        <w:t xml:space="preserve">.</w:t>
      </w:r>
      <w:r>
        <w:t xml:space="preserve"> </w:t>
      </w:r>
      <w:r>
        <w:t xml:space="preserve">These comparisons therefore locate our estimates rather than validate them.</w:t>
      </w:r>
    </w:p>
    <w:p>
      <w:pPr>
        <w:pStyle w:val="BodyText"/>
      </w:pPr>
      <w:r>
        <w:t xml:space="preserve">The third comparison bears most directly on what this article adds.</w:t>
      </w:r>
      <w:r>
        <w:t xml:space="preserve"> </w:t>
      </w:r>
      <w:r>
        <w:t xml:space="preserve">That convergence estimates are sensitive to spatial dependence is established; the direction in which allowing for it moves the estimated speed is not.</w:t>
      </w:r>
      <w:r>
        <w:t xml:space="preserve"> </w:t>
      </w:r>
      <w:r>
        <w:t xml:space="preserve">Our own rise from 3.0% to 5.2% agrees with</w:t>
      </w:r>
      <w:r>
        <w:t xml:space="preserve"> </w:t>
      </w:r>
      <w:r>
        <w:t xml:space="preserve">Diop (2018)</w:t>
      </w:r>
      <w:r>
        <w:t xml:space="preserve">, who finds a substantially higher speed in a spatial Durbin specification and concludes that earlier estimates may have been considerably understated.</w:t>
      </w:r>
      <w:r>
        <w:t xml:space="preserve"> </w:t>
      </w:r>
      <w:r>
        <w:t xml:space="preserve">Other studies find the opposite.</w:t>
      </w:r>
      <w:r>
        <w:t xml:space="preserve"> </w:t>
      </w:r>
      <w:r>
        <w:t xml:space="preserve">Isla-Castillo, Garashchuk, and Podadera-Rivera (2024)</w:t>
      </w:r>
      <w:r>
        <w:t xml:space="preserve"> </w:t>
      </w:r>
      <w:r>
        <w:t xml:space="preserve">report lower estimated speeds for European regions once spatial dependence is allowed for, and</w:t>
      </w:r>
      <w:r>
        <w:t xml:space="preserve"> </w:t>
      </w:r>
      <w:r>
        <w:t xml:space="preserve">Santos-Marquez, Gunawan, and Mendez (2022)</w:t>
      </w:r>
      <w:r>
        <w:t xml:space="preserve"> </w:t>
      </w:r>
      <w:r>
        <w:t xml:space="preserve">conclude that neighbor effects have slowed convergence across Indonesian districts.</w:t>
      </w:r>
      <w:r>
        <w:t xml:space="preserve"> </w:t>
      </w:r>
      <w:r>
        <w:t xml:space="preserve">Within India,</w:t>
      </w:r>
      <w:r>
        <w:t xml:space="preserve"> </w:t>
      </w:r>
      <w:r>
        <w:t xml:space="preserve">Lolayekar and Mukhopadhyay (2019)</w:t>
      </w:r>
      <w:r>
        <w:t xml:space="preserve"> </w:t>
      </w:r>
      <w:r>
        <w:t xml:space="preserve">find a considerably smaller impact of initial income across states, and divergence rather than convergence.</w:t>
      </w:r>
    </w:p>
    <w:p>
      <w:pPr>
        <w:pStyle w:val="BodyText"/>
      </w:pPr>
      <w:r>
        <w:t xml:space="preserve">The arithmetic is straightforward in our own case: the indirect effect carries the same negative sign as the direct effect, so the two reinforce one another and the total effect exceeds the OLS coefficient in magnitude.</w:t>
      </w:r>
      <w:r>
        <w:t xml:space="preserve"> </w:t>
      </w:r>
      <w:r>
        <w:t xml:space="preserve">Where the initial conditions of neighbors enter with the opposite sign, or where the spatial terms absorb variation the non-spatial model had attributed to initial luminosity, the same exercise reduces the estimated speed.</w:t>
      </w:r>
      <w:r>
        <w:t xml:space="preserve"> </w:t>
      </w:r>
      <w:r>
        <w:t xml:space="preserve">The substantive point is therefore not that spatial dependence matters, which is already known, but that here it works in the direction of faster measured convergence, and the contrast with Indian states suggests that the scale of analysis is part of what determines the answer.</w:t>
      </w:r>
    </w:p>
    <w:bookmarkEnd w:id="90"/>
    <w:bookmarkStart w:id="96" w:name="X065d6ac0dd910a68244c3fa2388f07396f2fa1f"/>
    <w:p>
      <w:pPr>
        <w:pStyle w:val="Heading3"/>
      </w:pPr>
      <w:r>
        <w:t xml:space="preserve">Robustness to alternative spatial weight matrices</w:t>
      </w:r>
    </w:p>
    <w:p>
      <w:pPr>
        <w:pStyle w:val="FirstParagraph"/>
      </w:pPr>
      <w:r>
        <w:t xml:space="preserve">The spillover results above use a six-nearest-neighbor (6NN) spatial weight matrix.</w:t>
      </w:r>
      <w:r>
        <w:t xml:space="preserve"> </w:t>
      </w:r>
      <w:r>
        <w:t xml:space="preserve">To assess their sensitivity to this choice, we re-estimate the preferred Model 4 under six alternative specifications and compare them with the 6NN baseline.</w:t>
      </w:r>
      <w:r>
        <w:t xml:space="preserve"> </w:t>
      </w:r>
      <w:r>
        <w:t xml:space="preserve">The alternatives are four- and eight-nearest neighbors, queen and rook contiguity, and inverse distance and inverse-distance-squared, the last two applied within a distance band.</w:t>
      </w:r>
    </w:p>
    <w:tbl>
      <w:tblPr>
        <w:tblStyle w:val="Table"/>
        <w:tblW w:type="pct" w:w="5000"/>
        <w:tblLayout w:type="fixed"/>
        <w:tblLook w:firstRow="0" w:lastRow="0" w:firstColumn="0" w:lastColumn="0" w:noHBand="0" w:noVBand="0" w:val="0000"/>
      </w:tblPr>
      <w:tblGrid>
        <w:gridCol w:w="7920"/>
      </w:tblGrid>
      <w:tr>
        <w:tc>
          <w:tcPr/>
          <w:bookmarkStart w:id="94" w:name="fig-altw"/>
          <w:p>
            <w:pPr>
              <w:pStyle w:val="Compact"/>
              <w:jc w:val="center"/>
            </w:pPr>
            <w:r>
              <w:drawing>
                <wp:inline>
                  <wp:extent cx="5334000" cy="1836368"/>
                  <wp:effectExtent b="0" l="0" r="0" t="0"/>
                  <wp:docPr descr="" title="" id="92" name="Picture"/>
                  <a:graphic>
                    <a:graphicData uri="http://schemas.openxmlformats.org/drawingml/2006/picture">
                      <pic:pic>
                        <pic:nvPicPr>
                          <pic:cNvPr descr="index_files/figure-docx/notebooks-c07_alternative_w_matrices-fig-altw-output-1.png" id="93" name="Picture"/>
                          <pic:cNvPicPr>
                            <a:picLocks noChangeArrowheads="1" noChangeAspect="1"/>
                          </pic:cNvPicPr>
                        </pic:nvPicPr>
                        <pic:blipFill>
                          <a:blip r:embed="rId91"/>
                          <a:stretch>
                            <a:fillRect/>
                          </a:stretch>
                        </pic:blipFill>
                        <pic:spPr bwMode="auto">
                          <a:xfrm>
                            <a:off x="0" y="0"/>
                            <a:ext cx="5334000" cy="1836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Robustness of the Model 4 spatial impacts of initial luminosity to the choice of spatial weight matrix. Points are Direct, Indirect, and Total impacts; bars are 95% Monte-Carlo confidence intervals. The dashed lines mark the 6NN baseline estimates.</w:t>
            </w:r>
          </w:p>
          <w:bookmarkEnd w:id="94"/>
        </w:tc>
      </w:tr>
    </w:tbl>
    <w:tbl>
      <w:tblPr>
        <w:tblStyle w:val="Table"/>
        <w:tblW w:type="pct" w:w="5000"/>
        <w:tblLayout w:type="fixed"/>
        <w:tblLook w:firstRow="0" w:lastRow="0" w:firstColumn="0" w:lastColumn="0" w:noHBand="0" w:noVBand="0" w:val="0000"/>
      </w:tblPr>
      <w:tblGrid>
        <w:gridCol w:w="7920"/>
      </w:tblGrid>
      <w:tr>
        <w:tc>
          <w:tcPr/>
          <w:bookmarkStart w:id="95" w:name="tbl-altw"/>
          <w:p>
            <w:pPr>
              <w:jc w:val="center"/>
            </w:pPr>
            <w:pPr>
              <w:jc w:val="left"/>
              <w:spacing w:before="200"/>
              <w:pStyle w:val="ImageCaption"/>
            </w:pPr>
            <w:r>
              <w:t xml:space="preserve">Table 4: Model 4 spatial impacts of initial luminosity under alternative spatial weight matrices (full LeSage–Pace method; Monte-Carlo standard errors in parentheses).</w:t>
            </w:r>
          </w:p>
          <w:tbl>
            <w:tblPr>
              <w:tblStyle w:val="Table"/>
              <w:tblW w:type="pct" w:w="5000"/>
              <w:tblLayout w:type="fixed"/>
              <w:tblLook w:firstRow="1" w:lastRow="0" w:firstColumn="0" w:lastColumn="0" w:noHBand="0" w:noVBand="0" w:val="0020"/>
            </w:tblPr>
            <w:tblGrid>
              <w:gridCol w:w="2640"/>
              <w:gridCol w:w="1408"/>
              <w:gridCol w:w="1760"/>
              <w:gridCol w:w="1232"/>
              <w:gridCol w:w="880"/>
            </w:tblGrid>
            <w:tr>
              <w:trPr>
                <w:tblHeader w:val="on"/>
              </w:trPr>
              <w:tc>
                <w:tcPr/>
                <w:p>
                  <w:pPr>
                    <w:pStyle w:val="Compact"/>
                    <w:jc w:val="center"/>
                  </w:pPr>
                  <w:r>
                    <w:t xml:space="preserve">Weight matrix</w:t>
                  </w:r>
                </w:p>
              </w:tc>
              <w:tc>
                <w:tcPr/>
                <w:p>
                  <w:pPr>
                    <w:pStyle w:val="Compact"/>
                    <w:jc w:val="center"/>
                  </w:pPr>
                  <w:r>
                    <w:t xml:space="preserve">Direct</w:t>
                  </w:r>
                </w:p>
              </w:tc>
              <w:tc>
                <w:tcPr/>
                <w:p>
                  <w:pPr>
                    <w:pStyle w:val="Compact"/>
                    <w:jc w:val="center"/>
                  </w:pPr>
                  <w:r>
                    <w:t xml:space="preserve">Indirect</w:t>
                  </w:r>
                </w:p>
              </w:tc>
              <w:tc>
                <w:tcPr/>
                <w:p>
                  <w:pPr>
                    <w:pStyle w:val="Compact"/>
                    <w:jc w:val="center"/>
                  </w:pPr>
                  <w:r>
                    <w:t xml:space="preserve">Total</w:t>
                  </w:r>
                </w:p>
              </w:tc>
              <w:tc>
                <w:tcPr/>
                <w:p>
                  <w:pPr>
                    <w:pStyle w:val="Compact"/>
                    <w:jc w:val="center"/>
                  </w:pPr>
                  <w:r>
                    <w:t xml:space="preserve">AIC</w:t>
                  </w:r>
                </w:p>
              </w:tc>
            </w:tr>
            <w:tr>
              <w:tc>
                <w:tcPr/>
                <w:p>
                  <w:pPr>
                    <w:pStyle w:val="Compact"/>
                    <w:jc w:val="center"/>
                  </w:pPr>
                  <w:r>
                    <w:t xml:space="preserve">4 nearest neighbors</w:t>
                  </w:r>
                </w:p>
              </w:tc>
              <w:tc>
                <w:tcPr/>
                <w:p>
                  <w:pPr>
                    <w:pStyle w:val="Compact"/>
                    <w:jc w:val="center"/>
                  </w:pPr>
                  <w:r>
                    <w:t xml:space="preserve">-0.024***</w:t>
                  </w:r>
                  <w:r>
                    <w:t xml:space="preserve">(0.002)</w:t>
                  </w:r>
                </w:p>
              </w:tc>
              <w:tc>
                <w:tcPr/>
                <w:p>
                  <w:pPr>
                    <w:pStyle w:val="Compact"/>
                    <w:jc w:val="center"/>
                  </w:pPr>
                  <w:r>
                    <w:t xml:space="preserve">-0.008</w:t>
                  </w:r>
                  <w:r>
                    <w:t xml:space="preserve">(0.005)</w:t>
                  </w:r>
                </w:p>
              </w:tc>
              <w:tc>
                <w:tcPr/>
                <w:p>
                  <w:pPr>
                    <w:pStyle w:val="Compact"/>
                    <w:jc w:val="center"/>
                  </w:pPr>
                  <w:r>
                    <w:t xml:space="preserve">-0.032***</w:t>
                  </w:r>
                  <w:r>
                    <w:t xml:space="preserve">(0.006)</w:t>
                  </w:r>
                </w:p>
              </w:tc>
              <w:tc>
                <w:tcPr/>
                <w:p>
                  <w:pPr>
                    <w:pStyle w:val="Compact"/>
                    <w:jc w:val="center"/>
                  </w:pPr>
                  <w:r>
                    <w:t xml:space="preserve">-2468</w:t>
                  </w:r>
                </w:p>
              </w:tc>
            </w:tr>
            <w:tr>
              <w:tc>
                <w:tcPr/>
                <w:p>
                  <w:pPr>
                    <w:pStyle w:val="Compact"/>
                    <w:jc w:val="center"/>
                  </w:pPr>
                  <w:r>
                    <w:t xml:space="preserve">6 nearest neighbors (base)</w:t>
                  </w:r>
                </w:p>
              </w:tc>
              <w:tc>
                <w:tcPr/>
                <w:p>
                  <w:pPr>
                    <w:pStyle w:val="Compact"/>
                    <w:jc w:val="center"/>
                  </w:pPr>
                  <w:r>
                    <w:t xml:space="preserve">-0.025***</w:t>
                  </w:r>
                  <w:r>
                    <w:t xml:space="preserve">(0.002)</w:t>
                  </w:r>
                </w:p>
              </w:tc>
              <w:tc>
                <w:tcPr/>
                <w:p>
                  <w:pPr>
                    <w:pStyle w:val="Compact"/>
                    <w:jc w:val="center"/>
                  </w:pPr>
                  <w:r>
                    <w:t xml:space="preserve">-0.012*</w:t>
                  </w:r>
                  <w:r>
                    <w:t xml:space="preserve">(0.007)</w:t>
                  </w:r>
                </w:p>
              </w:tc>
              <w:tc>
                <w:tcPr/>
                <w:p>
                  <w:pPr>
                    <w:pStyle w:val="Compact"/>
                    <w:jc w:val="center"/>
                  </w:pPr>
                  <w:r>
                    <w:t xml:space="preserve">-0.037***</w:t>
                  </w:r>
                  <w:r>
                    <w:t xml:space="preserve">(0.007)</w:t>
                  </w:r>
                </w:p>
              </w:tc>
              <w:tc>
                <w:tcPr/>
                <w:p>
                  <w:pPr>
                    <w:pStyle w:val="Compact"/>
                    <w:jc w:val="center"/>
                  </w:pPr>
                  <w:r>
                    <w:t xml:space="preserve">-2501</w:t>
                  </w:r>
                </w:p>
              </w:tc>
            </w:tr>
            <w:tr>
              <w:tc>
                <w:tcPr/>
                <w:p>
                  <w:pPr>
                    <w:pStyle w:val="Compact"/>
                    <w:jc w:val="center"/>
                  </w:pPr>
                  <w:r>
                    <w:t xml:space="preserve">8 nearest neighbors</w:t>
                  </w:r>
                </w:p>
              </w:tc>
              <w:tc>
                <w:tcPr/>
                <w:p>
                  <w:pPr>
                    <w:pStyle w:val="Compact"/>
                    <w:jc w:val="center"/>
                  </w:pPr>
                  <w:r>
                    <w:t xml:space="preserve">-0.025***</w:t>
                  </w:r>
                  <w:r>
                    <w:t xml:space="preserve">(0.002)</w:t>
                  </w:r>
                </w:p>
              </w:tc>
              <w:tc>
                <w:tcPr/>
                <w:p>
                  <w:pPr>
                    <w:pStyle w:val="Compact"/>
                    <w:jc w:val="center"/>
                  </w:pPr>
                  <w:r>
                    <w:t xml:space="preserve">-0.011</w:t>
                  </w:r>
                  <w:r>
                    <w:t xml:space="preserve">(0.008)</w:t>
                  </w:r>
                </w:p>
              </w:tc>
              <w:tc>
                <w:tcPr/>
                <w:p>
                  <w:pPr>
                    <w:pStyle w:val="Compact"/>
                    <w:jc w:val="center"/>
                  </w:pPr>
                  <w:r>
                    <w:t xml:space="preserve">-0.036***</w:t>
                  </w:r>
                  <w:r>
                    <w:t xml:space="preserve">(0.008)</w:t>
                  </w:r>
                </w:p>
              </w:tc>
              <w:tc>
                <w:tcPr/>
                <w:p>
                  <w:pPr>
                    <w:pStyle w:val="Compact"/>
                    <w:jc w:val="center"/>
                  </w:pPr>
                  <w:r>
                    <w:t xml:space="preserve">-2485</w:t>
                  </w:r>
                </w:p>
              </w:tc>
            </w:tr>
            <w:tr>
              <w:tc>
                <w:tcPr/>
                <w:p>
                  <w:pPr>
                    <w:pStyle w:val="Compact"/>
                    <w:jc w:val="center"/>
                  </w:pPr>
                  <w:r>
                    <w:t xml:space="preserve">Queen contiguity</w:t>
                  </w:r>
                </w:p>
              </w:tc>
              <w:tc>
                <w:tcPr/>
                <w:p>
                  <w:pPr>
                    <w:pStyle w:val="Compact"/>
                    <w:jc w:val="center"/>
                  </w:pPr>
                  <w:r>
                    <w:t xml:space="preserve">-0.025***</w:t>
                  </w:r>
                  <w:r>
                    <w:t xml:space="preserve">(0.002)</w:t>
                  </w:r>
                </w:p>
              </w:tc>
              <w:tc>
                <w:tcPr/>
                <w:p>
                  <w:pPr>
                    <w:pStyle w:val="Compact"/>
                    <w:jc w:val="center"/>
                  </w:pPr>
                  <w:r>
                    <w:t xml:space="preserve">-0.010**</w:t>
                  </w:r>
                  <w:r>
                    <w:t xml:space="preserve">(0.005)</w:t>
                  </w:r>
                </w:p>
              </w:tc>
              <w:tc>
                <w:tcPr/>
                <w:p>
                  <w:pPr>
                    <w:pStyle w:val="Compact"/>
                    <w:jc w:val="center"/>
                  </w:pPr>
                  <w:r>
                    <w:t xml:space="preserve">-0.035***</w:t>
                  </w:r>
                  <w:r>
                    <w:t xml:space="preserve">(0.005)</w:t>
                  </w:r>
                </w:p>
              </w:tc>
              <w:tc>
                <w:tcPr/>
                <w:p>
                  <w:pPr>
                    <w:pStyle w:val="Compact"/>
                    <w:jc w:val="center"/>
                  </w:pPr>
                  <w:r>
                    <w:t xml:space="preserve">-2463</w:t>
                  </w:r>
                </w:p>
              </w:tc>
            </w:tr>
            <w:tr>
              <w:tc>
                <w:tcPr/>
                <w:p>
                  <w:pPr>
                    <w:pStyle w:val="Compact"/>
                    <w:jc w:val="center"/>
                  </w:pPr>
                  <w:r>
                    <w:t xml:space="preserve">Rook contiguity</w:t>
                  </w:r>
                </w:p>
              </w:tc>
              <w:tc>
                <w:tcPr/>
                <w:p>
                  <w:pPr>
                    <w:pStyle w:val="Compact"/>
                    <w:jc w:val="center"/>
                  </w:pPr>
                  <w:r>
                    <w:t xml:space="preserve">-0.025***</w:t>
                  </w:r>
                  <w:r>
                    <w:t xml:space="preserve">(0.002)</w:t>
                  </w:r>
                </w:p>
              </w:tc>
              <w:tc>
                <w:tcPr/>
                <w:p>
                  <w:pPr>
                    <w:pStyle w:val="Compact"/>
                    <w:jc w:val="center"/>
                  </w:pPr>
                  <w:r>
                    <w:t xml:space="preserve">-0.009**</w:t>
                  </w:r>
                  <w:r>
                    <w:t xml:space="preserve">(0.004)</w:t>
                  </w:r>
                </w:p>
              </w:tc>
              <w:tc>
                <w:tcPr/>
                <w:p>
                  <w:pPr>
                    <w:pStyle w:val="Compact"/>
                    <w:jc w:val="center"/>
                  </w:pPr>
                  <w:r>
                    <w:t xml:space="preserve">-0.034***</w:t>
                  </w:r>
                  <w:r>
                    <w:t xml:space="preserve">(0.005)</w:t>
                  </w:r>
                </w:p>
              </w:tc>
              <w:tc>
                <w:tcPr/>
                <w:p>
                  <w:pPr>
                    <w:pStyle w:val="Compact"/>
                    <w:jc w:val="center"/>
                  </w:pPr>
                  <w:r>
                    <w:t xml:space="preserve">-2469</w:t>
                  </w:r>
                </w:p>
              </w:tc>
            </w:tr>
            <w:tr>
              <w:tc>
                <w:tcPr/>
                <w:p>
                  <w:pPr>
                    <w:pStyle w:val="Compact"/>
                    <w:jc w:val="center"/>
                  </w:pPr>
                  <w:r>
                    <w:t xml:space="preserve">Inverse distance</w:t>
                  </w:r>
                </w:p>
              </w:tc>
              <w:tc>
                <w:tcPr/>
                <w:p>
                  <w:pPr>
                    <w:pStyle w:val="Compact"/>
                    <w:jc w:val="center"/>
                  </w:pPr>
                  <w:r>
                    <w:t xml:space="preserve">-0.025***</w:t>
                  </w:r>
                  <w:r>
                    <w:t xml:space="preserve">(0.002)</w:t>
                  </w:r>
                </w:p>
              </w:tc>
              <w:tc>
                <w:tcPr/>
                <w:p>
                  <w:pPr>
                    <w:pStyle w:val="Compact"/>
                    <w:jc w:val="center"/>
                  </w:pPr>
                  <w:r>
                    <w:t xml:space="preserve">-0.016**</w:t>
                  </w:r>
                  <w:r>
                    <w:t xml:space="preserve">(0.007)</w:t>
                  </w:r>
                </w:p>
              </w:tc>
              <w:tc>
                <w:tcPr/>
                <w:p>
                  <w:pPr>
                    <w:pStyle w:val="Compact"/>
                    <w:jc w:val="center"/>
                  </w:pPr>
                  <w:r>
                    <w:t xml:space="preserve">-0.041***</w:t>
                  </w:r>
                  <w:r>
                    <w:t xml:space="preserve">(0.008)</w:t>
                  </w:r>
                </w:p>
              </w:tc>
              <w:tc>
                <w:tcPr/>
                <w:p>
                  <w:pPr>
                    <w:pStyle w:val="Compact"/>
                    <w:jc w:val="center"/>
                  </w:pPr>
                  <w:r>
                    <w:t xml:space="preserve">-2486</w:t>
                  </w:r>
                </w:p>
              </w:tc>
            </w:tr>
            <w:tr>
              <w:tc>
                <w:tcPr/>
                <w:p>
                  <w:pPr>
                    <w:pStyle w:val="Compact"/>
                    <w:jc w:val="center"/>
                  </w:pPr>
                  <w:r>
                    <w:t xml:space="preserve">Inverse distance squared</w:t>
                  </w:r>
                </w:p>
              </w:tc>
              <w:tc>
                <w:tcPr/>
                <w:p>
                  <w:pPr>
                    <w:pStyle w:val="Compact"/>
                    <w:jc w:val="center"/>
                  </w:pPr>
                  <w:r>
                    <w:t xml:space="preserve">-0.025***</w:t>
                  </w:r>
                  <w:r>
                    <w:t xml:space="preserve">(0.002)</w:t>
                  </w:r>
                </w:p>
              </w:tc>
              <w:tc>
                <w:tcPr/>
                <w:p>
                  <w:pPr>
                    <w:pStyle w:val="Compact"/>
                    <w:jc w:val="center"/>
                  </w:pPr>
                  <w:r>
                    <w:t xml:space="preserve">-0.012*</w:t>
                  </w:r>
                  <w:r>
                    <w:t xml:space="preserve">(0.006)</w:t>
                  </w:r>
                </w:p>
              </w:tc>
              <w:tc>
                <w:tcPr/>
                <w:p>
                  <w:pPr>
                    <w:pStyle w:val="Compact"/>
                    <w:jc w:val="center"/>
                  </w:pPr>
                  <w:r>
                    <w:t xml:space="preserve">-0.037***</w:t>
                  </w:r>
                  <w:r>
                    <w:t xml:space="preserve">(0.006)</w:t>
                  </w:r>
                </w:p>
              </w:tc>
              <w:tc>
                <w:tcPr/>
                <w:p>
                  <w:pPr>
                    <w:pStyle w:val="Compact"/>
                    <w:jc w:val="center"/>
                  </w:pPr>
                  <w:r>
                    <w:t xml:space="preserve">-2485</w:t>
                  </w:r>
                </w:p>
              </w:tc>
            </w:tr>
          </w:tbl>
          <w:bookmarkEnd w:id="95"/>
          <w:p/>
        </w:tc>
      </w:tr>
    </w:tbl>
    <w:p>
      <w:pPr>
        <w:pStyle w:val="BodyText"/>
      </w:pPr>
      <w:r>
        <w:t xml:space="preserve">The direct and total convergence effects are robust to the choice of spatial weights, and the spillover component is consistently negative but more sensitive (</w:t>
      </w:r>
      <w:hyperlink w:anchor="fig-altw">
        <w:r>
          <w:rPr>
            <w:rStyle w:val="Hyperlink"/>
          </w:rPr>
          <w:t xml:space="preserve">Figure 8</w:t>
        </w:r>
      </w:hyperlink>
      <w:r>
        <w:t xml:space="preserve"> </w:t>
      </w:r>
      <w:r>
        <w:t xml:space="preserve">and</w:t>
      </w:r>
      <w:r>
        <w:t xml:space="preserve"> </w:t>
      </w:r>
      <w:hyperlink w:anchor="tbl-altw">
        <w:r>
          <w:rPr>
            <w:rStyle w:val="Hyperlink"/>
          </w:rPr>
          <w:t xml:space="preserve">Table 4</w:t>
        </w:r>
      </w:hyperlink>
      <w:r>
        <w:t xml:space="preserve">).</w:t>
      </w:r>
      <w:r>
        <w:t xml:space="preserve"> </w:t>
      </w:r>
      <w:r>
        <w:t xml:space="preserve">The direct (within-district) convergence effect is essentially unchanged across all seven specifications, ranging from -0.024 to -0.025 and always significant at the 1% level.</w:t>
      </w:r>
      <w:r>
        <w:t xml:space="preserve"> </w:t>
      </w:r>
      <w:r>
        <w:t xml:space="preserve">The total convergence effect likewise remains negative and significant throughout, ranging from -0.032 to -0.041, with the 6NN baseline (-0.037) near the middle of this range.</w:t>
      </w:r>
      <w:r>
        <w:t xml:space="preserve"> </w:t>
      </w:r>
      <w:r>
        <w:t xml:space="preserve">The indirect (spillover) component is negative in every specification and statistically significant under five of the seven, which is a consistent if weaker pattern.</w:t>
      </w:r>
      <w:r>
        <w:t xml:space="preserve"> </w:t>
      </w:r>
      <w:r>
        <w:t xml:space="preserve">This stability indicates that the direct and total convergence effects are not an artifact of the particular neighbor definition.</w:t>
      </w:r>
    </w:p>
    <w:p>
      <w:pPr>
        <w:pStyle w:val="BodyText"/>
      </w:pPr>
      <w:r>
        <w:t xml:space="preserve">The results reported so far treat luminosity as a proxy for economic output, which is the use that the convergence literature has made of it.</w:t>
      </w:r>
      <w:r>
        <w:t xml:space="preserve"> </w:t>
      </w:r>
      <w:r>
        <w:t xml:space="preserve">The discussion that follows asks first what the magnitude of these estimates implies for regional policy, and what rests on the use of a single growth period.</w:t>
      </w:r>
      <w:r>
        <w:t xml:space="preserve"> </w:t>
      </w:r>
      <w:r>
        <w:t xml:space="preserve">It then turns to a second use of the same data, since nighttime lights also record electrification, urbanization, and broader socioeconomic conditions, and the reproducible workflow assembled here can be pointed at those dimensions as readily as at output.</w:t>
      </w:r>
      <w:r>
        <w:t xml:space="preserve"> </w:t>
      </w:r>
      <w:r>
        <w:t xml:space="preserve">That possibility is pursued in an exploratory way, asking how luminosity relates to cultural participation across Indian states.</w:t>
      </w:r>
    </w:p>
    <w:bookmarkEnd w:id="96"/>
    <w:bookmarkEnd w:id="97"/>
    <w:bookmarkStart w:id="125" w:name="discussion"/>
    <w:p>
      <w:pPr>
        <w:pStyle w:val="Heading2"/>
      </w:pPr>
      <w:r>
        <w:t xml:space="preserve">Discussion</w:t>
      </w:r>
    </w:p>
    <w:bookmarkStart w:id="100" w:name="Xbb89b53bb4c3dfea59feafe78cc692969b43029"/>
    <w:p>
      <w:pPr>
        <w:pStyle w:val="Heading3"/>
      </w:pPr>
      <w:r>
        <w:t xml:space="preserve">What the magnitude of the effects implies for regional policy</w:t>
      </w:r>
    </w:p>
    <w:p>
      <w:pPr>
        <w:pStyle w:val="FirstParagraph"/>
      </w:pPr>
      <w:r>
        <w:t xml:space="preserve">The difference between the two readings of Model 4 is large enough to matter for policy.</w:t>
      </w:r>
      <w:r>
        <w:t xml:space="preserve"> </w:t>
      </w:r>
      <w:r>
        <w:t xml:space="preserve">Under the OLS estimate, a district closes half of the gap to its steady state in about 23 years; under the spatial Durbin estimate, in about 13 years.</w:t>
      </w:r>
      <w:r>
        <w:t xml:space="preserve"> </w:t>
      </w:r>
      <w:r>
        <w:t xml:space="preserve">Over the fourteen years of our sample, that is the difference between closing roughly 34% of the initial gap and closing roughly 52% of it.</w:t>
      </w:r>
      <w:r>
        <w:t xml:space="preserve"> </w:t>
      </w:r>
      <w:r>
        <w:t xml:space="preserve">The first figure describes catch-up over a generation, while the second describes catch-up within the horizon over which development programs are designed, funded, and evaluated.</w:t>
      </w:r>
    </w:p>
    <w:p>
      <w:pPr>
        <w:pStyle w:val="BodyText"/>
      </w:pPr>
      <w:r>
        <w:t xml:space="preserve">The distinction matters because it changes what can reasonably be expected of an intervention.</w:t>
      </w:r>
      <w:r>
        <w:t xml:space="preserve"> </w:t>
      </w:r>
      <w:r>
        <w:t xml:space="preserve">If convergence is slow, support for lagging districts must be sustained across political cycles before its effects become visible in aggregate outcomes, and the absence of visible catch-up within the lifetime of a program is weak evidence that the program has failed.</w:t>
      </w:r>
      <w:r>
        <w:t xml:space="preserve"> </w:t>
      </w:r>
      <w:r>
        <w:t xml:space="preserve">If convergence is faster, as the spatial estimates imply, the returns to a well-targeted intervention should appear within a normal evaluation window, and the case for measuring them is correspondingly stronger.</w:t>
      </w:r>
    </w:p>
    <w:p>
      <w:pPr>
        <w:pStyle w:val="BodyText"/>
      </w:pPr>
      <w:r>
        <w:t xml:space="preserve">The results also speak to the level at which such policies should operate.</w:t>
      </w:r>
      <w:r>
        <w:t xml:space="preserve"> </w:t>
      </w:r>
      <w:r>
        <w:t xml:space="preserve">We find convergence across districts over 1996–2010, whereas</w:t>
      </w:r>
      <w:r>
        <w:t xml:space="preserve"> </w:t>
      </w:r>
      <w:r>
        <w:t xml:space="preserve">Lolayekar and Mukhopadhyay (2019)</w:t>
      </w:r>
      <w:r>
        <w:t xml:space="preserve">, working with Indian states over a longer period, find divergence.</w:t>
      </w:r>
      <w:r>
        <w:t xml:space="preserve"> </w:t>
      </w:r>
      <w:r>
        <w:t xml:space="preserve">Catch-up that is visible at the district level and absent at the state level is consistent with the district being the more informative unit of intervention, as the Aspirational Districts Programme of India already assumes, although the two studies also differ in outcome variable and period.</w:t>
      </w:r>
      <w:r>
        <w:rPr>
          <w:rStyle w:val="FootnoteReference"/>
        </w:rPr>
        <w:footnoteReference w:id="98"/>
      </w:r>
      <w:r>
        <w:t xml:space="preserve"> </w:t>
      </w:r>
      <w:r>
        <w:t xml:space="preserve">The spatial results add a qualification to that logic: the growth of a district is associated with the initial conditions of its neighbors, so a lagging district surrounded by other lagging districts is in a different position from one adjacent to a growing cluster, and a targeting rule that ranks districts one at a time will not register that difference.</w:t>
      </w:r>
    </w:p>
    <w:p>
      <w:pPr>
        <w:pStyle w:val="BodyText"/>
      </w:pPr>
      <w:r>
        <w:t xml:space="preserve">Spillovers, however, cut both ways, and the Indian evidence on place-based policy is a caution as much as an encouragement.</w:t>
      </w:r>
      <w:r>
        <w:t xml:space="preserve"> </w:t>
      </w:r>
      <w:r>
        <w:t xml:space="preserve">Hasan, Jiang, and Rafols (2021)</w:t>
      </w:r>
      <w:r>
        <w:t xml:space="preserve"> </w:t>
      </w:r>
      <w:r>
        <w:t xml:space="preserve">evaluate a tax-exemption program for industrially backward districts and find that the resulting increase in firm entry and employment was driven in part by the displacement of activity from neighboring districts that narrowly missed qualifying, and that the effects did not persist once the program ended.</w:t>
      </w:r>
      <w:r>
        <w:t xml:space="preserve"> </w:t>
      </w:r>
      <w:r>
        <w:t xml:space="preserve">Activity moved across a boundary would appear in our framework as a spatial relationship between neighbors, and it is not the kind of spillover on which a case for coordinated regional policy can be built.</w:t>
      </w:r>
      <w:r>
        <w:t xml:space="preserve"> </w:t>
      </w:r>
      <w:r>
        <w:t xml:space="preserve">What the satellite record does support is measurement: luminosity is responsive enough to register a place-based package at this scale.</w:t>
      </w:r>
      <w:r>
        <w:rPr>
          <w:rStyle w:val="FootnoteReference"/>
        </w:rPr>
        <w:footnoteReference w:id="99"/>
      </w:r>
    </w:p>
    <w:p>
      <w:pPr>
        <w:pStyle w:val="BodyText"/>
      </w:pPr>
      <w:r>
        <w:t xml:space="preserve">These implications follow if the indirect effects reflect genuine interaction between districts.</w:t>
      </w:r>
      <w:r>
        <w:t xml:space="preserve"> </w:t>
      </w:r>
      <w:r>
        <w:t xml:space="preserve">As set out in the results, the reduced-form evidence is consistent with that reading but does not establish it.</w:t>
      </w:r>
      <w:r>
        <w:t xml:space="preserve"> </w:t>
      </w:r>
      <w:r>
        <w:t xml:space="preserve">The policy conclusions above should therefore be read with that qualification attached.</w:t>
      </w:r>
    </w:p>
    <w:bookmarkEnd w:id="100"/>
    <w:bookmarkStart w:id="102" w:name="X7468a8195e43db4ce2bc494fe9552c20091bea2"/>
    <w:p>
      <w:pPr>
        <w:pStyle w:val="Heading3"/>
      </w:pPr>
      <w:r>
        <w:t xml:space="preserve">The single growth period and what a panel would require</w:t>
      </w:r>
    </w:p>
    <w:p>
      <w:pPr>
        <w:pStyle w:val="FirstParagraph"/>
      </w:pPr>
      <w:r>
        <w:t xml:space="preserve">The estimates reported above rest on a single growth period, and the cost of that design should be stated plainly.</w:t>
      </w:r>
      <w:r>
        <w:t xml:space="preserve"> </w:t>
      </w:r>
      <w:r>
        <w:t xml:space="preserve">One long difference cannot trace how the rate of convergence evolved within the period.</w:t>
      </w:r>
      <w:r>
        <w:t xml:space="preserve"> </w:t>
      </w:r>
      <w:r>
        <w:t xml:space="preserve">It cannot establish whether the spatial spillovers were stronger in some years than in others, or whether they emerged only part-way through.</w:t>
      </w:r>
      <w:r>
        <w:t xml:space="preserve"> </w:t>
      </w:r>
      <w:r>
        <w:t xml:space="preserve">It also cannot separate long-run convergence from whatever was specific to these fourteen years, which in India included the maturing of the post-1991 reforms.</w:t>
      </w:r>
    </w:p>
    <w:p>
      <w:pPr>
        <w:pStyle w:val="BodyText"/>
      </w:pPr>
      <w:r>
        <w:t xml:space="preserve">These limitations are real, and the dynamics they concern matter, but examining those dynamics lies beyond the scope of an article that adds a spatial dimension to an existing cross-sectional result rather than replacing it with a dynamic one.</w:t>
      </w:r>
      <w:r>
        <w:t xml:space="preserve"> </w:t>
      </w:r>
      <w:r>
        <w:t xml:space="preserve">The immediate obstacle is the data: the dataset we adopt from</w:t>
      </w:r>
      <w:r>
        <w:t xml:space="preserve"> </w:t>
      </w:r>
      <w:r>
        <w:t xml:space="preserve">Chanda and Kabiraj (2020)</w:t>
      </w:r>
      <w:r>
        <w:t xml:space="preserve"> </w:t>
      </w:r>
      <w:r>
        <w:t xml:space="preserve">holds radiance-calibrated luminosity at six dates between 1996 and 2010, but district population is observed only at the decennial censuses, so per-capita luminosity at the intermediate dates would rest on interpolated denominators.</w:t>
      </w:r>
      <w:r>
        <w:t xml:space="preserve"> </w:t>
      </w:r>
      <w:r>
        <w:t xml:space="preserve">Over a single long difference that interpolation touches only the endpoints, whereas in a panel it would enter every observation, and in the time dimension that a panel exists to exploit.</w:t>
      </w:r>
    </w:p>
    <w:p>
      <w:pPr>
        <w:pStyle w:val="BodyText"/>
      </w:pPr>
      <w:r>
        <w:t xml:space="preserve">The more interesting question is what such a panel would be worth, and here two distinct problems compound.</w:t>
      </w:r>
      <w:r>
        <w:t xml:space="preserve"> </w:t>
      </w:r>
      <w:r>
        <w:t xml:space="preserve">The first belongs to growth econometrics and predates nighttime lights: panel estimates of convergence run far above cross-sectional ones, and</w:t>
      </w:r>
      <w:r>
        <w:t xml:space="preserve"> </w:t>
      </w:r>
      <w:r>
        <w:t xml:space="preserve">Caselli, Esquivel, and Lefort (1996)</w:t>
      </w:r>
      <w:r>
        <w:t xml:space="preserve"> </w:t>
      </w:r>
      <w:r>
        <w:t xml:space="preserve">obtain a rate near 10% per year using panel methods that instrument for endogenous regressors, against the 2% that cross-sections deliver.</w:t>
      </w:r>
      <w:r>
        <w:rPr>
          <w:rStyle w:val="FootnoteReference"/>
        </w:rPr>
        <w:footnoteReference w:id="101"/>
      </w:r>
      <w:r>
        <w:t xml:space="preserve"> </w:t>
      </w:r>
      <w:r>
        <w:t xml:space="preserve">How that gap should be read remains contested, so a panel would not give a better-identified version of our estimate but an estimate of something different, whose relation to the long-run rate is itself disputed.</w:t>
      </w:r>
    </w:p>
    <w:p>
      <w:pPr>
        <w:pStyle w:val="BodyText"/>
      </w:pPr>
      <w:r>
        <w:t xml:space="preserve">The second problem is specific to the proxy: luminosity discriminates differences across places considerably better than changes over time</w:t>
      </w:r>
      <w:r>
        <w:t xml:space="preserve"> </w:t>
      </w:r>
      <w:r>
        <w:t xml:space="preserve">(X. Chen and Nordhaus 2019; Asher et al. 2021)</w:t>
      </w:r>
      <w:r>
        <w:t xml:space="preserve">.</w:t>
      </w:r>
      <w:r>
        <w:t xml:space="preserve"> </w:t>
      </w:r>
      <w:r>
        <w:t xml:space="preserve">Convergence, however, is a long-run process, so the horizon over which it is measured determines whether lights carry the relevant signal at all.</w:t>
      </w:r>
      <w:r>
        <w:t xml:space="preserve"> </w:t>
      </w:r>
      <w:r>
        <w:t xml:space="preserve">Over fourteen years most identifying variation is cross-sectional, which is what lights currently support best; over the annual intervals that make panel methods attractive the ratio of signal to measurement error falls sharply.</w:t>
      </w:r>
      <w:r>
        <w:t xml:space="preserve"> </w:t>
      </w:r>
      <w:r>
        <w:t xml:space="preserve">A short-horizon panel would therefore pair a specification that is hard to interpret with a proxy operating where it is weakest.</w:t>
      </w:r>
      <w:r>
        <w:t xml:space="preserve"> </w:t>
      </w:r>
      <w:r>
        <w:t xml:space="preserve">Chakrabarty and Mukherjee (2022)</w:t>
      </w:r>
      <w:r>
        <w:t xml:space="preserve"> </w:t>
      </w:r>
      <w:r>
        <w:t xml:space="preserve">estimate district convergence across the pandemic period, and how such estimates should be read depends on how much of the short-run movement in lights reflects output rather than measurement.</w:t>
      </w:r>
    </w:p>
    <w:p>
      <w:pPr>
        <w:pStyle w:val="BodyText"/>
      </w:pPr>
      <w:r>
        <w:t xml:space="preserve">Our own view follows from this.</w:t>
      </w:r>
      <w:r>
        <w:t xml:space="preserve"> </w:t>
      </w:r>
      <w:r>
        <w:t xml:space="preserve">If panel methods are to be applied to convergence in luminosity, the periods compared should be long, a sequence of non-overlapping long differences rather than a high-frequency panel.</w:t>
      </w:r>
      <w:r>
        <w:t xml:space="preserve"> </w:t>
      </w:r>
      <w:r>
        <w:t xml:space="preserve">Harmonized DMSP–VIIRS series now make that feasible across roughly three decades</w:t>
      </w:r>
      <w:r>
        <w:t xml:space="preserve"> </w:t>
      </w:r>
      <w:r>
        <w:t xml:space="preserve">(Li et al. 2020)</w:t>
      </w:r>
      <w:r>
        <w:t xml:space="preserve">, and re-estimating this specification in that form is the most promising temporal extension of the work reported here.</w:t>
      </w:r>
    </w:p>
    <w:bookmarkEnd w:id="102"/>
    <w:bookmarkStart w:id="114" w:name="Xe7dcd53b37d4e38e72ebefb7afc5d21e106e8ff"/>
    <w:p>
      <w:pPr>
        <w:pStyle w:val="Heading3"/>
      </w:pPr>
      <w:r>
        <w:t xml:space="preserve">An exploratory extension: Luminosity and cultural participation</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applies the Culture-Based Development framework, whose central claim is a directional one.</w:t>
      </w:r>
      <w:r>
        <w:t xml:space="preserve"> </w:t>
      </w:r>
      <w:r>
        <w:t xml:space="preserve">Cultural attitudes and the participation patterns that reveal them are treated as a factor shaping local development, rather than as an outcome that development produces.</w:t>
      </w:r>
      <w:r>
        <w:t xml:space="preserve"> </w:t>
      </w:r>
      <w:r>
        <w:t xml:space="preserve">That direction also marks the limit of what the exercise below can establish.</w:t>
      </w:r>
      <w:r>
        <w:rPr>
          <w:rStyle w:val="FootnoteReference"/>
        </w:rPr>
        <w:footnoteReference w:id="103"/>
      </w:r>
    </w:p>
    <w:p>
      <w:pPr>
        <w:pStyle w:val="BodyText"/>
      </w:pPr>
      <w:r>
        <w:t xml:space="preserve">For India, the National Sample Survey (NSS) 47th Round (July–December 1991) surveys household cultural participation.</w:t>
      </w:r>
      <w:r>
        <w:t xml:space="preserve"> </w:t>
      </w:r>
      <w:r>
        <w:t xml:space="preserve">Following the Culture-Based Development framework, we reduce these survey items to six dimensions and aggregate them to state means.</w:t>
      </w:r>
      <w:r>
        <w:rPr>
          <w:rStyle w:val="FootnoteReference"/>
        </w:rPr>
        <w:footnoteReference w:id="104"/>
      </w:r>
      <w:r>
        <w:t xml:space="preserve"> </w:t>
      </w:r>
      <w:r>
        <w:t xml:space="preserve">With nighttime lights data for an adjacent period (1992) now available for 32 Indian states and union territories, we can examine the extent to which luminosity is associated with regional cultural patterns.</w:t>
      </w:r>
      <w:r>
        <w:t xml:space="preserve"> </w:t>
      </w:r>
      <w:r>
        <w:t xml:space="preserve">This part of the analysis uses the Consistent and Corrected Nighttime Lights series rather than the radiance-calibrated composites used above, because it is the product that covers 1992.</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9</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109" w:name="fig-culture-scatter"/>
          <w:p>
            <w:pPr>
              <w:pStyle w:val="Compact"/>
              <w:jc w:val="center"/>
            </w:pPr>
            <w:r>
              <w:drawing>
                <wp:inline>
                  <wp:extent cx="5334000" cy="2649719"/>
                  <wp:effectExtent b="0" l="0" r="0" t="0"/>
                  <wp:docPr descr="" title="" id="107" name="Picture"/>
                  <a:graphic>
                    <a:graphicData uri="http://schemas.openxmlformats.org/drawingml/2006/picture">
                      <pic:pic>
                        <pic:nvPicPr>
                          <pic:cNvPr descr="index_files/figure-docx/notebooks-c06_spatial_culture-fig-culture-scatter-output-1.png" id="108" name="Picture"/>
                          <pic:cNvPicPr>
                            <a:picLocks noChangeArrowheads="1" noChangeAspect="1"/>
                          </pic:cNvPicPr>
                        </pic:nvPicPr>
                        <pic:blipFill>
                          <a:blip r:embed="rId106"/>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105">
              <w:r>
                <w:rPr>
                  <w:rStyle w:val="Hyperlink"/>
                </w:rPr>
                <w:t xml:space="preserve">Spatial culture</w:t>
              </w:r>
            </w:hyperlink>
            <w:r>
              <w:t xml:space="preserve"> </w:t>
            </w:r>
            <w:r>
              <w:t xml:space="preserve">notebook for source code.</w:t>
            </w:r>
          </w:p>
          <w:bookmarkEnd w:id="109"/>
        </w:tc>
      </w:tr>
    </w:tbl>
    <w:p>
      <w:pPr>
        <w:pStyle w:val="BodyText"/>
      </w:pPr>
      <w:r>
        <w:t xml:space="preserve">Cultural telecast (TV/media) exhibits a positive association with nighttime light luminosity, with a Spearman rank correlation of 0.370 (</w:t>
      </w:r>
      <m:oMath>
        <m:r>
          <m:t>p</m:t>
        </m:r>
      </m:oMath>
      <w:r>
        <w:t xml:space="preserve"> </w:t>
      </w:r>
      <w:r>
        <w:t xml:space="preserve">= 0.037).</w:t>
      </w:r>
      <w:r>
        <w:t xml:space="preserve"> </w:t>
      </w:r>
      <w:r>
        <w:t xml:space="preserve">More luminous states therefore tend to rank higher on the cultural telecast dimension.</w:t>
      </w:r>
    </w:p>
    <w:p>
      <w:pPr>
        <w:pStyle w:val="BodyText"/>
      </w:pPr>
      <w:r>
        <w:t xml:space="preserve">In contrast, socio-cultural participation shows a significant negative association, with a Spearman rank correlation of $-</w:t>
      </w:r>
      <m:oMath>
        <m:r>
          <m:t>0.404</m:t>
        </m:r>
        <m:r>
          <m:rPr>
            <m:sty m:val="p"/>
          </m:rPr>
          <m:t>(</m:t>
        </m:r>
      </m:oMath>
      <w:r>
        <w:t xml:space="preserve">p$ = 0.022).</w:t>
      </w:r>
      <w:r>
        <w:t xml:space="preserve"> </w:t>
      </w:r>
      <w:r>
        <w:t xml:space="preserve">Less luminous states therefore tend to rank higher on socio-cultural participation.</w:t>
      </w:r>
      <w:r>
        <w:t xml:space="preserve"> </w:t>
      </w:r>
      <w:r>
        <w:t xml:space="preserve">This suggests that less urbanized regions rely more on collective, in-person forms of cultural participation than on media infrastructure.</w:t>
      </w:r>
    </w:p>
    <w:p>
      <w:pPr>
        <w:pStyle w:val="BodyText"/>
      </w:pPr>
      <w:hyperlink w:anchor="fig-culture-lisa">
        <w:r>
          <w:rPr>
            <w:rStyle w:val="Hyperlink"/>
          </w:rPr>
          <w:t xml:space="preserve">Figure 10</w:t>
        </w:r>
      </w:hyperlink>
      <w:r>
        <w:t xml:space="preserve"> </w:t>
      </w:r>
      <w:r>
        <w:t xml:space="preserve">presents the spatial distribution of these two cultural variables through the lens of a LISA analysis.</w:t>
      </w:r>
      <w:r>
        <w:t xml:space="preserve"> </w:t>
      </w:r>
      <w:r>
        <w:t xml:space="preserve">The low-low cluster of cultural telecast in the northeast coincides with the low-low cluster in the nighttime lights data, although the high-high clusters of the two variables do not coincide.</w:t>
      </w:r>
      <w:r>
        <w:t xml:space="preserve"> </w:t>
      </w:r>
      <w:r>
        <w:t xml:space="preserve">The significant high-high cluster in cultural telecast is confined to the southern states, while the northeastern states form a distinct high-high cluster in community-based participation.</w:t>
      </w:r>
    </w:p>
    <w:tbl>
      <w:tblPr>
        <w:tblStyle w:val="Table"/>
        <w:tblW w:type="pct" w:w="5000"/>
        <w:tblLayout w:type="fixed"/>
        <w:tblLook w:firstRow="0" w:lastRow="0" w:firstColumn="0" w:lastColumn="0" w:noHBand="0" w:noVBand="0" w:val="0000"/>
      </w:tblPr>
      <w:tblGrid>
        <w:gridCol w:w="7920"/>
      </w:tblGrid>
      <w:tr>
        <w:tc>
          <w:tcPr/>
          <w:bookmarkStart w:id="113" w:name="fig-culture-lisa"/>
          <w:p>
            <w:pPr>
              <w:pStyle w:val="Compact"/>
              <w:jc w:val="center"/>
            </w:pPr>
            <w:r>
              <w:drawing>
                <wp:inline>
                  <wp:extent cx="5334000" cy="5380315"/>
                  <wp:effectExtent b="0" l="0" r="0" t="0"/>
                  <wp:docPr descr="" title="" id="111" name="Picture"/>
                  <a:graphic>
                    <a:graphicData uri="http://schemas.openxmlformats.org/drawingml/2006/picture">
                      <pic:pic>
                        <pic:nvPicPr>
                          <pic:cNvPr descr="index_files/figure-docx/notebooks-c06_spatial_culture-fig-culture-lisa-output-1.png" id="112" name="Picture"/>
                          <pic:cNvPicPr>
                            <a:picLocks noChangeArrowheads="1" noChangeAspect="1"/>
                          </pic:cNvPicPr>
                        </pic:nvPicPr>
                        <pic:blipFill>
                          <a:blip r:embed="rId110"/>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105">
              <w:r>
                <w:rPr>
                  <w:rStyle w:val="Hyperlink"/>
                </w:rPr>
                <w:t xml:space="preserve">Spatial culture</w:t>
              </w:r>
            </w:hyperlink>
            <w:r>
              <w:t xml:space="preserve"> </w:t>
            </w:r>
            <w:r>
              <w:t xml:space="preserve">notebook for source code.</w:t>
            </w:r>
          </w:p>
          <w:bookmarkEnd w:id="113"/>
        </w:tc>
      </w:tr>
    </w:tbl>
    <w:p>
      <w:pPr>
        <w:pStyle w:val="BodyText"/>
      </w:pPr>
      <w:r>
        <w:t xml:space="preserve">Together, the two correlations describe a pattern in which luminosity ranks positively with media-based cultural participation and negatively with community-based participation across states.</w:t>
      </w:r>
      <w:r>
        <w:t xml:space="preserve"> </w:t>
      </w:r>
      <w:r>
        <w:t xml:space="preserve">The remaining four cultural dimensions show no statistically significant association with luminosity.</w:t>
      </w:r>
      <w:r>
        <w:t xml:space="preserve"> </w:t>
      </w:r>
      <w:r>
        <w:t xml:space="preserve">These findings rest on a small cross-section of 32 states observed at a single point in time, so larger datasets covering more regions and periods would be needed to establish whether the patterns are robust.</w:t>
      </w:r>
    </w:p>
    <w:p>
      <w:pPr>
        <w:pStyle w:val="BodyText"/>
      </w:pPr>
      <w:r>
        <w:t xml:space="preserve">Two connections to the main analysis are worth drawing out, both offered as interpretation rather than as findings.</w:t>
      </w:r>
      <w:r>
        <w:t xml:space="preserve"> </w:t>
      </w:r>
      <w:r>
        <w:t xml:space="preserve">The first concerns what luminosity measures.</w:t>
      </w:r>
      <w:r>
        <w:t xml:space="preserve"> </w:t>
      </w:r>
      <w:r>
        <w:t xml:space="preserve">A positive association with media-based cultural consumption and a negative one with community-based participation are what one would expect if luminosity tracks electrification and urbanization rather than economic output alone.</w:t>
      </w:r>
      <w:r>
        <w:t xml:space="preserve"> </w:t>
      </w:r>
      <w:r>
        <w:t xml:space="preserve">The cultural results are, in that sense, a small piece of evidence about the composite nature of the proxy on which the convergence analysis rests, and they bear on the measurement issues discussed below.</w:t>
      </w:r>
    </w:p>
    <w:p>
      <w:pPr>
        <w:pStyle w:val="BodyText"/>
      </w:pPr>
      <w:r>
        <w:t xml:space="preserve">The second connection concerns spatial structure.</w:t>
      </w:r>
      <w:r>
        <w:t xml:space="preserve"> </w:t>
      </w:r>
      <w:r>
        <w:t xml:space="preserve">Cultural participation is not distributed randomly across states, since both dimensions examined here are significantly spatially autocorrelated.</w:t>
      </w:r>
      <w:r>
        <w:t xml:space="preserve"> </w:t>
      </w:r>
      <w:r>
        <w:t xml:space="preserve">Factors of this kind, spatially clustered and correlated with development, are precisely what a spatial Durbin model absorbs into its indirect effects when they are not measured directly.</w:t>
      </w:r>
      <w:r>
        <w:t xml:space="preserve"> </w:t>
      </w:r>
      <w:r>
        <w:t xml:space="preserve">We cannot test this with state-level data for a single adjacent period, and we do not claim that cultural participation drives the spillovers estimated in the results section.</w:t>
      </w:r>
      <w:r>
        <w:t xml:space="preserve"> </w:t>
      </w:r>
      <w:r>
        <w:t xml:space="preserve">What the exercise does is make concrete what a reduced-form spatial model may be capturing, and it suggests that the Culture-Based Development framework offers one route to testing the question directly, should comparable data become available at the district level and over time.</w:t>
      </w:r>
    </w:p>
    <w:bookmarkEnd w:id="114"/>
    <w:bookmarkStart w:id="123" w:name="new-research-directions"/>
    <w:p>
      <w:pPr>
        <w:pStyle w:val="Heading3"/>
      </w:pPr>
      <w:r>
        <w:t xml:space="preserve">New research directions</w:t>
      </w:r>
    </w:p>
    <w:p>
      <w:pPr>
        <w:pStyle w:val="FirstParagraph"/>
      </w:pPr>
      <w:r>
        <w:t xml:space="preserve">Three kinds of gap limit what this literature can currently establish, and each defines an agenda that the workflow used here is well placed to support.</w:t>
      </w:r>
      <w:r>
        <w:t xml:space="preserve"> </w:t>
      </w:r>
      <w:r>
        <w:t xml:space="preserve">The first two concern the raw material, namely the data themselves and the geography those data cover.</w:t>
      </w:r>
      <w:r>
        <w:t xml:space="preserve"> </w:t>
      </w:r>
      <w:r>
        <w:t xml:space="preserve">The third concerns the range of theories those data have been used to test.</w:t>
      </w:r>
    </w:p>
    <w:bookmarkStart w:id="116" w:name="data-gaps"/>
    <w:p>
      <w:pPr>
        <w:pStyle w:val="Heading4"/>
      </w:pPr>
      <w:r>
        <w:t xml:space="preserve">Data gaps</w:t>
      </w:r>
    </w:p>
    <w:p>
      <w:pPr>
        <w:pStyle w:val="FirstParagraph"/>
      </w:pPr>
      <w:r>
        <w:t xml:space="preserve">Our analysis, following</w:t>
      </w:r>
      <w:r>
        <w:t xml:space="preserve"> </w:t>
      </w:r>
      <w:r>
        <w:t xml:space="preserve">Chanda and Kabiraj (2020)</w:t>
      </w:r>
      <w:r>
        <w:t xml:space="preserve">, relies on radiance-calibrated DMSP-OLS nighttime lights for 1996 to 2010, a dataset widely used as a proxy for economic activity</w:t>
      </w:r>
      <w:r>
        <w:t xml:space="preserve"> </w:t>
      </w:r>
      <w:r>
        <w:t xml:space="preserve">(Henderson, Storeygard, and Weil 2012; X. Chen and Nordhaus 2011)</w:t>
      </w:r>
      <w:r>
        <w:t xml:space="preserve">.</w:t>
      </w:r>
      <w:r>
        <w:t xml:space="preserve"> </w:t>
      </w:r>
      <w:r>
        <w:t xml:space="preserve">DMSP-OLS is subject to well-documented limitations: top-coding in bright urban cores, the absence of on-board calibration, and blooming artifacts that spread light beyond its true source</w:t>
      </w:r>
      <w:r>
        <w:t xml:space="preserve"> </w:t>
      </w:r>
      <w:r>
        <w:t xml:space="preserve">(Gibson et al. 2021; Abrahams, Oram, and Lozano-Gracia 2018)</w:t>
      </w:r>
      <w:r>
        <w:t xml:space="preserve">.</w:t>
      </w:r>
      <w:r>
        <w:t xml:space="preserve"> </w:t>
      </w:r>
      <w:r>
        <w:t xml:space="preserve">These are not merely nuisances, and it is worth being explicit about how they bear on our own estimates.</w:t>
      </w:r>
      <w:r>
        <w:t xml:space="preserve"> </w:t>
      </w:r>
      <w:r>
        <w:t xml:space="preserve">Top-coding compresses variation at the bright end of the distribution, which affects the recorded initial luminosity of the most luminous districts.</w:t>
      </w:r>
      <w:r>
        <w:t xml:space="preserve"> </w:t>
      </w:r>
      <w:r>
        <w:t xml:space="preserve">Two opposing biases follow: classical measurement error in the regressor attenuates the convergence coefficient toward zero, while measurement error in initial luminosity that enters the growth rate with the opposite sign works in the direction of overstating convergence.</w:t>
      </w:r>
      <w:r>
        <w:t xml:space="preserve"> </w:t>
      </w:r>
      <w:r>
        <w:t xml:space="preserve">The net effect is ambiguous in sign, and we do not claim to sign it.</w:t>
      </w:r>
      <w:r>
        <w:t xml:space="preserve"> </w:t>
      </w:r>
      <w:r>
        <w:t xml:space="preserve">Measurement error is also unlikely to be homogeneous across the sample, because the association between luminosity and economic outcomes is stronger in urban than in rural areas and Indian districts differ considerably in how urbanized they are.</w:t>
      </w:r>
      <w:r>
        <w:t xml:space="preserve"> </w:t>
      </w:r>
      <w:r>
        <w:t xml:space="preserve">Blooming has a clearer implication for the spillover estimates that are central to this article.</w:t>
      </w:r>
      <w:r>
        <w:t xml:space="preserve"> </w:t>
      </w:r>
      <w:r>
        <w:t xml:space="preserve">Because light spills across district boundaries, part of what we measure as the luminosity of a district originates with its neighbors, which mechanically raises the apparent correlation between adjacent districts and could therefore inflate the estimated indirect effects.</w:t>
      </w:r>
      <w:r>
        <w:t xml:space="preserve"> </w:t>
      </w:r>
      <w:r>
        <w:t xml:space="preserve">That the direct and total effects hold across all seven definitions of the neighborhood, and the indirect effect under five of the seven (</w:t>
      </w:r>
      <w:hyperlink w:anchor="tbl-altw">
        <w:r>
          <w:rPr>
            <w:rStyle w:val="Hyperlink"/>
          </w:rPr>
          <w:t xml:space="preserve">Table 4</w:t>
        </w:r>
      </w:hyperlink>
      <w:r>
        <w:t xml:space="preserve">), indicates they are not an artifact of any particular neighbor definition, but it does not rule out blooming; deblurring methods such as those of</w:t>
      </w:r>
      <w:r>
        <w:t xml:space="preserve"> </w:t>
      </w:r>
      <w:r>
        <w:t xml:space="preserve">Abrahams, Oram, and Lozano-Gracia (2018)</w:t>
      </w:r>
      <w:r>
        <w:t xml:space="preserve"> </w:t>
      </w:r>
      <w:r>
        <w:t xml:space="preserve">offer one route to addressing it directly.</w:t>
      </w:r>
    </w:p>
    <w:p>
      <w:pPr>
        <w:pStyle w:val="BodyText"/>
      </w:pPr>
      <w:r>
        <w:t xml:space="preserve">The Visible Infrared Imaging Radiometer Suite (VIIRS), operational since 2012, improves on DMSP-OLS in spatial resolution (roughly 750 meters against 2.7 kilometers), in on-board radiometric calibration, and in dynamic range, avoiding saturation in bright areas while detecting dim lights in rural settlements</w:t>
      </w:r>
      <w:r>
        <w:t xml:space="preserve"> </w:t>
      </w:r>
      <w:r>
        <w:t xml:space="preserve">(Elvidge et al. 2017; Gibson et al. 2021)</w:t>
      </w:r>
      <w:r>
        <w:t xml:space="preserve">.</w:t>
      </w:r>
      <w:r>
        <w:t xml:space="preserve"> </w:t>
      </w:r>
      <w:r>
        <w:t xml:space="preserve">The discontinuity between the DMSP (1992–2013) and VIIRS (2012–present) sensor eras remains an obstacle to long-run work, which harmonization efforts have begun to address</w:t>
      </w:r>
      <w:r>
        <w:t xml:space="preserve"> </w:t>
      </w:r>
      <w:r>
        <w:t xml:space="preserve">(Li et al. 2020)</w:t>
      </w:r>
      <w:r>
        <w:t xml:space="preserve">, and recent global series adjust explicitly for top-coding, blooming, and changes of satellite system</w:t>
      </w:r>
      <w:r>
        <w:t xml:space="preserve"> </w:t>
      </w:r>
      <w:r>
        <w:t xml:space="preserve">(Chiovelli et al. 2026)</w:t>
      </w:r>
      <w:r>
        <w:t xml:space="preserve">.</w:t>
      </w:r>
      <w:r>
        <w:t xml:space="preserve"> </w:t>
      </w:r>
      <w:r>
        <w:t xml:space="preserve">Beyond better sensors, combining lights with other satellite products improves measurement where lights alone are weak.</w:t>
      </w:r>
      <w:r>
        <w:rPr>
          <w:rStyle w:val="FootnoteReference"/>
        </w:rPr>
        <w:footnoteReference w:id="115"/>
      </w:r>
      <w:r>
        <w:t xml:space="preserve"> </w:t>
      </w:r>
      <w:r>
        <w:t xml:space="preserve">Applying such multi-source approaches to Indian districts, and re-estimating our specification on harmonized or VIIRS-era data, are the most immediate extensions of the analysis reported here.</w:t>
      </w:r>
    </w:p>
    <w:bookmarkEnd w:id="116"/>
    <w:bookmarkStart w:id="118" w:name="geographic-gaps"/>
    <w:p>
      <w:pPr>
        <w:pStyle w:val="Heading4"/>
      </w:pPr>
      <w:r>
        <w:t xml:space="preserve">Geographic gaps</w:t>
      </w:r>
    </w:p>
    <w:p>
      <w:pPr>
        <w:pStyle w:val="FirstParagraph"/>
      </w:pPr>
      <w:r>
        <w:t xml:space="preserve">A distinctive advantage of nighttime lights is that a single instrument observes the entire planet under a common protocol, so that measurements are comparable across countries and across regions in a way that national accounts, compiled under different statistical systems and capacities, are not</w:t>
      </w:r>
      <w:r>
        <w:t xml:space="preserve"> </w:t>
      </w:r>
      <w:r>
        <w:t xml:space="preserve">(Henderson, Storeygard, and Weil 2012)</w:t>
      </w:r>
      <w:r>
        <w:t xml:space="preserve">.</w:t>
      </w:r>
      <w:r>
        <w:t xml:space="preserve"> </w:t>
      </w:r>
      <w:r>
        <w:t xml:space="preserve">Comparability across settings and scales nevertheless requires explicit adjustment</w:t>
      </w:r>
      <w:r>
        <w:t xml:space="preserve"> </w:t>
      </w:r>
      <w:r>
        <w:t xml:space="preserve">(Chiovelli et al. 2026)</w:t>
      </w:r>
      <w:r>
        <w:t xml:space="preserve">.</w:t>
      </w:r>
      <w:r>
        <w:t xml:space="preserve"> </w:t>
      </w:r>
      <w:r>
        <w:t xml:space="preserve">This global coverage is, however, coverage of light rather than of economic activity, and the distinction determines where the method works.</w:t>
      </w:r>
      <w:r>
        <w:t xml:space="preserve"> </w:t>
      </w:r>
      <w:r>
        <w:t xml:space="preserve">Roughly one fifth of the settlement footprint of the planet emits no radiance detectable from space, and unlit settlements are concentrated in Africa, which accounts for 39% of them, rising to 65% when only rural settlement areas are considered</w:t>
      </w:r>
      <w:r>
        <w:t xml:space="preserve"> </w:t>
      </w:r>
      <w:r>
        <w:t xml:space="preserve">(McCallum et al. 2022)</w:t>
      </w:r>
      <w:r>
        <w:t xml:space="preserve">.</w:t>
      </w:r>
      <w:r>
        <w:t xml:space="preserve"> </w:t>
      </w:r>
      <w:r>
        <w:t xml:space="preserve">Lights therefore measure development that is illuminated: they track urban areas as they expand, and rural areas as lighting infrastructure reaches them, but they are close to silent where neither is happening.</w:t>
      </w:r>
      <w:r>
        <w:t xml:space="preserve"> </w:t>
      </w:r>
      <w:r>
        <w:t xml:space="preserve">The empirical record matches this description.</w:t>
      </w:r>
      <w:r>
        <w:rPr>
          <w:rStyle w:val="FootnoteReference"/>
        </w:rPr>
        <w:footnoteReference w:id="117"/>
      </w:r>
    </w:p>
    <w:p>
      <w:pPr>
        <w:pStyle w:val="BodyText"/>
      </w:pPr>
      <w:r>
        <w:t xml:space="preserve">The resulting gap is not simply that some regions have gone unstudied.</w:t>
      </w:r>
      <w:r>
        <w:t xml:space="preserve"> </w:t>
      </w:r>
      <w:r>
        <w:t xml:space="preserve">Regional inequality and convergence have been examined with luminosity across 49 African countries</w:t>
      </w:r>
      <w:r>
        <w:t xml:space="preserve"> </w:t>
      </w:r>
      <w:r>
        <w:t xml:space="preserve">(Kacou 2022)</w:t>
      </w:r>
      <w:r>
        <w:t xml:space="preserve">, as they have across Chinese provinces</w:t>
      </w:r>
      <w:r>
        <w:t xml:space="preserve"> </w:t>
      </w:r>
      <w:r>
        <w:t xml:space="preserve">(Glawe and Mendez 2024)</w:t>
      </w:r>
      <w:r>
        <w:t xml:space="preserve">, Indonesian districts</w:t>
      </w:r>
      <w:r>
        <w:t xml:space="preserve"> </w:t>
      </w:r>
      <w:r>
        <w:t xml:space="preserve">(Miranti and Mendez 2023)</w:t>
      </w:r>
      <w:r>
        <w:t xml:space="preserve">, Thailand</w:t>
      </w:r>
      <w:r>
        <w:t xml:space="preserve"> </w:t>
      </w:r>
      <w:r>
        <w:t xml:space="preserve">(Tipayalai and Mendez 2024)</w:t>
      </w:r>
      <w:r>
        <w:t xml:space="preserve">, and Turkey</w:t>
      </w:r>
      <w:r>
        <w:t xml:space="preserve"> </w:t>
      </w:r>
      <w:r>
        <w:t xml:space="preserve">(Ursavaş and Mendez 2023)</w:t>
      </w:r>
      <w:r>
        <w:t xml:space="preserve">.</w:t>
      </w:r>
      <w:r>
        <w:t xml:space="preserve"> </w:t>
      </w:r>
      <w:r>
        <w:t xml:space="preserve">The gap is that the places where lights carry the least information, rural and sparsely electrified areas, are the same places where administrative statistics are weakest, which is precisely where a satellite proxy would be most valuable.</w:t>
      </w:r>
      <w:r>
        <w:t xml:space="preserve"> </w:t>
      </w:r>
      <w:r>
        <w:t xml:space="preserve">Closing it calls less for further applications of the same proxy than for validation against ground data in those settings, and for the complementary sensors and multi-source methods described above.</w:t>
      </w:r>
    </w:p>
    <w:bookmarkEnd w:id="118"/>
    <w:bookmarkStart w:id="122" w:name="theoretical-gaps"/>
    <w:p>
      <w:pPr>
        <w:pStyle w:val="Heading4"/>
      </w:pPr>
      <w:r>
        <w:t xml:space="preserve">Theoretical gaps</w:t>
      </w:r>
    </w:p>
    <w:p>
      <w:pPr>
        <w:pStyle w:val="FirstParagraph"/>
      </w:pPr>
      <w:r>
        <w:t xml:space="preserve">Our cross-sectional framework documents an average effect and its spillover component, but not heterogeneity across the distribution.</w:t>
      </w:r>
      <w:r>
        <w:t xml:space="preserve"> </w:t>
      </w:r>
      <w:r>
        <w:t xml:space="preserve">One direction is distributional: methods designed for that purpose could reveal whether Indian districts converge to a single steady state or form distinct clubs, and combining them with spatial econometrics could expose spatial poverty traps or growth poles that average estimates render invisible</w:t>
      </w:r>
      <w:r>
        <w:t xml:space="preserve"> </w:t>
      </w:r>
      <w:r>
        <w:t xml:space="preserve">(Rey and Montouri 1999)</w:t>
      </w:r>
      <w:r>
        <w:t xml:space="preserve">.</w:t>
      </w:r>
      <w:r>
        <w:rPr>
          <w:rStyle w:val="FootnoteReference"/>
        </w:rPr>
        <w:footnoteReference w:id="119"/>
      </w:r>
      <w:r>
        <w:t xml:space="preserve"> </w:t>
      </w:r>
      <w:r>
        <w:t xml:space="preserve">A second concerns identification: our estimates capture spillovers in reduced form without establishing whether they run through infrastructure, migration, technology diffusion, or market access, and quasi-experimental designs such as that of</w:t>
      </w:r>
      <w:r>
        <w:t xml:space="preserve"> </w:t>
      </w:r>
      <w:r>
        <w:t xml:space="preserve">Asher and Novosad (2020)</w:t>
      </w:r>
      <w:r>
        <w:t xml:space="preserve"> </w:t>
      </w:r>
      <w:r>
        <w:t xml:space="preserve">offer a route to isolating them.</w:t>
      </w:r>
    </w:p>
    <w:p>
      <w:pPr>
        <w:pStyle w:val="BodyText"/>
      </w:pPr>
      <w:r>
        <w:t xml:space="preserve">Beyond convergence, luminosity is now used to study city size and urban growth</w:t>
      </w:r>
      <w:r>
        <w:t xml:space="preserve"> </w:t>
      </w:r>
      <w:r>
        <w:t xml:space="preserve">(Ch, Martin, and Vargas 2021)</w:t>
      </w:r>
      <w:r>
        <w:t xml:space="preserve">, electrification and the provision of public goods</w:t>
      </w:r>
      <w:r>
        <w:t xml:space="preserve"> </w:t>
      </w:r>
      <w:r>
        <w:t xml:space="preserve">(Min et al. 2013)</w:t>
      </w:r>
      <w:r>
        <w:t xml:space="preserve">, and armed conflict</w:t>
      </w:r>
      <w:r>
        <w:t xml:space="preserve"> </w:t>
      </w:r>
      <w:r>
        <w:t xml:space="preserve">(Witmer and O’Loughlin 2011)</w:t>
      </w:r>
      <w:r>
        <w:t xml:space="preserve">.</w:t>
      </w:r>
      <w:r>
        <w:t xml:space="preserve"> </w:t>
      </w:r>
      <w:r>
        <w:t xml:space="preserve">As in the exploratory extension above, the same data can be turned on socioeconomic dimensions that are not economic output at all, such as the cultural participation theorized by</w:t>
      </w:r>
      <w:r>
        <w:t xml:space="preserve"> </w:t>
      </w:r>
      <w:r>
        <w:t xml:space="preserve">Tubadji (2025)</w:t>
      </w:r>
      <w:r>
        <w:t xml:space="preserve">.</w:t>
      </w:r>
      <w:r>
        <w:t xml:space="preserve"> </w:t>
      </w:r>
      <w:r>
        <w:t xml:space="preserve">A rapidly growing use is impact evaluation, in which lights measure the local effect of a policy or a shock at fine spatial scales</w:t>
      </w:r>
      <w:r>
        <w:t xml:space="preserve"> </w:t>
      </w:r>
      <w:r>
        <w:t xml:space="preserve">(Bluhm and McCord 2022)</w:t>
      </w:r>
      <w:r>
        <w:t xml:space="preserve">.</w:t>
      </w:r>
      <w:r>
        <w:t xml:space="preserve"> </w:t>
      </w:r>
      <w:r>
        <w:t xml:space="preserve">Here the literature has established a caveat: lights discriminate differences across places far better than changes over time,</w:t>
      </w:r>
      <w:r>
        <w:rPr>
          <w:rStyle w:val="FootnoteReference"/>
        </w:rPr>
        <w:footnoteReference w:id="120"/>
      </w:r>
      <w:r>
        <w:t xml:space="preserve"> </w:t>
      </w:r>
      <w:r>
        <w:t xml:space="preserve">and their responsiveness to output varies with baseline income, density, and sector</w:t>
      </w:r>
      <w:r>
        <w:t xml:space="preserve"> </w:t>
      </w:r>
      <w:r>
        <w:t xml:space="preserve">(Bluhm and McCord 2022)</w:t>
      </w:r>
      <w:r>
        <w:t xml:space="preserve">.</w:t>
      </w:r>
      <w:r>
        <w:rPr>
          <w:rStyle w:val="FootnoteReference"/>
        </w:rPr>
        <w:footnoteReference w:id="121"/>
      </w:r>
      <w:r>
        <w:t xml:space="preserve"> </w:t>
      </w:r>
      <w:r>
        <w:t xml:space="preserve">Evaluations over short horizons that rest on luminosity therefore require validation against local ground data before their estimates can be interpreted.</w:t>
      </w:r>
      <w:r>
        <w:t xml:space="preserve"> </w:t>
      </w:r>
      <w:r>
        <w:t xml:space="preserve">The design used here, a fourteen-year horizon, rests mostly on cross-sectional variation, which is what lights currently support best.</w:t>
      </w:r>
    </w:p>
    <w:p>
      <w:pPr>
        <w:pStyle w:val="BodyText"/>
      </w:pPr>
      <w:r>
        <w:t xml:space="preserve">Taken together, these three gaps describe a research agenda rather than a list of caveats, and none of the work they imply requires starting from scratch.</w:t>
      </w:r>
      <w:r>
        <w:t xml:space="preserve"> </w:t>
      </w:r>
      <w:r>
        <w:t xml:space="preserve">The pipeline behind this article is public, documented, and executable in a browser.</w:t>
      </w:r>
      <w:r>
        <w:t xml:space="preserve"> </w:t>
      </w:r>
      <w:r>
        <w:t xml:space="preserve">A reader who wants to ask whether the patterns documented here hold in another country, in a later period, under a different definition of the neighborhood, or for an outcome other than economic output can open the relevant notebook, substitute their own data, and re-run it.</w:t>
      </w:r>
      <w:r>
        <w:t xml:space="preserve"> </w:t>
      </w:r>
      <w:r>
        <w:t xml:space="preserve">The appearance of spatial dependence in convergence processes across very different institutional settings also suggests that the questions raised here are not specific to India.</w:t>
      </w:r>
      <w:r>
        <w:t xml:space="preserve"> </w:t>
      </w:r>
      <w:r>
        <w:t xml:space="preserve">That is the contribution we would most like this article to make: not an estimate of how quickly Indian districts converged between 1996 and 2010 alone, but a working template that lowers the cost of asking the same question elsewhere.</w:t>
      </w:r>
    </w:p>
    <w:bookmarkEnd w:id="122"/>
    <w:bookmarkEnd w:id="123"/>
    <w:bookmarkStart w:id="124" w:name="Xaf3e12c7d10c533b092c48d5d53066a8fdf921f"/>
    <w:p>
      <w:pPr>
        <w:pStyle w:val="Heading3"/>
      </w:pPr>
      <w:r>
        <w:t xml:space="preserve">Research reproducibility and open science</w:t>
      </w:r>
    </w:p>
    <w:p>
      <w:pPr>
        <w:pStyle w:val="FirstParagraph"/>
      </w:pPr>
      <w:r>
        <w:t xml:space="preserve">The complexity of satellite-based economic research, which involves multi-step processing pipelines, spatial econometric estimation, and geographic visualization, makes reproducibility both challenging and essential.</w:t>
      </w:r>
      <w:r>
        <w:t xml:space="preserve"> </w:t>
      </w:r>
      <w:r>
        <w:t xml:space="preserve">As</w:t>
      </w:r>
      <w:r>
        <w:t xml:space="preserve"> </w:t>
      </w:r>
      <w:r>
        <w:t xml:space="preserve">Donaldson and Storeygard (2016)</w:t>
      </w:r>
      <w:r>
        <w:t xml:space="preserve"> </w:t>
      </w:r>
      <w:r>
        <w:t xml:space="preserve">note, methodological choices in processing remotely sensed data, such as sensor inter-calibration, can affect the empirical conclusions.</w:t>
      </w:r>
      <w:r>
        <w:t xml:space="preserve"> </w:t>
      </w:r>
      <w:r>
        <w:t xml:space="preserve">The same applies further down our own pipeline, at the construction of the spatial weight matrix.</w:t>
      </w:r>
      <w:r>
        <w:t xml:space="preserve"> </w:t>
      </w:r>
      <w:r>
        <w:t xml:space="preserve">Our own robustness analysis is a case in point: the estimated convergence effects survive seven definitions of the neighborhood, but that is something a reader can only confirm because the code that produced each of them is available.</w:t>
      </w:r>
    </w:p>
    <w:p>
      <w:pPr>
        <w:pStyle w:val="BodyText"/>
      </w:pPr>
      <w:r>
        <w:t xml:space="preserve">Open-source tools and cloud platforms are lowering the barriers to this kind of verification.</w:t>
      </w:r>
      <w:r>
        <w:t xml:space="preserve"> </w:t>
      </w:r>
      <w:r>
        <w:t xml:space="preserve">Cloud-based notebooks, such as those developed by</w:t>
      </w:r>
      <w:r>
        <w:t xml:space="preserve"> </w:t>
      </w:r>
      <w:r>
        <w:t xml:space="preserve">Patnaik and Mendez (2024)</w:t>
      </w:r>
      <w:r>
        <w:t xml:space="preserve"> </w:t>
      </w:r>
      <w:r>
        <w:t xml:space="preserve">for processing nighttime lights data, remove the need for specialized local software.</w:t>
      </w:r>
      <w:r>
        <w:t xml:space="preserve"> </w:t>
      </w:r>
      <w:r>
        <w:t xml:space="preserve">The combination of open data, version-controlled code, and cloud execution makes the full pipeline, from satellite imagery to econometric results, verifiable and extensible by the broader research community.</w:t>
      </w:r>
    </w:p>
    <w:bookmarkEnd w:id="124"/>
    <w:bookmarkEnd w:id="125"/>
    <w:bookmarkStart w:id="127"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and our spatial autocorrelation analyses indicate that spatial dependence is a notable characteristic of both the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51% larger than conventional non-spatial estimates, and the implied half-life of regional disparities falls from roughly 23 years to 13.</w:t>
      </w:r>
      <w:r>
        <w:t xml:space="preserve"> </w:t>
      </w:r>
      <w:r>
        <w:t xml:space="preserve">This finding suggests that in this setting non-spatial convergence models understate the speed of regional convergence, although the comparison with other regional literatures shows that the direction of this adjustment is specific to the setting rather than general.</w:t>
      </w:r>
      <w:r>
        <w:t xml:space="preserve"> </w:t>
      </w:r>
      <w:r>
        <w:t xml:space="preserve">If the estimated indirect effects reflect genuine spillovers, place-based development interventions would have broader impacts than conventional estimates suggest, since their benefits would reach neighboring districts as well as the districts they target.</w:t>
      </w:r>
      <w:r>
        <w:t xml:space="preserve"> </w:t>
      </w:r>
      <w:r>
        <w:t xml:space="preserve">If instead they partly reflect activity displaced across district boundaries, as the evaluation literature on Indian place-based programs cautions, the same estimates would overstate what those interventions add in aggregate.</w:t>
      </w:r>
    </w:p>
    <w:p>
      <w:pPr>
        <w:pStyle w:val="BodyText"/>
      </w:pPr>
      <w:r>
        <w:t xml:space="preserve">Our results also demonstrate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especially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 and the ongoing transition from DMSP-OLS to the higher-resolution VIIRS sensor should yield more precise measurement of subnational economic activity in future studies.</w:t>
      </w:r>
    </w:p>
    <w:p>
      <w:pPr>
        <w:pStyle w:val="BodyText"/>
      </w:pPr>
      <w:r>
        <w:t xml:space="preserve">This study also shows how reproducible open-science practices can strengthen the credibility and reach of scientific research.</w:t>
      </w:r>
      <w:r>
        <w:t xml:space="preserve"> </w:t>
      </w:r>
      <w:r>
        <w:t xml:space="preserve">The entire analytical pipeline is documented in Jupyter notebooks written in Python, and the results are embedded within the manuscript through the Quarto publishing framework.</w:t>
      </w:r>
      <w:r>
        <w:rPr>
          <w:rStyle w:val="FootnoteReference"/>
        </w:rPr>
        <w:footnoteReference w:id="126"/>
      </w:r>
      <w:r>
        <w:t xml:space="preserve"> </w:t>
      </w:r>
      <w:r>
        <w:t xml:space="preserve">By hosting the complete codebase and data in a public GitHub repository, and by making the Python notebooks executable in the cloud through Google Colaboratory, we aim to encourage broader adoption of reproducible open-science practices.</w:t>
      </w:r>
      <w:r>
        <w:t xml:space="preserve"> </w:t>
      </w:r>
      <w:r>
        <w:t xml:space="preserve">Section 4 sets out where we believe the most valuable work now lies, in better data, in the regions this method currently serves least well, and in the questions beyond convergence that it is able to address.</w:t>
      </w:r>
      <w:r>
        <w:t xml:space="preserve"> </w:t>
      </w:r>
      <w:r>
        <w:t xml:space="preserve">The materials accompanying this article are meant to make starting on any of them straightforward.</w:t>
      </w:r>
    </w:p>
    <w:bookmarkEnd w:id="127"/>
    <w:bookmarkStart w:id="128"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128"/>
    <w:bookmarkStart w:id="129" w:name="conflict-of-interest"/>
    <w:p>
      <w:pPr>
        <w:pStyle w:val="Heading2"/>
      </w:pPr>
      <w:r>
        <w:t xml:space="preserve">Conflict of Interest</w:t>
      </w:r>
    </w:p>
    <w:p>
      <w:pPr>
        <w:pStyle w:val="FirstParagraph"/>
      </w:pPr>
      <w:r>
        <w:t xml:space="preserve">The authors declare no conflict of interest.</w:t>
      </w:r>
    </w:p>
    <w:bookmarkEnd w:id="129"/>
    <w:bookmarkStart w:id="280" w:name="data-and-code-availability"/>
    <w:p>
      <w:pPr>
        <w:pStyle w:val="Heading2"/>
      </w:pPr>
      <w:r>
        <w:t xml:space="preserve">Data and Code Availability</w:t>
      </w:r>
    </w:p>
    <w:p>
      <w:pPr>
        <w:pStyle w:val="FirstParagraph"/>
      </w:pPr>
      <w:r>
        <w:t xml:space="preserve">All data and computational code used in this study are available in the project repository at</w:t>
      </w:r>
      <w:r>
        <w:t xml:space="preserve"> </w:t>
      </w:r>
      <w:hyperlink r:id="rId20">
        <w:r>
          <w:rPr>
            <w:rStyle w:val="Hyperlink"/>
          </w:rPr>
          <w:t xml:space="preserve">https://github.com/quarcs-lab/project2025s-py</w:t>
        </w:r>
      </w:hyperlink>
      <w:r>
        <w:t xml:space="preserve">.</w:t>
      </w:r>
      <w:r>
        <w:t xml:space="preserve"> </w:t>
      </w:r>
      <w:r>
        <w:t xml:space="preserve">The interactive HTML version of this manuscript (</w:t>
      </w:r>
      <w:hyperlink r:id="rId21">
        <w:r>
          <w:rPr>
            <w:rStyle w:val="Hyperlink"/>
          </w:rPr>
          <w:t xml:space="preserve">https://quarcs-lab.github.io/project2025s-py/</w:t>
        </w:r>
      </w:hyperlink>
      <w:r>
        <w:t xml:space="preserve">) embeds the computational notebooks, allowing readers to inspect the complete analytical pipeline from raw data to published results.</w:t>
      </w:r>
      <w:r>
        <w:t xml:space="preserve"> </w:t>
      </w:r>
      <w:r>
        <w:t xml:space="preserve">Every analytical notebook can be executed in the cloud using Google Colaboratory without any local software installation: readers open the notebook and run it, and the empirical results, figures, and tables of this article are regenerated from the raw data.</w:t>
      </w:r>
      <w:r>
        <w:t xml:space="preserve"> </w:t>
      </w:r>
      <w:r>
        <w:t xml:space="preserve">The computational notebooks are implemented entirely in Python.</w:t>
      </w:r>
      <w:r>
        <w:t xml:space="preserve"> </w:t>
      </w:r>
      <w:r>
        <w:t xml:space="preserve">An earlier implementation of the same analysis used R and Stata, and the present Python results reproduce it.</w:t>
      </w:r>
      <w:r>
        <w:t xml:space="preserve"> </w:t>
      </w:r>
      <w:r>
        <w:t xml:space="preserve">The AIC values differ by a few units because the two packages count parameters differently: Stata treats the error variance of the spatial model as a free parameter, and its information criterion for the fixed-effects regressions uses the rank of the robust covariance matrix, which two single-district states leave short by two.</w:t>
      </w:r>
      <w:r>
        <w:t xml:space="preserve"> </w:t>
      </w:r>
      <w:r>
        <w:t xml:space="preserve">The interactive Earth Engine application linked in the text is a convenience layer for visualizing the underlying imagery; its source code is included in the first notebook, and none of the results reported in this article depend on it.</w:t>
      </w:r>
    </w:p>
    <w:bookmarkStart w:id="279" w:name="refs"/>
    <w:bookmarkStart w:id="131"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130">
        <w:r>
          <w:rPr>
            <w:rStyle w:val="Hyperlink"/>
          </w:rPr>
          <w:t xml:space="preserve">https://doi.org/10.1016/j.rse.2018.03.018</w:t>
        </w:r>
      </w:hyperlink>
      <w:r>
        <w:t xml:space="preserve">.</w:t>
      </w:r>
    </w:p>
    <w:bookmarkEnd w:id="131"/>
    <w:bookmarkStart w:id="133" w:name="ref-abreu_etal_meta_convergence"/>
    <w:p>
      <w:pPr>
        <w:pStyle w:val="Bibliography"/>
      </w:pPr>
      <w:r>
        <w:t xml:space="preserve">Abreu, Maria, Henri L. F. de Groot, and Raymond J. G. M. Florax. 2005.</w:t>
      </w:r>
      <w:r>
        <w:t xml:space="preserve"> </w:t>
      </w:r>
      <w:r>
        <w:t xml:space="preserve">“A Meta-Analysis of</w:t>
      </w:r>
      <w:r>
        <w:t xml:space="preserve"> </w:t>
      </w:r>
      <m:oMath>
        <m:r>
          <m:t>β</m:t>
        </m:r>
      </m:oMath>
      <w:r>
        <w:t xml:space="preserve">-Convergence: The Legendary 2%.”</w:t>
      </w:r>
      <w:r>
        <w:t xml:space="preserve"> </w:t>
      </w:r>
      <w:r>
        <w:rPr>
          <w:i/>
          <w:iCs/>
        </w:rPr>
        <w:t xml:space="preserve">Journal of Economic Surveys</w:t>
      </w:r>
      <w:r>
        <w:t xml:space="preserve"> </w:t>
      </w:r>
      <w:r>
        <w:t xml:space="preserve">19 (3): 389–420.</w:t>
      </w:r>
      <w:r>
        <w:t xml:space="preserve"> </w:t>
      </w:r>
      <w:hyperlink r:id="rId132">
        <w:r>
          <w:rPr>
            <w:rStyle w:val="Hyperlink"/>
          </w:rPr>
          <w:t xml:space="preserve">https://doi.org/10.1111/j.0950-0804.2005.00253.x</w:t>
        </w:r>
      </w:hyperlink>
      <w:r>
        <w:t xml:space="preserve">.</w:t>
      </w:r>
    </w:p>
    <w:bookmarkEnd w:id="133"/>
    <w:bookmarkStart w:id="135"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134">
        <w:r>
          <w:rPr>
            <w:rStyle w:val="Hyperlink"/>
          </w:rPr>
          <w:t xml:space="preserve">https://doi.org/10.1111/ecin.12967</w:t>
        </w:r>
      </w:hyperlink>
      <w:r>
        <w:t xml:space="preserve">.</w:t>
      </w:r>
    </w:p>
    <w:bookmarkEnd w:id="135"/>
    <w:bookmarkStart w:id="137"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136">
        <w:r>
          <w:rPr>
            <w:rStyle w:val="Hyperlink"/>
          </w:rPr>
          <w:t xml:space="preserve">https://quarto.org</w:t>
        </w:r>
      </w:hyperlink>
      <w:r>
        <w:t xml:space="preserve">.</w:t>
      </w:r>
    </w:p>
    <w:bookmarkEnd w:id="137"/>
    <w:bookmarkStart w:id="139"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138">
        <w:r>
          <w:rPr>
            <w:rStyle w:val="Hyperlink"/>
          </w:rPr>
          <w:t xml:space="preserve">https://doi.org/10.1007/978-94-015-7799-1</w:t>
        </w:r>
      </w:hyperlink>
      <w:r>
        <w:t xml:space="preserve">.</w:t>
      </w:r>
    </w:p>
    <w:bookmarkEnd w:id="139"/>
    <w:bookmarkStart w:id="141"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40">
        <w:r>
          <w:rPr>
            <w:rStyle w:val="Hyperlink"/>
          </w:rPr>
          <w:t xml:space="preserve">https://doi.org/10.1111/j.1538-4632.1995.tb00338.x</w:t>
        </w:r>
      </w:hyperlink>
      <w:r>
        <w:t xml:space="preserve">.</w:t>
      </w:r>
    </w:p>
    <w:bookmarkEnd w:id="141"/>
    <w:bookmarkStart w:id="143" w:name="ref-asher_shrug_india"/>
    <w:p>
      <w:pPr>
        <w:pStyle w:val="Bibliography"/>
      </w:pPr>
      <w:r>
        <w:t xml:space="preserve">Asher, Sam, Tobias Lunt, Ryu Matsuura, and Paul Novosad. 2021.</w:t>
      </w:r>
      <w:r>
        <w:t xml:space="preserve"> </w:t>
      </w:r>
      <w:r>
        <w:t xml:space="preserve">“Development Research at High Geographic Resolution: An Analysis of Night-Lights, Firms, and Poverty in India Using the SHRUG Open Data Platform.”</w:t>
      </w:r>
      <w:r>
        <w:t xml:space="preserve"> </w:t>
      </w:r>
      <w:r>
        <w:rPr>
          <w:i/>
          <w:iCs/>
        </w:rPr>
        <w:t xml:space="preserve">The World Bank Economic Review</w:t>
      </w:r>
      <w:r>
        <w:t xml:space="preserve"> </w:t>
      </w:r>
      <w:r>
        <w:t xml:space="preserve">35 (4): 845–71.</w:t>
      </w:r>
      <w:r>
        <w:t xml:space="preserve"> </w:t>
      </w:r>
      <w:hyperlink r:id="rId142">
        <w:r>
          <w:rPr>
            <w:rStyle w:val="Hyperlink"/>
          </w:rPr>
          <w:t xml:space="preserve">https://doi.org/10.1093/wber/lhab003</w:t>
        </w:r>
      </w:hyperlink>
      <w:r>
        <w:t xml:space="preserve">.</w:t>
      </w:r>
    </w:p>
    <w:bookmarkEnd w:id="143"/>
    <w:bookmarkStart w:id="145"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44">
        <w:r>
          <w:rPr>
            <w:rStyle w:val="Hyperlink"/>
          </w:rPr>
          <w:t xml:space="preserve">https://doi.org/10.1257/aer.20180268</w:t>
        </w:r>
      </w:hyperlink>
      <w:r>
        <w:t xml:space="preserve">.</w:t>
      </w:r>
    </w:p>
    <w:bookmarkEnd w:id="145"/>
    <w:bookmarkStart w:id="147" w:name="ref-barro_convergence_modernisation"/>
    <w:p>
      <w:pPr>
        <w:pStyle w:val="Bibliography"/>
      </w:pPr>
      <w:r>
        <w:t xml:space="preserve">Barro, Robert J. 2015.</w:t>
      </w:r>
      <w:r>
        <w:t xml:space="preserve"> </w:t>
      </w:r>
      <w:r>
        <w:t xml:space="preserve">“Convergence and Modernisation.”</w:t>
      </w:r>
      <w:r>
        <w:t xml:space="preserve"> </w:t>
      </w:r>
      <w:r>
        <w:rPr>
          <w:i/>
          <w:iCs/>
        </w:rPr>
        <w:t xml:space="preserve">The Economic Journal</w:t>
      </w:r>
      <w:r>
        <w:t xml:space="preserve"> </w:t>
      </w:r>
      <w:r>
        <w:t xml:space="preserve">125 (585): 911–42.</w:t>
      </w:r>
      <w:r>
        <w:t xml:space="preserve"> </w:t>
      </w:r>
      <w:hyperlink r:id="rId146">
        <w:r>
          <w:rPr>
            <w:rStyle w:val="Hyperlink"/>
          </w:rPr>
          <w:t xml:space="preserve">https://doi.org/10.1111/ecoj.12247</w:t>
        </w:r>
      </w:hyperlink>
      <w:r>
        <w:t xml:space="preserve">.</w:t>
      </w:r>
    </w:p>
    <w:bookmarkEnd w:id="147"/>
    <w:bookmarkStart w:id="149"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48">
        <w:r>
          <w:rPr>
            <w:rStyle w:val="Hyperlink"/>
          </w:rPr>
          <w:t xml:space="preserve">https://doi.org/10.1086/261816</w:t>
        </w:r>
      </w:hyperlink>
      <w:r>
        <w:t xml:space="preserve">.</w:t>
      </w:r>
    </w:p>
    <w:bookmarkEnd w:id="149"/>
    <w:bookmarkStart w:id="151" w:name="ref-basher_etal_bangladesh_lights"/>
    <w:p>
      <w:pPr>
        <w:pStyle w:val="Bibliography"/>
      </w:pPr>
      <w:r>
        <w:t xml:space="preserve">Basher, Syed Abul, Salim Rashid, and Mohammad Riad Uddin. 2023.</w:t>
      </w:r>
      <w:r>
        <w:t xml:space="preserve"> </w:t>
      </w:r>
      <w:r>
        <w:t xml:space="preserve">“Regional Convergence in</w:t>
      </w:r>
      <w:r>
        <w:t xml:space="preserve"> </w:t>
      </w:r>
      <w:r>
        <w:t xml:space="preserve">Bangladesh</w:t>
      </w:r>
      <w:r>
        <w:t xml:space="preserve"> </w:t>
      </w:r>
      <w:r>
        <w:t xml:space="preserve">Using Night Lights.”</w:t>
      </w:r>
      <w:r>
        <w:t xml:space="preserve"> </w:t>
      </w:r>
      <w:r>
        <w:rPr>
          <w:i/>
          <w:iCs/>
        </w:rPr>
        <w:t xml:space="preserve">Applied Economics Letters</w:t>
      </w:r>
      <w:r>
        <w:t xml:space="preserve"> </w:t>
      </w:r>
      <w:r>
        <w:t xml:space="preserve">30 (18): 2581–88.</w:t>
      </w:r>
      <w:r>
        <w:t xml:space="preserve"> </w:t>
      </w:r>
      <w:hyperlink r:id="rId150">
        <w:r>
          <w:rPr>
            <w:rStyle w:val="Hyperlink"/>
          </w:rPr>
          <w:t xml:space="preserve">https://doi.org/10.1080/13504851.2022.2099798</w:t>
        </w:r>
      </w:hyperlink>
      <w:r>
        <w:t xml:space="preserve">.</w:t>
      </w:r>
    </w:p>
    <w:bookmarkEnd w:id="151"/>
    <w:bookmarkStart w:id="153" w:name="ref-beyer_jain_sinha_covid"/>
    <w:p>
      <w:pPr>
        <w:pStyle w:val="Bibliography"/>
      </w:pPr>
      <w:r>
        <w:t xml:space="preserve">Beyer, Robert C. M., Tarun Jain, and Sonalika Sinha. 2023.</w:t>
      </w:r>
      <w:r>
        <w:t xml:space="preserve"> </w:t>
      </w:r>
      <w:r>
        <w:t xml:space="preserve">“Lights Out? COVID-19 Containment Policies and Economic Activity.”</w:t>
      </w:r>
      <w:r>
        <w:t xml:space="preserve"> </w:t>
      </w:r>
      <w:r>
        <w:rPr>
          <w:i/>
          <w:iCs/>
        </w:rPr>
        <w:t xml:space="preserve">Journal of Asian Economics</w:t>
      </w:r>
      <w:r>
        <w:t xml:space="preserve"> </w:t>
      </w:r>
      <w:r>
        <w:t xml:space="preserve">85: 101589.</w:t>
      </w:r>
      <w:r>
        <w:t xml:space="preserve"> </w:t>
      </w:r>
      <w:hyperlink r:id="rId152">
        <w:r>
          <w:rPr>
            <w:rStyle w:val="Hyperlink"/>
          </w:rPr>
          <w:t xml:space="preserve">https://doi.org/10.1016/j.asieco.2023.101589</w:t>
        </w:r>
      </w:hyperlink>
      <w:r>
        <w:t xml:space="preserve">.</w:t>
      </w:r>
    </w:p>
    <w:bookmarkEnd w:id="153"/>
    <w:bookmarkStart w:id="155" w:name="ref-beyer_yamada_district_banks"/>
    <w:p>
      <w:pPr>
        <w:pStyle w:val="Bibliography"/>
      </w:pPr>
      <w:r>
        <w:t xml:space="preserve">Beyer, Robert C. M., and Takahiro Yamada. 2020.</w:t>
      </w:r>
      <w:r>
        <w:t xml:space="preserve"> </w:t>
      </w:r>
      <w:r>
        <w:t xml:space="preserve">“District-Level Convergence and Public Banks in</w:t>
      </w:r>
      <w:r>
        <w:t xml:space="preserve"> </w:t>
      </w:r>
      <w:r>
        <w:t xml:space="preserve">India</w:t>
      </w:r>
      <w:r>
        <w:t xml:space="preserve">.”</w:t>
      </w:r>
      <w:r>
        <w:t xml:space="preserve"> </w:t>
      </w:r>
      <w:r>
        <w:t xml:space="preserve">SSRN Working Paper.</w:t>
      </w:r>
      <w:r>
        <w:t xml:space="preserve"> </w:t>
      </w:r>
      <w:hyperlink r:id="rId154">
        <w:r>
          <w:rPr>
            <w:rStyle w:val="Hyperlink"/>
          </w:rPr>
          <w:t xml:space="preserve">https://doi.org/10.2139/ssrn.3818578</w:t>
        </w:r>
      </w:hyperlink>
      <w:r>
        <w:t xml:space="preserve">.</w:t>
      </w:r>
    </w:p>
    <w:bookmarkEnd w:id="155"/>
    <w:bookmarkStart w:id="157" w:name="ref-bickenbach_regional_gdp"/>
    <w:p>
      <w:pPr>
        <w:pStyle w:val="Bibliography"/>
      </w:pPr>
      <w:r>
        <w:t xml:space="preserve">Bickenbach, Frank, Eckhardt Bode, Peter Nunnenkamp, and Mareike Söder. 2016.</w:t>
      </w:r>
      <w:r>
        <w:t xml:space="preserve"> </w:t>
      </w:r>
      <w:r>
        <w:t xml:space="preserve">“Night Lights and Regional GDP.”</w:t>
      </w:r>
      <w:r>
        <w:t xml:space="preserve"> </w:t>
      </w:r>
      <w:r>
        <w:rPr>
          <w:i/>
          <w:iCs/>
        </w:rPr>
        <w:t xml:space="preserve">Review of World Economics</w:t>
      </w:r>
      <w:r>
        <w:t xml:space="preserve"> </w:t>
      </w:r>
      <w:r>
        <w:t xml:space="preserve">152 (2): 425–47.</w:t>
      </w:r>
      <w:r>
        <w:t xml:space="preserve"> </w:t>
      </w:r>
      <w:hyperlink r:id="rId156">
        <w:r>
          <w:rPr>
            <w:rStyle w:val="Hyperlink"/>
          </w:rPr>
          <w:t xml:space="preserve">https://doi.org/10.1007/s10290-016-0246-0</w:t>
        </w:r>
      </w:hyperlink>
      <w:r>
        <w:t xml:space="preserve">.</w:t>
      </w:r>
    </w:p>
    <w:bookmarkEnd w:id="157"/>
    <w:bookmarkStart w:id="159" w:name="ref-bluhm_mccord_small_geographies"/>
    <w:p>
      <w:pPr>
        <w:pStyle w:val="Bibliography"/>
      </w:pPr>
      <w:r>
        <w:t xml:space="preserve">Bluhm, Richard, and Gordon C. McCord. 2022.</w:t>
      </w:r>
      <w:r>
        <w:t xml:space="preserve"> </w:t>
      </w:r>
      <w:r>
        <w:t xml:space="preserve">“What Can We Learn from Nighttime Lights for Small Geographies? Measurement Errors and Heterogeneous Elasticities.”</w:t>
      </w:r>
      <w:r>
        <w:t xml:space="preserve"> </w:t>
      </w:r>
      <w:r>
        <w:rPr>
          <w:i/>
          <w:iCs/>
        </w:rPr>
        <w:t xml:space="preserve">Remote Sensing</w:t>
      </w:r>
      <w:r>
        <w:t xml:space="preserve"> </w:t>
      </w:r>
      <w:r>
        <w:t xml:space="preserve">14 (5): 1190.</w:t>
      </w:r>
      <w:r>
        <w:t xml:space="preserve"> </w:t>
      </w:r>
      <w:hyperlink r:id="rId158">
        <w:r>
          <w:rPr>
            <w:rStyle w:val="Hyperlink"/>
          </w:rPr>
          <w:t xml:space="preserve">https://doi.org/10.3390/rs14051190</w:t>
        </w:r>
      </w:hyperlink>
      <w:r>
        <w:t xml:space="preserve">.</w:t>
      </w:r>
    </w:p>
    <w:bookmarkEnd w:id="159"/>
    <w:bookmarkStart w:id="161" w:name="ref-carrington_jimenez_ecuador_lights"/>
    <w:p>
      <w:pPr>
        <w:pStyle w:val="Bibliography"/>
      </w:pPr>
      <w:r>
        <w:t xml:space="preserve">Carrington, Sarah J., and Pablo Jiménez-Ayora. 2021.</w:t>
      </w:r>
      <w:r>
        <w:t xml:space="preserve"> </w:t>
      </w:r>
      <w:r>
        <w:t xml:space="preserve">“Shedding Light on the Convergence Debate: Using Luminosity Data to Investigate Economic Convergence in</w:t>
      </w:r>
      <w:r>
        <w:t xml:space="preserve"> </w:t>
      </w:r>
      <w:r>
        <w:t xml:space="preserve">Ecuador</w:t>
      </w:r>
      <w:r>
        <w:t xml:space="preserve">.”</w:t>
      </w:r>
      <w:r>
        <w:t xml:space="preserve"> </w:t>
      </w:r>
      <w:r>
        <w:rPr>
          <w:i/>
          <w:iCs/>
        </w:rPr>
        <w:t xml:space="preserve">Review of Development Economics</w:t>
      </w:r>
      <w:r>
        <w:t xml:space="preserve"> </w:t>
      </w:r>
      <w:r>
        <w:t xml:space="preserve">25 (1): 200–227.</w:t>
      </w:r>
      <w:r>
        <w:t xml:space="preserve"> </w:t>
      </w:r>
      <w:hyperlink r:id="rId160">
        <w:r>
          <w:rPr>
            <w:rStyle w:val="Hyperlink"/>
          </w:rPr>
          <w:t xml:space="preserve">https://doi.org/10.1111/rode.12712</w:t>
        </w:r>
      </w:hyperlink>
      <w:r>
        <w:t xml:space="preserve">.</w:t>
      </w:r>
    </w:p>
    <w:bookmarkEnd w:id="161"/>
    <w:bookmarkStart w:id="163" w:name="ref-caselli_etal_convergence_debate"/>
    <w:p>
      <w:pPr>
        <w:pStyle w:val="Bibliography"/>
      </w:pPr>
      <w:r>
        <w:t xml:space="preserve">Caselli, Francesco, Gerardo Esquivel, and Fernando Lefort. 1996.</w:t>
      </w:r>
      <w:r>
        <w:t xml:space="preserve"> </w:t>
      </w:r>
      <w:r>
        <w:t xml:space="preserve">“Reopening the Convergence Debate: A New Look at Cross-Country Growth Empirics.”</w:t>
      </w:r>
      <w:r>
        <w:t xml:space="preserve"> </w:t>
      </w:r>
      <w:r>
        <w:rPr>
          <w:i/>
          <w:iCs/>
        </w:rPr>
        <w:t xml:space="preserve">Journal of Economic Growth</w:t>
      </w:r>
      <w:r>
        <w:t xml:space="preserve"> </w:t>
      </w:r>
      <w:r>
        <w:t xml:space="preserve">1 (3): 363–89.</w:t>
      </w:r>
      <w:r>
        <w:t xml:space="preserve"> </w:t>
      </w:r>
      <w:hyperlink r:id="rId162">
        <w:r>
          <w:rPr>
            <w:rStyle w:val="Hyperlink"/>
          </w:rPr>
          <w:t xml:space="preserve">https://doi.org/10.1007/BF00141044</w:t>
        </w:r>
      </w:hyperlink>
      <w:r>
        <w:t xml:space="preserve">.</w:t>
      </w:r>
    </w:p>
    <w:bookmarkEnd w:id="163"/>
    <w:bookmarkStart w:id="165" w:name="ref-ch_martin_vargas_city_size"/>
    <w:p>
      <w:pPr>
        <w:pStyle w:val="Bibliography"/>
      </w:pPr>
      <w:r>
        <w:t xml:space="preserve">Ch, Rafael, Diego A. Martin, and Juan F. Vargas. 2021.</w:t>
      </w:r>
      <w:r>
        <w:t xml:space="preserve"> </w:t>
      </w:r>
      <w:r>
        <w:t xml:space="preserve">“Measuring the Size and Growth of Cities Using Nighttime Light.”</w:t>
      </w:r>
      <w:r>
        <w:t xml:space="preserve"> </w:t>
      </w:r>
      <w:r>
        <w:rPr>
          <w:i/>
          <w:iCs/>
        </w:rPr>
        <w:t xml:space="preserve">Journal of Urban Economics</w:t>
      </w:r>
      <w:r>
        <w:t xml:space="preserve"> </w:t>
      </w:r>
      <w:r>
        <w:t xml:space="preserve">125: 103254.</w:t>
      </w:r>
      <w:r>
        <w:t xml:space="preserve"> </w:t>
      </w:r>
      <w:hyperlink r:id="rId164">
        <w:r>
          <w:rPr>
            <w:rStyle w:val="Hyperlink"/>
          </w:rPr>
          <w:t xml:space="preserve">https://doi.org/10.1016/j.jue.2020.103254</w:t>
        </w:r>
      </w:hyperlink>
      <w:r>
        <w:t xml:space="preserve">.</w:t>
      </w:r>
    </w:p>
    <w:bookmarkEnd w:id="165"/>
    <w:bookmarkStart w:id="167" w:name="X129a54fcc67c2a11d1ce6a44d6638bdd64fd10b"/>
    <w:p>
      <w:pPr>
        <w:pStyle w:val="Bibliography"/>
      </w:pPr>
      <w:r>
        <w:t xml:space="preserve">Chakrabarty, Manisha, and Subhankar Mukherjee. 2022.</w:t>
      </w:r>
      <w:r>
        <w:t xml:space="preserve"> </w:t>
      </w:r>
      <w:r>
        <w:t xml:space="preserve">“Impact of</w:t>
      </w:r>
      <w:r>
        <w:t xml:space="preserve"> </w:t>
      </w:r>
      <w:r>
        <w:t xml:space="preserve">COVID</w:t>
      </w:r>
      <w:r>
        <w:t xml:space="preserve">-19 on Convergence in</w:t>
      </w:r>
      <w:r>
        <w:t xml:space="preserve"> </w:t>
      </w:r>
      <w:r>
        <w:t xml:space="preserve">Indian</w:t>
      </w:r>
      <w:r>
        <w:t xml:space="preserve"> </w:t>
      </w:r>
      <w:r>
        <w:t xml:space="preserve">Districts.”</w:t>
      </w:r>
      <w:r>
        <w:t xml:space="preserve"> </w:t>
      </w:r>
      <w:r>
        <w:rPr>
          <w:i/>
          <w:iCs/>
        </w:rPr>
        <w:t xml:space="preserve">Indian Growth and Development Review</w:t>
      </w:r>
      <w:r>
        <w:t xml:space="preserve"> </w:t>
      </w:r>
      <w:r>
        <w:t xml:space="preserve">15 (2-3): 198–209.</w:t>
      </w:r>
      <w:r>
        <w:t xml:space="preserve"> </w:t>
      </w:r>
      <w:hyperlink r:id="rId166">
        <w:r>
          <w:rPr>
            <w:rStyle w:val="Hyperlink"/>
          </w:rPr>
          <w:t xml:space="preserve">https://doi.org/10.1108/igdr-11-2021-0152</w:t>
        </w:r>
      </w:hyperlink>
      <w:r>
        <w:t xml:space="preserve">.</w:t>
      </w:r>
    </w:p>
    <w:bookmarkEnd w:id="167"/>
    <w:bookmarkStart w:id="169"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 97–102.</w:t>
      </w:r>
      <w:r>
        <w:t xml:space="preserve"> </w:t>
      </w:r>
      <w:hyperlink r:id="rId168">
        <w:r>
          <w:rPr>
            <w:rStyle w:val="Hyperlink"/>
          </w:rPr>
          <w:t xml:space="preserve">https://www.epw.in/journal/2017/25-26/notes/will-gst-exacerbate-regional-divergence.html</w:t>
        </w:r>
      </w:hyperlink>
      <w:r>
        <w:t xml:space="preserve">.</w:t>
      </w:r>
    </w:p>
    <w:bookmarkEnd w:id="169"/>
    <w:bookmarkStart w:id="171"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70">
        <w:r>
          <w:rPr>
            <w:rStyle w:val="Hyperlink"/>
          </w:rPr>
          <w:t xml:space="preserve">https://doi.org/10.1016/j.jmacro.2022.103438</w:t>
        </w:r>
      </w:hyperlink>
      <w:r>
        <w:t xml:space="preserve">.</w:t>
      </w:r>
    </w:p>
    <w:bookmarkEnd w:id="171"/>
    <w:bookmarkStart w:id="173" w:name="ref-chanda_kabiraj_district_convergence"/>
    <w:p>
      <w:pPr>
        <w:pStyle w:val="Bibliography"/>
      </w:pPr>
      <w:r>
        <w:t xml:space="preserve">Chanda, Areendam, and Sujana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72">
        <w:r>
          <w:rPr>
            <w:rStyle w:val="Hyperlink"/>
          </w:rPr>
          <w:t xml:space="preserve">https://doi.org/10.1016/j.worlddev.2020.104961</w:t>
        </w:r>
      </w:hyperlink>
      <w:r>
        <w:t xml:space="preserve">.</w:t>
      </w:r>
    </w:p>
    <w:bookmarkEnd w:id="173"/>
    <w:bookmarkStart w:id="175" w:name="ref-chen_etal_satellite_notebook"/>
    <w:p>
      <w:pPr>
        <w:pStyle w:val="Bibliography"/>
      </w:pPr>
      <w:r>
        <w:t xml:space="preserve">Chen, Meixu, Dominik Fahrner, Daniel Arribas-Bel, and Francisco Rowe. 2020.</w:t>
      </w:r>
      <w:r>
        <w:t xml:space="preserve"> </w:t>
      </w:r>
      <w:r>
        <w:t xml:space="preserve">“A Reproducible Notebook to Acquire, Process and Analyse Satellite Imagery: Exploring Long-Term Urban Changes.”</w:t>
      </w:r>
      <w:r>
        <w:t xml:space="preserve"> </w:t>
      </w:r>
      <w:r>
        <w:rPr>
          <w:i/>
          <w:iCs/>
        </w:rPr>
        <w:t xml:space="preserve">REGION</w:t>
      </w:r>
      <w:r>
        <w:t xml:space="preserve"> </w:t>
      </w:r>
      <w:r>
        <w:t xml:space="preserve">7 (2): R15–46.</w:t>
      </w:r>
      <w:r>
        <w:t xml:space="preserve"> </w:t>
      </w:r>
      <w:hyperlink r:id="rId174">
        <w:r>
          <w:rPr>
            <w:rStyle w:val="Hyperlink"/>
          </w:rPr>
          <w:t xml:space="preserve">https://doi.org/10.18335/region.v7i2.295</w:t>
        </w:r>
      </w:hyperlink>
      <w:r>
        <w:t xml:space="preserve">.</w:t>
      </w:r>
    </w:p>
    <w:bookmarkEnd w:id="175"/>
    <w:bookmarkStart w:id="177"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76">
        <w:r>
          <w:rPr>
            <w:rStyle w:val="Hyperlink"/>
          </w:rPr>
          <w:t xml:space="preserve">https://doi.org/10.1073/pnas.1017031108</w:t>
        </w:r>
      </w:hyperlink>
      <w:r>
        <w:t xml:space="preserve">.</w:t>
      </w:r>
    </w:p>
    <w:bookmarkEnd w:id="177"/>
    <w:bookmarkStart w:id="179" w:name="ref-chen_nordhaus_viirs_crosssection"/>
    <w:p>
      <w:pPr>
        <w:pStyle w:val="Bibliography"/>
      </w:pPr>
      <w:r>
        <w:t xml:space="preserve">———. 2019.</w:t>
      </w:r>
      <w:r>
        <w:t xml:space="preserve"> </w:t>
      </w:r>
      <w:r>
        <w:t xml:space="preserve">“VIIRS Nighttime Lights in the Estimation of Cross-Sectional and Time-Series GDP.”</w:t>
      </w:r>
      <w:r>
        <w:t xml:space="preserve"> </w:t>
      </w:r>
      <w:r>
        <w:rPr>
          <w:i/>
          <w:iCs/>
        </w:rPr>
        <w:t xml:space="preserve">Remote Sensing</w:t>
      </w:r>
      <w:r>
        <w:t xml:space="preserve"> </w:t>
      </w:r>
      <w:r>
        <w:t xml:space="preserve">11 (9): 1057.</w:t>
      </w:r>
      <w:r>
        <w:t xml:space="preserve"> </w:t>
      </w:r>
      <w:hyperlink r:id="rId178">
        <w:r>
          <w:rPr>
            <w:rStyle w:val="Hyperlink"/>
          </w:rPr>
          <w:t xml:space="preserve">https://doi.org/10.3390/rs11091057</w:t>
        </w:r>
      </w:hyperlink>
      <w:r>
        <w:t xml:space="preserve">.</w:t>
      </w:r>
    </w:p>
    <w:bookmarkEnd w:id="179"/>
    <w:bookmarkStart w:id="181" w:name="ref-chen_etal_turkey_viirs"/>
    <w:p>
      <w:pPr>
        <w:pStyle w:val="Bibliography"/>
      </w:pPr>
      <w:r>
        <w:t xml:space="preserve">Chen, Yilin, Uğur Ursavaş,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w:t>
      </w:r>
      <w:r>
        <w:t xml:space="preserve"> </w:t>
      </w:r>
      <w:hyperlink r:id="rId180">
        <w:r>
          <w:rPr>
            <w:rStyle w:val="Hyperlink"/>
          </w:rPr>
          <w:t xml:space="preserve">https://doi.org/10.1007/s12076-024-00375-x</w:t>
        </w:r>
      </w:hyperlink>
      <w:r>
        <w:t xml:space="preserve">.</w:t>
      </w:r>
    </w:p>
    <w:bookmarkEnd w:id="181"/>
    <w:bookmarkStart w:id="183" w:name="ref-chiovelli_global_south"/>
    <w:p>
      <w:pPr>
        <w:pStyle w:val="Bibliography"/>
      </w:pPr>
      <w:r>
        <w:t xml:space="preserve">Chiovelli, Giorgio, Stelios Michalopoulos, Elias Papaioannou, and Tanner Regan. 2026.</w:t>
      </w:r>
      <w:r>
        <w:t xml:space="preserve"> </w:t>
      </w:r>
      <w:r>
        <w:t xml:space="preserve">“Illuminating the Global South.”</w:t>
      </w:r>
      <w:r>
        <w:t xml:space="preserve"> </w:t>
      </w:r>
      <w:r>
        <w:rPr>
          <w:i/>
          <w:iCs/>
        </w:rPr>
        <w:t xml:space="preserve">The Economic Journal</w:t>
      </w:r>
      <w:r>
        <w:t xml:space="preserve">.</w:t>
      </w:r>
      <w:r>
        <w:t xml:space="preserve"> </w:t>
      </w:r>
      <w:hyperlink r:id="rId182">
        <w:r>
          <w:rPr>
            <w:rStyle w:val="Hyperlink"/>
          </w:rPr>
          <w:t xml:space="preserve">https://doi.org/10.1093/ej/ueaf134</w:t>
        </w:r>
      </w:hyperlink>
      <w:r>
        <w:t xml:space="preserve">.</w:t>
      </w:r>
    </w:p>
    <w:bookmarkEnd w:id="183"/>
    <w:bookmarkStart w:id="185" w:name="ref-cook_shah_nregs"/>
    <w:p>
      <w:pPr>
        <w:pStyle w:val="Bibliography"/>
      </w:pPr>
      <w:r>
        <w:t xml:space="preserve">Cook, C.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(4): 797–806.</w:t>
      </w:r>
      <w:r>
        <w:t xml:space="preserve"> </w:t>
      </w:r>
      <w:hyperlink r:id="rId184">
        <w:r>
          <w:rPr>
            <w:rStyle w:val="Hyperlink"/>
          </w:rPr>
          <w:t xml:space="preserve">https://doi.org/10.1162/rest_a_00993</w:t>
        </w:r>
      </w:hyperlink>
      <w:r>
        <w:t xml:space="preserve">.</w:t>
      </w:r>
    </w:p>
    <w:bookmarkEnd w:id="185"/>
    <w:bookmarkStart w:id="187" w:name="ref-diop_africa_spillovers"/>
    <w:p>
      <w:pPr>
        <w:pStyle w:val="Bibliography"/>
      </w:pPr>
      <w:r>
        <w:t xml:space="preserve">Diop, Samba. 2018.</w:t>
      </w:r>
      <w:r>
        <w:t xml:space="preserve"> </w:t>
      </w:r>
      <w:r>
        <w:t xml:space="preserve">“Convergence and Spillover Effects in</w:t>
      </w:r>
      <w:r>
        <w:t xml:space="preserve"> </w:t>
      </w:r>
      <w:r>
        <w:t xml:space="preserve">Africa</w:t>
      </w:r>
      <w:r>
        <w:t xml:space="preserve">: A Spatial Panel Data Approach.”</w:t>
      </w:r>
      <w:r>
        <w:t xml:space="preserve"> </w:t>
      </w:r>
      <w:r>
        <w:rPr>
          <w:i/>
          <w:iCs/>
        </w:rPr>
        <w:t xml:space="preserve">Journal of African Economies</w:t>
      </w:r>
      <w:r>
        <w:t xml:space="preserve"> </w:t>
      </w:r>
      <w:r>
        <w:t xml:space="preserve">27 (3): 274–84.</w:t>
      </w:r>
      <w:r>
        <w:t xml:space="preserve"> </w:t>
      </w:r>
      <w:hyperlink r:id="rId186">
        <w:r>
          <w:rPr>
            <w:rStyle w:val="Hyperlink"/>
          </w:rPr>
          <w:t xml:space="preserve">https://doi.org/10.1093/jae/ejx027</w:t>
        </w:r>
      </w:hyperlink>
      <w:r>
        <w:t xml:space="preserve">.</w:t>
      </w:r>
    </w:p>
    <w:bookmarkEnd w:id="187"/>
    <w:bookmarkStart w:id="189"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88">
        <w:r>
          <w:rPr>
            <w:rStyle w:val="Hyperlink"/>
          </w:rPr>
          <w:t xml:space="preserve">https://doi.org/10.1257/jep.30.4.171</w:t>
        </w:r>
      </w:hyperlink>
      <w:r>
        <w:t xml:space="preserve">.</w:t>
      </w:r>
    </w:p>
    <w:bookmarkEnd w:id="189"/>
    <w:bookmarkStart w:id="191"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90">
        <w:r>
          <w:rPr>
            <w:rStyle w:val="Hyperlink"/>
          </w:rPr>
          <w:t xml:space="preserve">https://doi.org/10.1002/jae.3950100404</w:t>
        </w:r>
      </w:hyperlink>
      <w:r>
        <w:t xml:space="preserve">.</w:t>
      </w:r>
    </w:p>
    <w:bookmarkEnd w:id="191"/>
    <w:bookmarkStart w:id="193"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92">
        <w:r>
          <w:rPr>
            <w:rStyle w:val="Hyperlink"/>
          </w:rPr>
          <w:t xml:space="preserve">https://doi.org/10.1080/01431161.2017.1342050</w:t>
        </w:r>
      </w:hyperlink>
      <w:r>
        <w:t xml:space="preserve">.</w:t>
      </w:r>
    </w:p>
    <w:bookmarkEnd w:id="193"/>
    <w:bookmarkStart w:id="195"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94">
        <w:r>
          <w:rPr>
            <w:rStyle w:val="Hyperlink"/>
          </w:rPr>
          <w:t xml:space="preserve">https://doi.org/10.1002/jae.963</w:t>
        </w:r>
      </w:hyperlink>
      <w:r>
        <w:t xml:space="preserve">.</w:t>
      </w:r>
    </w:p>
    <w:bookmarkEnd w:id="195"/>
    <w:bookmarkStart w:id="197"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96">
        <w:r>
          <w:rPr>
            <w:rStyle w:val="Hyperlink"/>
          </w:rPr>
          <w:t xml:space="preserve">https://doi.org/10.1007/s00168-010-0384-6</w:t>
        </w:r>
      </w:hyperlink>
      <w:r>
        <w:t xml:space="preserve">.</w:t>
      </w:r>
    </w:p>
    <w:bookmarkEnd w:id="197"/>
    <w:bookmarkStart w:id="199"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98">
        <w:r>
          <w:rPr>
            <w:rStyle w:val="Hyperlink"/>
          </w:rPr>
          <w:t xml:space="preserve">https://doi.org/10.1007/s10887-014-9105-9</w:t>
        </w:r>
      </w:hyperlink>
      <w:r>
        <w:t xml:space="preserve">.</w:t>
      </w:r>
    </w:p>
    <w:bookmarkEnd w:id="199"/>
    <w:bookmarkStart w:id="201"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200">
        <w:r>
          <w:rPr>
            <w:rStyle w:val="Hyperlink"/>
          </w:rPr>
          <w:t xml:space="preserve">https://doi.org/10.1016/j.jdeveco.2020.102602</w:t>
        </w:r>
      </w:hyperlink>
      <w:r>
        <w:t xml:space="preserve">.</w:t>
      </w:r>
    </w:p>
    <w:bookmarkEnd w:id="201"/>
    <w:bookmarkStart w:id="203"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 </w:t>
      </w:r>
      <w:r>
        <w:t xml:space="preserve">57: 10677–93.</w:t>
      </w:r>
      <w:r>
        <w:t xml:space="preserve"> </w:t>
      </w:r>
      <w:hyperlink r:id="rId202">
        <w:r>
          <w:rPr>
            <w:rStyle w:val="Hyperlink"/>
          </w:rPr>
          <w:t xml:space="preserve">https://doi.org/10.1080/00036846.2024.2439583</w:t>
        </w:r>
      </w:hyperlink>
      <w:r>
        <w:t xml:space="preserve">.</w:t>
      </w:r>
    </w:p>
    <w:bookmarkEnd w:id="203"/>
    <w:bookmarkStart w:id="205"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204">
        <w:r>
          <w:rPr>
            <w:rStyle w:val="Hyperlink"/>
          </w:rPr>
          <w:t xml:space="preserve">https://doi.org/10.1016/j.rse.2017.06.031</w:t>
        </w:r>
      </w:hyperlink>
      <w:r>
        <w:t xml:space="preserve">.</w:t>
      </w:r>
    </w:p>
    <w:bookmarkEnd w:id="205"/>
    <w:bookmarkStart w:id="207" w:name="ref-hasan_etal_backward_districts"/>
    <w:p>
      <w:pPr>
        <w:pStyle w:val="Bibliography"/>
      </w:pPr>
      <w:r>
        <w:t xml:space="preserve">Hasan, Rana, Yi Jiang, and Radine Michelle Rafols. 2021.</w:t>
      </w:r>
      <w:r>
        <w:t xml:space="preserve"> </w:t>
      </w:r>
      <w:r>
        <w:t xml:space="preserve">“Place-Based Preferential Tax Policy and Industrial Development: Evidence from</w:t>
      </w:r>
      <w:r>
        <w:t xml:space="preserve"> </w:t>
      </w:r>
      <w:r>
        <w:t xml:space="preserve">India</w:t>
      </w:r>
      <w:r>
        <w:t xml:space="preserve">’s Program on Industrially Backward Districts.”</w:t>
      </w:r>
      <w:r>
        <w:t xml:space="preserve"> </w:t>
      </w:r>
      <w:r>
        <w:rPr>
          <w:i/>
          <w:iCs/>
        </w:rPr>
        <w:t xml:space="preserve">Journal of Development Economics</w:t>
      </w:r>
      <w:r>
        <w:t xml:space="preserve"> </w:t>
      </w:r>
      <w:r>
        <w:t xml:space="preserve">150: 102621.</w:t>
      </w:r>
      <w:r>
        <w:t xml:space="preserve"> </w:t>
      </w:r>
      <w:hyperlink r:id="rId206">
        <w:r>
          <w:rPr>
            <w:rStyle w:val="Hyperlink"/>
          </w:rPr>
          <w:t xml:space="preserve">https://doi.org/10.1016/j.jdeveco.2020.102621</w:t>
        </w:r>
      </w:hyperlink>
      <w:r>
        <w:t xml:space="preserve">.</w:t>
      </w:r>
    </w:p>
    <w:bookmarkEnd w:id="207"/>
    <w:bookmarkStart w:id="209"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208">
        <w:r>
          <w:rPr>
            <w:rStyle w:val="Hyperlink"/>
          </w:rPr>
          <w:t xml:space="preserve">https://doi.org/10.1257/aer.102.2.994</w:t>
        </w:r>
      </w:hyperlink>
      <w:r>
        <w:t xml:space="preserve">.</w:t>
      </w:r>
    </w:p>
    <w:bookmarkEnd w:id="209"/>
    <w:bookmarkStart w:id="211" w:name="ref-isla_castillo_etal_eu_cohesion"/>
    <w:p>
      <w:pPr>
        <w:pStyle w:val="Bibliography"/>
      </w:pPr>
      <w:r>
        <w:t xml:space="preserve">Isla-Castillo, Fernando, Anna Garashchuk, and Pablo Podadera-Rivera. 2024.</w:t>
      </w:r>
      <w:r>
        <w:t xml:space="preserve"> </w:t>
      </w:r>
      <w:r>
        <w:t xml:space="preserve">“Cross-Sectional and Spatial Panel Data Analysis of Territorial Economic Cohesion in the</w:t>
      </w:r>
      <w:r>
        <w:t xml:space="preserve"> </w:t>
      </w:r>
      <w:r>
        <w:t xml:space="preserve">European Union</w:t>
      </w:r>
      <w:r>
        <w:t xml:space="preserve"> </w:t>
      </w:r>
      <w:r>
        <w:t xml:space="preserve">Regions Based on Convergence Approach: From 2 to 8 Per Cent?”</w:t>
      </w:r>
      <w:r>
        <w:t xml:space="preserve"> </w:t>
      </w:r>
      <w:r>
        <w:rPr>
          <w:i/>
          <w:iCs/>
        </w:rPr>
        <w:t xml:space="preserve">Socio-Economic Planning Sciences</w:t>
      </w:r>
      <w:r>
        <w:t xml:space="preserve"> </w:t>
      </w:r>
      <w:r>
        <w:t xml:space="preserve">95: 102012.</w:t>
      </w:r>
      <w:r>
        <w:t xml:space="preserve"> </w:t>
      </w:r>
      <w:hyperlink r:id="rId210">
        <w:r>
          <w:rPr>
            <w:rStyle w:val="Hyperlink"/>
          </w:rPr>
          <w:t xml:space="preserve">https://doi.org/10.1016/j.seps.2024.102012</w:t>
        </w:r>
      </w:hyperlink>
      <w:r>
        <w:t xml:space="preserve">.</w:t>
      </w:r>
    </w:p>
    <w:bookmarkEnd w:id="211"/>
    <w:bookmarkStart w:id="213"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212">
        <w:r>
          <w:rPr>
            <w:rStyle w:val="Hyperlink"/>
          </w:rPr>
          <w:t xml:space="preserve">https://doi.org/10.1126/science.aaf7894</w:t>
        </w:r>
      </w:hyperlink>
      <w:r>
        <w:t xml:space="preserve">.</w:t>
      </w:r>
    </w:p>
    <w:bookmarkEnd w:id="213"/>
    <w:bookmarkStart w:id="215"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214">
        <w:r>
          <w:rPr>
            <w:rStyle w:val="Hyperlink"/>
          </w:rPr>
          <w:t xml:space="preserve">https://doi.org/10.1086/725058</w:t>
        </w:r>
      </w:hyperlink>
      <w:r>
        <w:t xml:space="preserve">.</w:t>
      </w:r>
    </w:p>
    <w:bookmarkEnd w:id="215"/>
    <w:bookmarkStart w:id="217" w:name="ref-jhamb_africa_nightlights"/>
    <w:p>
      <w:pPr>
        <w:pStyle w:val="Bibliography"/>
      </w:pPr>
      <w:r>
        <w:t xml:space="preserve">Jhamb, Prachi, Susana Ferreira, Patrick Stephens, Mekala Sundaram, and Jonathan Wilson. 2025.</w:t>
      </w:r>
      <w:r>
        <w:t xml:space="preserve"> </w:t>
      </w:r>
      <w:r>
        <w:t xml:space="preserve">“Shedding Light on Development: Leveraging the New Nightlights Data to Measure Economic Progress.”</w:t>
      </w:r>
      <w:r>
        <w:t xml:space="preserve"> </w:t>
      </w:r>
      <w:r>
        <w:rPr>
          <w:i/>
          <w:iCs/>
        </w:rPr>
        <w:t xml:space="preserve">PLOS ONE</w:t>
      </w:r>
      <w:r>
        <w:t xml:space="preserve"> </w:t>
      </w:r>
      <w:r>
        <w:t xml:space="preserve">20 (2): e0318482.</w:t>
      </w:r>
      <w:r>
        <w:t xml:space="preserve"> </w:t>
      </w:r>
      <w:hyperlink r:id="rId216">
        <w:r>
          <w:rPr>
            <w:rStyle w:val="Hyperlink"/>
          </w:rPr>
          <w:t xml:space="preserve">https://doi.org/10.1371/journal.pone.0318482</w:t>
        </w:r>
      </w:hyperlink>
      <w:r>
        <w:t xml:space="preserve">.</w:t>
      </w:r>
    </w:p>
    <w:bookmarkEnd w:id="217"/>
    <w:bookmarkStart w:id="219" w:name="ref-kacou_africa_convergence"/>
    <w:p>
      <w:pPr>
        <w:pStyle w:val="Bibliography"/>
      </w:pPr>
      <w:r>
        <w:t xml:space="preserve">Kacou, Kacou Yves Thierry. 2022.</w:t>
      </w:r>
      <w:r>
        <w:t xml:space="preserve"> </w:t>
      </w:r>
      <w:r>
        <w:t xml:space="preserve">“Interregional Inequality in Africa, Convergence, and Multiple Equilibria: Evidence from Nighttime Light Data.”</w:t>
      </w:r>
      <w:r>
        <w:t xml:space="preserve"> </w:t>
      </w:r>
      <w:r>
        <w:rPr>
          <w:i/>
          <w:iCs/>
        </w:rPr>
        <w:t xml:space="preserve">Review of Development Economics</w:t>
      </w:r>
      <w:r>
        <w:t xml:space="preserve"> </w:t>
      </w:r>
      <w:r>
        <w:t xml:space="preserve">26 (2): 918–40.</w:t>
      </w:r>
      <w:r>
        <w:t xml:space="preserve"> </w:t>
      </w:r>
      <w:hyperlink r:id="rId218">
        <w:r>
          <w:rPr>
            <w:rStyle w:val="Hyperlink"/>
          </w:rPr>
          <w:t xml:space="preserve">https://doi.org/10.1111/rode.12851</w:t>
        </w:r>
      </w:hyperlink>
      <w:r>
        <w:t xml:space="preserve">.</w:t>
      </w:r>
    </w:p>
    <w:bookmarkEnd w:id="219"/>
    <w:bookmarkStart w:id="221"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220">
        <w:r>
          <w:rPr>
            <w:rStyle w:val="Hyperlink"/>
          </w:rPr>
          <w:t xml:space="preserve">https://doi.org/10.1016/j.worlddev.2014.08.017</w:t>
        </w:r>
      </w:hyperlink>
      <w:r>
        <w:t xml:space="preserve">.</w:t>
      </w:r>
    </w:p>
    <w:bookmarkEnd w:id="221"/>
    <w:bookmarkStart w:id="223" w:name="ref-theara_etal_cambodia_poverty"/>
    <w:p>
      <w:pPr>
        <w:pStyle w:val="Bibliography"/>
      </w:pPr>
      <w:r>
        <w:t xml:space="preserve">Khoun, Theara, Ate Poortinga, Nyein Soe Thwal, Iván González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(3): 1593–1618.</w:t>
      </w:r>
      <w:r>
        <w:t xml:space="preserve"> </w:t>
      </w:r>
      <w:hyperlink r:id="rId222">
        <w:r>
          <w:rPr>
            <w:rStyle w:val="Hyperlink"/>
          </w:rPr>
          <w:t xml:space="preserve">https://doi.org/10.1007/s11205-025-03718-3</w:t>
        </w:r>
      </w:hyperlink>
      <w:r>
        <w:t xml:space="preserve">.</w:t>
      </w:r>
    </w:p>
    <w:bookmarkEnd w:id="223"/>
    <w:bookmarkStart w:id="224"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224"/>
    <w:bookmarkStart w:id="226"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225">
        <w:r>
          <w:rPr>
            <w:rStyle w:val="Hyperlink"/>
          </w:rPr>
          <w:t xml:space="preserve">https://doi.org/10.1093/comjnl/27.2.97</w:t>
        </w:r>
      </w:hyperlink>
      <w:r>
        <w:t xml:space="preserve">.</w:t>
      </w:r>
    </w:p>
    <w:bookmarkEnd w:id="226"/>
    <w:bookmarkStart w:id="228" w:name="ref-lesage_pace_spatial_econometrics"/>
    <w:p>
      <w:pPr>
        <w:pStyle w:val="Bibliography"/>
      </w:pPr>
      <w:r>
        <w:t xml:space="preserve">LeSage, James P., and R. Kelley Pace. 2009.</w:t>
      </w:r>
      <w:r>
        <w:t xml:space="preserve"> </w:t>
      </w:r>
      <w:r>
        <w:rPr>
          <w:i/>
          <w:iCs/>
        </w:rPr>
        <w:t xml:space="preserve">Introduction to Spatial Econometrics</w:t>
      </w:r>
      <w:r>
        <w:t xml:space="preserve">.</w:t>
      </w:r>
      <w:r>
        <w:t xml:space="preserve"> </w:t>
      </w:r>
      <w:r>
        <w:t xml:space="preserve">Chapman and Hall/CRC</w:t>
      </w:r>
      <w:r>
        <w:t xml:space="preserve">.</w:t>
      </w:r>
      <w:r>
        <w:t xml:space="preserve"> </w:t>
      </w:r>
      <w:hyperlink r:id="rId227">
        <w:r>
          <w:rPr>
            <w:rStyle w:val="Hyperlink"/>
          </w:rPr>
          <w:t xml:space="preserve">https://doi.org/10.1201/9781420064254</w:t>
        </w:r>
      </w:hyperlink>
      <w:r>
        <w:t xml:space="preserve">.</w:t>
      </w:r>
    </w:p>
    <w:bookmarkEnd w:id="228"/>
    <w:bookmarkStart w:id="230"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229">
        <w:r>
          <w:rPr>
            <w:rStyle w:val="Hyperlink"/>
          </w:rPr>
          <w:t xml:space="preserve">https://doi.org/10.1016/j.euroecorev.2016.11.009</w:t>
        </w:r>
      </w:hyperlink>
      <w:r>
        <w:t xml:space="preserve">.</w:t>
      </w:r>
    </w:p>
    <w:bookmarkEnd w:id="230"/>
    <w:bookmarkStart w:id="232"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231">
        <w:r>
          <w:rPr>
            <w:rStyle w:val="Hyperlink"/>
          </w:rPr>
          <w:t xml:space="preserve">https://doi.org/10.1038/s41597-020-0510-y</w:t>
        </w:r>
      </w:hyperlink>
      <w:r>
        <w:t xml:space="preserve">.</w:t>
      </w:r>
    </w:p>
    <w:bookmarkEnd w:id="232"/>
    <w:bookmarkStart w:id="234" w:name="ref-lolayekar_mukhopadhyay_india_spatial"/>
    <w:p>
      <w:pPr>
        <w:pStyle w:val="Bibliography"/>
      </w:pPr>
      <w:r>
        <w:t xml:space="preserve">Lolayekar, Aparna P., and Pranab Mukhopadhyay. 2019.</w:t>
      </w:r>
      <w:r>
        <w:t xml:space="preserve"> </w:t>
      </w:r>
      <w:r>
        <w:t xml:space="preserve">“Spatial Dependence and Regional Income Convergence in</w:t>
      </w:r>
      <w:r>
        <w:t xml:space="preserve"> </w:t>
      </w:r>
      <w:r>
        <w:t xml:space="preserve">India</w:t>
      </w:r>
      <w:r>
        <w:t xml:space="preserve"> </w:t>
      </w:r>
      <w:r>
        <w:t xml:space="preserve">(1981–2010).”</w:t>
      </w:r>
      <w:r>
        <w:t xml:space="preserve"> </w:t>
      </w:r>
      <w:r>
        <w:rPr>
          <w:i/>
          <w:iCs/>
        </w:rPr>
        <w:t xml:space="preserve">GeoJournal</w:t>
      </w:r>
      <w:r>
        <w:t xml:space="preserve"> </w:t>
      </w:r>
      <w:r>
        <w:t xml:space="preserve">84 (4): 851–64.</w:t>
      </w:r>
      <w:r>
        <w:t xml:space="preserve"> </w:t>
      </w:r>
      <w:hyperlink r:id="rId233">
        <w:r>
          <w:rPr>
            <w:rStyle w:val="Hyperlink"/>
          </w:rPr>
          <w:t xml:space="preserve">https://doi.org/10.1007/s10708-018-9893-0</w:t>
        </w:r>
      </w:hyperlink>
      <w:r>
        <w:t xml:space="preserve">.</w:t>
      </w:r>
    </w:p>
    <w:bookmarkEnd w:id="234"/>
    <w:bookmarkStart w:id="236" w:name="ref-mccallum_unlit_settlements"/>
    <w:p>
      <w:pPr>
        <w:pStyle w:val="Bibliography"/>
      </w:pPr>
      <w:r>
        <w:t xml:space="preserve">McCallum, Ian, Christopher Conrad Maximillian Kyba, Juan Carlos Laso Bayas, Elena Moltchanova, Matt Cooper, Jesus Crespo Cuaresma, Shonali Pachauri, et al. 2022.</w:t>
      </w:r>
      <w:r>
        <w:t xml:space="preserve"> </w:t>
      </w:r>
      <w:r>
        <w:t xml:space="preserve">“Estimating Global Economic Well-Being with Unlit Settlements.”</w:t>
      </w:r>
      <w:r>
        <w:t xml:space="preserve"> </w:t>
      </w:r>
      <w:r>
        <w:rPr>
          <w:i/>
          <w:iCs/>
        </w:rPr>
        <w:t xml:space="preserve">Nature Communications</w:t>
      </w:r>
      <w:r>
        <w:t xml:space="preserve"> </w:t>
      </w:r>
      <w:r>
        <w:t xml:space="preserve">13 (1).</w:t>
      </w:r>
      <w:r>
        <w:t xml:space="preserve"> </w:t>
      </w:r>
      <w:hyperlink r:id="rId235">
        <w:r>
          <w:rPr>
            <w:rStyle w:val="Hyperlink"/>
          </w:rPr>
          <w:t xml:space="preserve">https://doi.org/10.1038/s41467-022-30099-9</w:t>
        </w:r>
      </w:hyperlink>
      <w:r>
        <w:t xml:space="preserve">.</w:t>
      </w:r>
    </w:p>
    <w:bookmarkEnd w:id="236"/>
    <w:bookmarkStart w:id="238"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237">
        <w:r>
          <w:rPr>
            <w:rStyle w:val="Hyperlink"/>
          </w:rPr>
          <w:t xml:space="preserve">https://doi.org/10.1371/journal.pone.0139779</w:t>
        </w:r>
      </w:hyperlink>
      <w:r>
        <w:t xml:space="preserve">.</w:t>
      </w:r>
    </w:p>
    <w:bookmarkEnd w:id="238"/>
    <w:bookmarkStart w:id="240" w:name="ref-min_etal_electrification"/>
    <w:p>
      <w:pPr>
        <w:pStyle w:val="Bibliography"/>
      </w:pPr>
      <w:r>
        <w:t xml:space="preserve">Min, Brian, Kwawu Mensan Gaba, Ousmane Fall Sarr, and Alassane Agalassou. 2013.</w:t>
      </w:r>
      <w:r>
        <w:t xml:space="preserve"> </w:t>
      </w:r>
      <w:r>
        <w:t xml:space="preserve">“Detection of Rural Electrification in Africa Using DMSP-OLS Night Lights Imagery.”</w:t>
      </w:r>
      <w:r>
        <w:t xml:space="preserve"> </w:t>
      </w:r>
      <w:r>
        <w:rPr>
          <w:i/>
          <w:iCs/>
        </w:rPr>
        <w:t xml:space="preserve">International Journal of Remote Sensing</w:t>
      </w:r>
      <w:r>
        <w:t xml:space="preserve"> </w:t>
      </w:r>
      <w:r>
        <w:t xml:space="preserve">34 (22): 8118–41.</w:t>
      </w:r>
      <w:r>
        <w:t xml:space="preserve"> </w:t>
      </w:r>
      <w:hyperlink r:id="rId239">
        <w:r>
          <w:rPr>
            <w:rStyle w:val="Hyperlink"/>
          </w:rPr>
          <w:t xml:space="preserve">https://doi.org/10.1080/01431161.2013.833358</w:t>
        </w:r>
      </w:hyperlink>
      <w:r>
        <w:t xml:space="preserve">.</w:t>
      </w:r>
    </w:p>
    <w:bookmarkEnd w:id="240"/>
    <w:bookmarkStart w:id="242" w:name="ref-miranti_mendez_indonesia"/>
    <w:p>
      <w:pPr>
        <w:pStyle w:val="Bibliography"/>
      </w:pPr>
      <w:r>
        <w:t xml:space="preserve">Miranti, Ragdad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241">
        <w:r>
          <w:rPr>
            <w:rStyle w:val="Hyperlink"/>
          </w:rPr>
          <w:t xml:space="preserve">https://doi.org/10.1080/00074918.2022.2071415</w:t>
        </w:r>
      </w:hyperlink>
      <w:r>
        <w:t xml:space="preserve">.</w:t>
      </w:r>
    </w:p>
    <w:bookmarkEnd w:id="242"/>
    <w:bookmarkStart w:id="244"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243">
        <w:r>
          <w:rPr>
            <w:rStyle w:val="Hyperlink"/>
          </w:rPr>
          <w:t xml:space="preserve">https://doi.org/10.2307/2332142</w:t>
        </w:r>
      </w:hyperlink>
      <w:r>
        <w:t xml:space="preserve">.</w:t>
      </w:r>
    </w:p>
    <w:bookmarkEnd w:id="244"/>
    <w:bookmarkStart w:id="246" w:name="ref-mendez_patnaik_notebook"/>
    <w:p>
      <w:pPr>
        <w:pStyle w:val="Bibliography"/>
      </w:pPr>
      <w:r>
        <w:t xml:space="preserve">Patnaik, Ayush, and Carlos Mendez. 2024.</w:t>
      </w:r>
      <w:r>
        <w:t xml:space="preserve"> </w:t>
      </w:r>
      <w:r>
        <w:t xml:space="preserve">“Exploring Economic Activity from Outer Space: A</w:t>
      </w:r>
      <w:r>
        <w:t xml:space="preserve"> </w:t>
      </w:r>
      <w:r>
        <w:t xml:space="preserve">Python</w:t>
      </w:r>
      <w:r>
        <w:t xml:space="preserve"> </w:t>
      </w:r>
      <w:r>
        <w:t xml:space="preserve">Notebook for Processing and Analyzing Satellite Nighttime Lights.”</w:t>
      </w:r>
      <w:r>
        <w:t xml:space="preserve"> </w:t>
      </w:r>
      <w:r>
        <w:rPr>
          <w:i/>
          <w:iCs/>
        </w:rPr>
        <w:t xml:space="preserve">REGION</w:t>
      </w:r>
      <w:r>
        <w:t xml:space="preserve"> </w:t>
      </w:r>
      <w:r>
        <w:t xml:space="preserve">11 (1): 79–109.</w:t>
      </w:r>
      <w:r>
        <w:t xml:space="preserve"> </w:t>
      </w:r>
      <w:hyperlink r:id="rId245">
        <w:r>
          <w:rPr>
            <w:rStyle w:val="Hyperlink"/>
          </w:rPr>
          <w:t xml:space="preserve">https://doi.org/10.18335/region.v11i1.493</w:t>
        </w:r>
      </w:hyperlink>
      <w:r>
        <w:t xml:space="preserve">.</w:t>
      </w:r>
    </w:p>
    <w:bookmarkEnd w:id="246"/>
    <w:bookmarkStart w:id="248"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247">
        <w:r>
          <w:rPr>
            <w:rStyle w:val="Hyperlink"/>
          </w:rPr>
          <w:t xml:space="preserve">https://doi.org/10.1126/science.1213847</w:t>
        </w:r>
      </w:hyperlink>
      <w:r>
        <w:t xml:space="preserve">.</w:t>
      </w:r>
    </w:p>
    <w:bookmarkEnd w:id="248"/>
    <w:bookmarkStart w:id="250"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249">
        <w:r>
          <w:rPr>
            <w:rStyle w:val="Hyperlink"/>
          </w:rPr>
          <w:t xml:space="preserve">https://doi.org/10.1093/qje/qjw003</w:t>
        </w:r>
      </w:hyperlink>
      <w:r>
        <w:t xml:space="preserve">.</w:t>
      </w:r>
    </w:p>
    <w:bookmarkEnd w:id="250"/>
    <w:bookmarkStart w:id="252"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The Economic Journal</w:t>
      </w:r>
      <w:r>
        <w:t xml:space="preserve"> </w:t>
      </w:r>
      <w:r>
        <w:t xml:space="preserve">106 (437): 1045–55.</w:t>
      </w:r>
      <w:r>
        <w:t xml:space="preserve"> </w:t>
      </w:r>
      <w:hyperlink r:id="rId251">
        <w:r>
          <w:rPr>
            <w:rStyle w:val="Hyperlink"/>
          </w:rPr>
          <w:t xml:space="preserve">https://doi.org/10.2307/2235377</w:t>
        </w:r>
      </w:hyperlink>
      <w:r>
        <w:t xml:space="preserve">.</w:t>
      </w:r>
    </w:p>
    <w:bookmarkEnd w:id="252"/>
    <w:bookmarkStart w:id="254" w:name="ref-rey_spatial_inequality"/>
    <w:p>
      <w:pPr>
        <w:pStyle w:val="Bibliography"/>
      </w:pPr>
      <w:r>
        <w:t xml:space="preserve">Rey, Sergio J. 2025.</w:t>
      </w:r>
      <w:r>
        <w:t xml:space="preserve"> </w:t>
      </w:r>
      <w:r>
        <w:t xml:space="preserve">“Spatial Inequality.”</w:t>
      </w:r>
      <w:r>
        <w:t xml:space="preserve"> </w:t>
      </w:r>
      <w:r>
        <w:rPr>
          <w:i/>
          <w:iCs/>
        </w:rPr>
        <w:t xml:space="preserve">REGION</w:t>
      </w:r>
      <w:r>
        <w:t xml:space="preserve"> </w:t>
      </w:r>
      <w:r>
        <w:t xml:space="preserve">12 (1): 19–45.</w:t>
      </w:r>
      <w:r>
        <w:t xml:space="preserve"> </w:t>
      </w:r>
      <w:hyperlink r:id="rId253">
        <w:r>
          <w:rPr>
            <w:rStyle w:val="Hyperlink"/>
          </w:rPr>
          <w:t xml:space="preserve">https://doi.org/10.18335/region.v12i1.563</w:t>
        </w:r>
      </w:hyperlink>
      <w:r>
        <w:t xml:space="preserve">.</w:t>
      </w:r>
    </w:p>
    <w:bookmarkEnd w:id="254"/>
    <w:bookmarkStart w:id="256"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255">
        <w:r>
          <w:rPr>
            <w:rStyle w:val="Hyperlink"/>
          </w:rPr>
          <w:t xml:space="preserve">https://doi.org/10.1080/00343409950122945</w:t>
        </w:r>
      </w:hyperlink>
      <w:r>
        <w:t xml:space="preserve">.</w:t>
      </w:r>
    </w:p>
    <w:bookmarkEnd w:id="256"/>
    <w:bookmarkStart w:id="258" w:name="ref-rowe_etal_notebooks_region"/>
    <w:p>
      <w:pPr>
        <w:pStyle w:val="Bibliography"/>
      </w:pPr>
      <w:r>
        <w:t xml:space="preserve">Rowe, Francisco, Gunther Maier, Daniel Arribas-Bel, and Sergio J. Rey. 2020.</w:t>
      </w:r>
      <w:r>
        <w:t xml:space="preserve"> </w:t>
      </w:r>
      <w:r>
        <w:t xml:space="preserve">“The Potential of Notebooks for Scientific Publication, Reproducibility and Dissemination.”</w:t>
      </w:r>
      <w:r>
        <w:t xml:space="preserve"> </w:t>
      </w:r>
      <w:r>
        <w:rPr>
          <w:i/>
          <w:iCs/>
        </w:rPr>
        <w:t xml:space="preserve">REGION</w:t>
      </w:r>
      <w:r>
        <w:t xml:space="preserve"> </w:t>
      </w:r>
      <w:r>
        <w:t xml:space="preserve">7 (3): E1–5.</w:t>
      </w:r>
      <w:r>
        <w:t xml:space="preserve"> </w:t>
      </w:r>
      <w:hyperlink r:id="rId257">
        <w:r>
          <w:rPr>
            <w:rStyle w:val="Hyperlink"/>
          </w:rPr>
          <w:t xml:space="preserve">https://doi.org/10.18335/region.v7i3.357</w:t>
        </w:r>
      </w:hyperlink>
      <w:r>
        <w:t xml:space="preserve">.</w:t>
      </w:r>
    </w:p>
    <w:bookmarkEnd w:id="258"/>
    <w:bookmarkStart w:id="260" w:name="ref-salaimartin_regional_cohesion"/>
    <w:p>
      <w:pPr>
        <w:pStyle w:val="Bibliography"/>
      </w:pPr>
      <w:r>
        <w:t xml:space="preserve">Sala-i-Martin, Xavier X. 1996.</w:t>
      </w:r>
      <w:r>
        <w:t xml:space="preserve"> </w:t>
      </w:r>
      <w:r>
        <w:t xml:space="preserve">“Regional Cohesion: Evidence and Theories of Regional Growth and Convergence.”</w:t>
      </w:r>
      <w:r>
        <w:t xml:space="preserve"> </w:t>
      </w:r>
      <w:r>
        <w:rPr>
          <w:i/>
          <w:iCs/>
        </w:rPr>
        <w:t xml:space="preserve">European Economic Review</w:t>
      </w:r>
      <w:r>
        <w:t xml:space="preserve"> </w:t>
      </w:r>
      <w:r>
        <w:t xml:space="preserve">40 (6): 1325–52.</w:t>
      </w:r>
      <w:r>
        <w:t xml:space="preserve"> </w:t>
      </w:r>
      <w:hyperlink r:id="rId259">
        <w:r>
          <w:rPr>
            <w:rStyle w:val="Hyperlink"/>
          </w:rPr>
          <w:t xml:space="preserve">https://doi.org/10.1016/0014-2921(95)00029-1</w:t>
        </w:r>
      </w:hyperlink>
      <w:r>
        <w:t xml:space="preserve">.</w:t>
      </w:r>
    </w:p>
    <w:bookmarkEnd w:id="260"/>
    <w:bookmarkStart w:id="262" w:name="X3aa37239e680d6f1988fa1ee8ed5804c136afe7"/>
    <w:p>
      <w:pPr>
        <w:pStyle w:val="Bibliography"/>
      </w:pPr>
      <w:r>
        <w:t xml:space="preserve">Santos-Marquez, Felipe, Anang Budi Gunawan, and Carlos Mendez. 2022.</w:t>
      </w:r>
      <w:r>
        <w:t xml:space="preserve"> </w:t>
      </w:r>
      <w:r>
        <w:t xml:space="preserve">“Regional Income Disparities, Distributional Convergence, and Spatial Effects: Evidence from</w:t>
      </w:r>
      <w:r>
        <w:t xml:space="preserve"> </w:t>
      </w:r>
      <w:r>
        <w:t xml:space="preserve">Indonesian</w:t>
      </w:r>
      <w:r>
        <w:t xml:space="preserve"> </w:t>
      </w:r>
      <w:r>
        <w:t xml:space="preserve">Regions 2010–2017.”</w:t>
      </w:r>
      <w:r>
        <w:t xml:space="preserve"> </w:t>
      </w:r>
      <w:r>
        <w:rPr>
          <w:i/>
          <w:iCs/>
        </w:rPr>
        <w:t xml:space="preserve">GeoJournal</w:t>
      </w:r>
      <w:r>
        <w:t xml:space="preserve"> </w:t>
      </w:r>
      <w:r>
        <w:t xml:space="preserve">87 (3): 2373–91.</w:t>
      </w:r>
      <w:r>
        <w:t xml:space="preserve"> </w:t>
      </w:r>
      <w:hyperlink r:id="rId261">
        <w:r>
          <w:rPr>
            <w:rStyle w:val="Hyperlink"/>
          </w:rPr>
          <w:t xml:space="preserve">https://doi.org/10.1007/s10708-021-10377-7</w:t>
        </w:r>
      </w:hyperlink>
      <w:r>
        <w:t xml:space="preserve">.</w:t>
      </w:r>
    </w:p>
    <w:bookmarkEnd w:id="262"/>
    <w:bookmarkStart w:id="264" w:name="ref-shenoy_place_based_policy"/>
    <w:p>
      <w:pPr>
        <w:pStyle w:val="Bibliography"/>
      </w:pPr>
      <w:r>
        <w:t xml:space="preserve">Shenoy, Ajay. 2018.</w:t>
      </w:r>
      <w:r>
        <w:t xml:space="preserve"> </w:t>
      </w:r>
      <w:r>
        <w:t xml:space="preserve">“Regional Development Through Place-Based Policies: Evidence from a Spatial Discontinuity.”</w:t>
      </w:r>
      <w:r>
        <w:t xml:space="preserve"> </w:t>
      </w:r>
      <w:r>
        <w:rPr>
          <w:i/>
          <w:iCs/>
        </w:rPr>
        <w:t xml:space="preserve">Journal of Development Economics</w:t>
      </w:r>
      <w:r>
        <w:t xml:space="preserve"> </w:t>
      </w:r>
      <w:r>
        <w:t xml:space="preserve">130: 173–89.</w:t>
      </w:r>
      <w:r>
        <w:t xml:space="preserve"> </w:t>
      </w:r>
      <w:hyperlink r:id="rId263">
        <w:r>
          <w:rPr>
            <w:rStyle w:val="Hyperlink"/>
          </w:rPr>
          <w:t xml:space="preserve">https://doi.org/10.1016/j.jdeveco.2017.10.001</w:t>
        </w:r>
      </w:hyperlink>
      <w:r>
        <w:t xml:space="preserve">.</w:t>
      </w:r>
    </w:p>
    <w:bookmarkEnd w:id="264"/>
    <w:bookmarkStart w:id="266"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265">
        <w:r>
          <w:rPr>
            <w:rStyle w:val="Hyperlink"/>
          </w:rPr>
          <w:t xml:space="preserve">https://doi.org/10.2307/1884513</w:t>
        </w:r>
      </w:hyperlink>
      <w:r>
        <w:t xml:space="preserve">.</w:t>
      </w:r>
    </w:p>
    <w:bookmarkEnd w:id="266"/>
    <w:bookmarkStart w:id="268" w:name="ref-hussein_etal_vietnam_ml"/>
    <w:p>
      <w:pPr>
        <w:pStyle w:val="Bibliography"/>
      </w:pPr>
      <w:r>
        <w:t xml:space="preserve">Suleiman, Hussein,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5.</w:t>
      </w:r>
      <w:r>
        <w:t xml:space="preserve"> </w:t>
      </w:r>
      <w:hyperlink r:id="rId267">
        <w:r>
          <w:rPr>
            <w:rStyle w:val="Hyperlink"/>
          </w:rPr>
          <w:t xml:space="preserve">https://doi.org/10.1007/s12076-025-00397-z</w:t>
        </w:r>
      </w:hyperlink>
      <w:r>
        <w:t xml:space="preserve">.</w:t>
      </w:r>
    </w:p>
    <w:bookmarkEnd w:id="268"/>
    <w:bookmarkStart w:id="270"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269">
        <w:r>
          <w:rPr>
            <w:rStyle w:val="Hyperlink"/>
          </w:rPr>
          <w:t xml:space="preserve">https://doi.org/10.1016/j.isprsjprs.2020.04.001</w:t>
        </w:r>
      </w:hyperlink>
      <w:r>
        <w:t xml:space="preserve">.</w:t>
      </w:r>
    </w:p>
    <w:bookmarkEnd w:id="270"/>
    <w:bookmarkStart w:id="272"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271">
        <w:r>
          <w:rPr>
            <w:rStyle w:val="Hyperlink"/>
          </w:rPr>
          <w:t xml:space="preserve">https://doi.org/10.1080/13547860.2022.2041286</w:t>
        </w:r>
      </w:hyperlink>
      <w:r>
        <w:t xml:space="preserve">.</w:t>
      </w:r>
    </w:p>
    <w:bookmarkEnd w:id="272"/>
    <w:bookmarkStart w:id="274"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273">
        <w:r>
          <w:rPr>
            <w:rStyle w:val="Hyperlink"/>
          </w:rPr>
          <w:t xml:space="preserve">https://doi.org/10.1111/polp.70050</w:t>
        </w:r>
      </w:hyperlink>
      <w:r>
        <w:t xml:space="preserve">.</w:t>
      </w:r>
    </w:p>
    <w:bookmarkEnd w:id="274"/>
    <w:bookmarkStart w:id="276" w:name="ref-ursavas_mendez_turkey"/>
    <w:p>
      <w:pPr>
        <w:pStyle w:val="Bibliography"/>
      </w:pPr>
      <w:r>
        <w:t xml:space="preserve">Ursavaş, Uğur,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275">
        <w:r>
          <w:rPr>
            <w:rStyle w:val="Hyperlink"/>
          </w:rPr>
          <w:t xml:space="preserve">https://doi.org/10.1007/s00168-022-01168-0</w:t>
        </w:r>
      </w:hyperlink>
      <w:r>
        <w:t xml:space="preserve">.</w:t>
      </w:r>
    </w:p>
    <w:bookmarkEnd w:id="276"/>
    <w:bookmarkStart w:id="278" w:name="ref-witmer_lights_conflict"/>
    <w:p>
      <w:pPr>
        <w:pStyle w:val="Bibliography"/>
      </w:pPr>
      <w:r>
        <w:t xml:space="preserve">Witmer, Frank D. W., and John O’Loughlin. 2011.</w:t>
      </w:r>
      <w:r>
        <w:t xml:space="preserve"> </w:t>
      </w:r>
      <w:r>
        <w:t xml:space="preserve">“Detecting the Effects of Wars in the Caucasus Regions of Russia and Georgia Using Radiometrically Normalized DMSP-OLS Nighttime Lights Imagery.”</w:t>
      </w:r>
      <w:r>
        <w:t xml:space="preserve"> </w:t>
      </w:r>
      <w:r>
        <w:rPr>
          <w:i/>
          <w:iCs/>
        </w:rPr>
        <w:t xml:space="preserve">GIScience &amp; Remote Sensing</w:t>
      </w:r>
      <w:r>
        <w:t xml:space="preserve"> </w:t>
      </w:r>
      <w:r>
        <w:t xml:space="preserve">48 (4): 478–500.</w:t>
      </w:r>
      <w:r>
        <w:t xml:space="preserve"> </w:t>
      </w:r>
      <w:hyperlink r:id="rId277">
        <w:r>
          <w:rPr>
            <w:rStyle w:val="Hyperlink"/>
          </w:rPr>
          <w:t xml:space="preserve">https://doi.org/10.2747/1548-1603.48.4.478</w:t>
        </w:r>
      </w:hyperlink>
      <w:r>
        <w:t xml:space="preserve">.</w:t>
      </w:r>
    </w:p>
    <w:bookmarkEnd w:id="278"/>
    <w:bookmarkEnd w:id="279"/>
    <w:bookmarkEnd w:id="2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Nighttime lights have been used in India to analyze the impact of public welfare programs</w:t>
      </w:r>
      <w:r>
        <w:t xml:space="preserve"> </w:t>
      </w:r>
      <w:r>
        <w:t xml:space="preserve">(Cook and Shah 2022)</w:t>
      </w:r>
      <w:r>
        <w:t xml:space="preserve">, the effects of colonial institutions</w:t>
      </w:r>
      <w:r>
        <w:t xml:space="preserve"> </w:t>
      </w:r>
      <w:r>
        <w:t xml:space="preserve">(Jha and Talathi 2024)</w:t>
      </w:r>
      <w:r>
        <w:t xml:space="preserve">, the impact of demonetization</w:t>
      </w:r>
      <w:r>
        <w:t xml:space="preserve"> </w:t>
      </w:r>
      <w:r>
        <w:t xml:space="preserve">(Chanda and Cook 2022)</w:t>
      </w:r>
      <w:r>
        <w:t xml:space="preserve">, and the effects of COVID-19</w:t>
      </w:r>
      <w:r>
        <w:t xml:space="preserve"> </w:t>
      </w:r>
      <w:r>
        <w:t xml:space="preserve">(Beyer, Jain, and Sinha 2023)</w:t>
      </w:r>
      <w:r>
        <w:t xml:space="preserve">.</w:t>
      </w:r>
    </w:p>
  </w:footnote>
  <w:footnote w:id="25">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half of the new districts were created in that manner.</w:t>
      </w:r>
      <w:r>
        <w:t xml:space="preserve"> </w:t>
      </w:r>
      <w:r>
        <w:t xml:space="preserve">The 73 districts not in our sample are those of Assam and Tripura, the union-territory districts outside Delhi, the eight by which Delhi’s nine are collapsed to one, and 28 multiple-origin districts and their parents.</w:t>
      </w:r>
    </w:p>
  </w:footnote>
  <w:footnote w:id="31">
    <w:p>
      <w:pPr>
        <w:pStyle w:val="FootnoteText"/>
      </w:pPr>
      <w:r>
        <w:rPr>
          <w:rStyle w:val="FootnoteReference"/>
        </w:rPr>
        <w:footnoteRef/>
      </w:r>
      <w:r>
        <w:t xml:space="preserve"> </w:t>
      </w:r>
      <w:r>
        <w:t xml:space="preserve">Geography and agro-climate comprise agricultural suitability, rainfall, temperature, a malaria ecology index, terrain ruggedness, latitude, and distance to the coast.</w:t>
      </w:r>
      <w:r>
        <w:t xml:space="preserve"> </w:t>
      </w:r>
      <w:r>
        <w:t xml:space="preserve">Demographics and human capital comprise the rural population share, log population density, the scheduled caste and scheduled tribe shares, the working population share, and the literate and higher-educated shares.</w:t>
      </w:r>
      <w:r>
        <w:t xml:space="preserve"> </w:t>
      </w:r>
      <w:r>
        <w:t xml:space="preserve">Infrastructure comprises the share of households with an electricity connection and the log number of households with access to paved roads.</w:t>
      </w:r>
    </w:p>
  </w:footnote>
  <w:footnote w:id="34">
    <w:p>
      <w:pPr>
        <w:pStyle w:val="FootnoteText"/>
      </w:pPr>
      <w:r>
        <w:rPr>
          <w:rStyle w:val="FootnoteReference"/>
        </w:rPr>
        <w:footnoteRef/>
      </w:r>
      <w:r>
        <w:t xml:space="preserve"> </w:t>
      </w:r>
      <w:r>
        <w:t xml:space="preserve">Values near zero suggest spatial randomness, and negative values indicate spatial dispersion, where dissimilar values are neighbors.</w:t>
      </w:r>
    </w:p>
  </w:footnote>
  <w:footnote w:id="35">
    <w:p>
      <w:pPr>
        <w:pStyle w:val="FootnoteText"/>
      </w:pPr>
      <w:r>
        <w:rPr>
          <w:rStyle w:val="FootnoteReference"/>
        </w:rPr>
        <w:footnoteRef/>
      </w:r>
      <w:r>
        <w:t xml:space="preserve"> </w:t>
      </w:r>
      <w:r>
        <w:t xml:space="preserve">The observed statistic is compared against a reference distribution generated by randomly reassigning values across locations.</w:t>
      </w:r>
    </w:p>
  </w:footnote>
  <w:footnote w:id="37">
    <w:p>
      <w:pPr>
        <w:pStyle w:val="FootnoteText"/>
      </w:pPr>
      <w:r>
        <w:rPr>
          <w:rStyle w:val="FootnoteReference"/>
        </w:rPr>
        <w:footnoteRef/>
      </w:r>
      <w:r>
        <w:t xml:space="preserve"> </w:t>
      </w:r>
      <w:r>
        <w:t xml:space="preserve">High-High (HH) indicates a high-value location surrounded by high-value neighbors, and Low-Low (LL) indicates a low-value location surrounded by low-value neighbors.</w:t>
      </w:r>
      <w:r>
        <w:t xml:space="preserve"> </w:t>
      </w:r>
      <w:r>
        <w:t xml:space="preserve">High-Low (HL) is a spatial outlier where a high-value location is surrounded by low-value neighbors, and Low-High (LH) is the opposite spatial outlier.</w:t>
      </w:r>
    </w:p>
  </w:footnote>
  <w:footnote w:id="38">
    <w:p>
      <w:pPr>
        <w:pStyle w:val="FootnoteText"/>
      </w:pPr>
      <w:r>
        <w:rPr>
          <w:rStyle w:val="FootnoteReference"/>
        </w:rPr>
        <w:footnoteRef/>
      </w:r>
      <w:r>
        <w:t xml:space="preserve"> </w:t>
      </w:r>
      <w:r>
        <w:t xml:space="preserve">Centroid distances are measured in the geographic coordinates of the source file rather than in a projected metric; rebuilding the matrix from a metric projection leaves 96.4% of the neighbor links unchanged.[^rownorm]</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r>
        <w:t xml:space="preserve"> </w:t>
      </w:r>
      <w:r>
        <w:t xml:space="preserve">This choice is also supported empirically: among the seven weight matrices considered in</w:t>
      </w:r>
      <w:r>
        <w:t xml:space="preserve"> </w:t>
      </w:r>
      <w:hyperlink w:anchor="tbl-altw">
        <w:r>
          <w:rPr>
            <w:rStyle w:val="Hyperlink"/>
          </w:rPr>
          <w:t xml:space="preserve">Table 4</w:t>
        </w:r>
      </w:hyperlink>
      <w:r>
        <w:t xml:space="preserve">, the 6NN specification attains the lowest AIC, indicating the best fit to the spatial structure of the data.</w:t>
      </w:r>
    </w:p>
  </w:footnote>
  <w:footnote w:id="43">
    <w:p>
      <w:pPr>
        <w:pStyle w:val="FootnoteText"/>
      </w:pPr>
      <w:r>
        <w:rPr>
          <w:rStyle w:val="FootnoteReference"/>
        </w:rPr>
        <w:footnoteRef/>
      </w:r>
      <w:r>
        <w:t xml:space="preserve"> </w:t>
      </w:r>
      <w:r>
        <w:t xml:space="preserve">We denote the spatial autoregressive parameter by</w:t>
      </w:r>
      <w:r>
        <w:t xml:space="preserve"> </w:t>
      </w:r>
      <m:oMath>
        <m:r>
          <m:t>ρ</m:t>
        </m:r>
      </m:oMath>
      <w:r>
        <w:t xml:space="preserve"> </w:t>
      </w:r>
      <w:r>
        <w:t xml:space="preserve">to avoid any confusion with</w:t>
      </w:r>
      <w:r>
        <w:t xml:space="preserve"> </w:t>
      </w:r>
      <m:oMath>
        <m:r>
          <m:t>λ</m:t>
        </m:r>
      </m:oMath>
      <w:r>
        <w:t xml:space="preserve">, which denotes the implied speed of convergence throughout this article.</w:t>
      </w:r>
    </w:p>
  </w:footnote>
  <w:footnote w:id="46">
    <w:p>
      <w:pPr>
        <w:pStyle w:val="FootnoteText"/>
      </w:pPr>
      <w:r>
        <w:rPr>
          <w:rStyle w:val="FootnoteReference"/>
        </w:rPr>
        <w:footnoteRef/>
      </w:r>
      <w:r>
        <w:t xml:space="preserve"> </w:t>
      </w:r>
      <w:r>
        <w:t xml:space="preserve">The interactive web application is available at</w:t>
      </w:r>
      <w:r>
        <w:t xml:space="preserve"> </w:t>
      </w:r>
      <w:hyperlink r:id="rId47">
        <w:r>
          <w:rPr>
            <w:rStyle w:val="Hyperlink"/>
          </w:rPr>
          <w:t xml:space="preserve">https://bit.ly/india-rc-ntl</w:t>
        </w:r>
      </w:hyperlink>
      <w:r>
        <w:t xml:space="preserve">.</w:t>
      </w:r>
      <w:r>
        <w:t xml:space="preserve"> </w:t>
      </w:r>
      <w:r>
        <w:t xml:space="preserve">It was developed using Google Earth Engine, and the source code is available in the</w:t>
      </w:r>
      <w:r>
        <w:t xml:space="preserve"> </w:t>
      </w:r>
      <w:hyperlink r:id="rId48">
        <w:r>
          <w:rPr>
            <w:rStyle w:val="Hyperlink"/>
          </w:rPr>
          <w:t xml:space="preserve">View from outer space</w:t>
        </w:r>
      </w:hyperlink>
      <w:r>
        <w:t xml:space="preserve"> </w:t>
      </w:r>
      <w:r>
        <w:t xml:space="preserve">notebook.</w:t>
      </w:r>
    </w:p>
  </w:footnote>
  <w:footnote w:id="58">
    <w:p>
      <w:pPr>
        <w:pStyle w:val="FootnoteText"/>
      </w:pPr>
      <w:r>
        <w:rPr>
          <w:rStyle w:val="FootnoteReference"/>
        </w:rPr>
        <w:footnoteRef/>
      </w:r>
      <w:r>
        <w:t xml:space="preserve"> </w:t>
      </w:r>
      <w:r>
        <w:t xml:space="preserve">The figures are relative per capita income for 2000–01, the census year closest to the start of our study period, measured as per capita net state domestic product divided by per capita net national income.</w:t>
      </w:r>
      <w:r>
        <w:t xml:space="preserve"> </w:t>
      </w:r>
      <w:r>
        <w:t xml:space="preserve">They are taken from Table 4 of Sanyal and Arora,</w:t>
      </w:r>
      <w:r>
        <w:t xml:space="preserve"> </w:t>
      </w:r>
      <w:r>
        <w:t xml:space="preserve">“Relative Economic Performance of Indian States: 1960-61 to 2023-24”</w:t>
      </w:r>
      <w:r>
        <w:t xml:space="preserve">, Economic Advisory Council to the Prime Minister, Working Paper EAC-PM/WP/31/2024, September 2024.</w:t>
      </w:r>
    </w:p>
  </w:footnote>
  <w:footnote w:id="77">
    <w:p>
      <w:pPr>
        <w:pStyle w:val="FootnoteText"/>
      </w:pPr>
      <w:r>
        <w:rPr>
          <w:rStyle w:val="FootnoteReference"/>
        </w:rPr>
        <w:footnoteRef/>
      </w:r>
      <w:r>
        <w:t xml:space="preserve"> </w:t>
      </w:r>
      <w:r>
        <w:t xml:space="preserve">The initially prosperous areas therefore experienced relatively slower growth over the study period, while the initially lagging areas grew faster.</w:t>
      </w:r>
    </w:p>
  </w:footnote>
  <w:footnote w:id="84">
    <w:p>
      <w:pPr>
        <w:pStyle w:val="FootnoteText"/>
      </w:pPr>
      <w:r>
        <w:rPr>
          <w:rStyle w:val="FootnoteReference"/>
        </w:rPr>
        <w:footnoteRef/>
      </w:r>
      <w:r>
        <w:t xml:space="preserve"> </w:t>
      </w:r>
      <w:r>
        <w:t xml:space="preserve">Without controls, the strong residual spatial dependence confounds the spillover estimates with omitted variables.</w:t>
      </w:r>
      <w:r>
        <w:t xml:space="preserve"> </w:t>
      </w:r>
      <w:r>
        <w:t xml:space="preserve">The spatial autoregressive parameter also reaches about 0.80 in Model 1, so its decomposition is the most sensitive of the four to how the spatial multiplier is computed.</w:t>
      </w:r>
    </w:p>
  </w:footnote>
  <w:footnote w:id="86">
    <w:p>
      <w:pPr>
        <w:pStyle w:val="FootnoteText"/>
      </w:pPr>
      <w:r>
        <w:rPr>
          <w:rStyle w:val="FootnoteReference"/>
        </w:rPr>
        <w:footnoteRef/>
      </w:r>
      <w:r>
        <w:t xml:space="preserve"> </w:t>
      </w:r>
      <w:r>
        <w:t xml:space="preserve">The unconditional speeds are 2.3% against 2.6% in Model 1 and 2.6% against 2.7% in Model 2.</w:t>
      </w:r>
    </w:p>
  </w:footnote>
  <w:footnote w:id="87">
    <w:p>
      <w:pPr>
        <w:pStyle w:val="FootnoteText"/>
      </w:pPr>
      <w:r>
        <w:rPr>
          <w:rStyle w:val="FootnoteReference"/>
        </w:rPr>
        <w:footnoteRef/>
      </w:r>
      <w:r>
        <w:t xml:space="preserve"> </w:t>
      </w:r>
      <w:r>
        <w:t xml:space="preserve">The improvement from incorporating spatial structure is most pronounced in the unconditional specification, where the AIC drops by 347 units when moving from OLS to SDM in Model 1,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p>
  </w:footnote>
  <w:footnote w:id="89">
    <w:p>
      <w:pPr>
        <w:pStyle w:val="FootnoteText"/>
      </w:pPr>
      <w:r>
        <w:rPr>
          <w:rStyle w:val="FootnoteReference"/>
        </w:rPr>
        <w:footnoteRef/>
      </w:r>
      <w:r>
        <w:t xml:space="preserve"> </w:t>
      </w:r>
      <w:r>
        <w:t xml:space="preserve">The regularity is about 2% per year across 1,528 regions in 83 countries</w:t>
      </w:r>
      <w:r>
        <w:t xml:space="preserve"> </w:t>
      </w:r>
      <w:r>
        <w:t xml:space="preserve">(Gennaioli et al. 2014)</w:t>
      </w:r>
      <w:r>
        <w:t xml:space="preserve">, and similar across regions of the United States, Japan, and five European countries</w:t>
      </w:r>
      <w:r>
        <w:t xml:space="preserve"> </w:t>
      </w:r>
      <w:r>
        <w:t xml:space="preserve">(Sala-i-Martin 1996)</w:t>
      </w:r>
      <w:r>
        <w:t xml:space="preserve">.</w:t>
      </w:r>
    </w:p>
  </w:footnote>
  <w:footnote w:id="98">
    <w:p>
      <w:pPr>
        <w:pStyle w:val="FootnoteText"/>
      </w:pPr>
      <w:r>
        <w:rPr>
          <w:rStyle w:val="FootnoteReference"/>
        </w:rPr>
        <w:footnoteRef/>
      </w:r>
      <w:r>
        <w:t xml:space="preserve"> </w:t>
      </w:r>
      <w:r>
        <w:t xml:space="preserve">The programme was launched in 2018 to direct additional resources to the least developed districts of the country.</w:t>
      </w:r>
    </w:p>
  </w:footnote>
  <w:footnote w:id="99">
    <w:p>
      <w:pPr>
        <w:pStyle w:val="FootnoteText"/>
      </w:pPr>
      <w:r>
        <w:rPr>
          <w:rStyle w:val="FootnoteReference"/>
        </w:rPr>
        <w:footnoteRef/>
      </w:r>
      <w:r>
        <w:t xml:space="preserve"> </w:t>
      </w:r>
      <w:r>
        <w:t xml:space="preserve">Shenoy (2018)</w:t>
      </w:r>
      <w:r>
        <w:t xml:space="preserve"> </w:t>
      </w:r>
      <w:r>
        <w:t xml:space="preserve">uses nighttime lights to evaluate a large place-based package in Uttarakhand and finds that luminosity rises sharply on the targeted side of the new state border, which shows that the outcome we study is responsive enough to register policy at this scale.</w:t>
      </w:r>
    </w:p>
  </w:footnote>
  <w:footnote w:id="101">
    <w:p>
      <w:pPr>
        <w:pStyle w:val="FootnoteText"/>
      </w:pPr>
      <w:r>
        <w:rPr>
          <w:rStyle w:val="FootnoteReference"/>
        </w:rPr>
        <w:footnoteRef/>
      </w:r>
      <w:r>
        <w:t xml:space="preserve"> </w:t>
      </w:r>
      <w:r>
        <w:t xml:space="preserve">Barro (2015)</w:t>
      </w:r>
      <w:r>
        <w:t xml:space="preserve"> </w:t>
      </w:r>
      <w:r>
        <w:t xml:space="preserve">argues that country fixed effects generate a misleadingly high convergence rate, and that combining post-1960 with post-1870 evidence returns a figure close to the conventional 2%.</w:t>
      </w:r>
      <w:r>
        <w:t xml:space="preserve"> </w:t>
      </w:r>
      <w:r>
        <w:t xml:space="preserve">Meta-analytic evidence finds that corrections for unobserved heterogeneity raise estimated convergence systematically</w:t>
      </w:r>
      <w:r>
        <w:t xml:space="preserve"> </w:t>
      </w:r>
      <w:r>
        <w:t xml:space="preserve">(Abreu, de Groot, and Florax 2005)</w:t>
      </w:r>
      <w:r>
        <w:t xml:space="preserve">.</w:t>
      </w:r>
    </w:p>
  </w:footnote>
  <w:footnote w:id="103">
    <w:p>
      <w:pPr>
        <w:pStyle w:val="FootnoteText"/>
      </w:pPr>
      <w:r>
        <w:rPr>
          <w:rStyle w:val="FootnoteReference"/>
        </w:rPr>
        <w:footnoteRef/>
      </w:r>
      <w:r>
        <w:t xml:space="preserve"> </w:t>
      </w:r>
      <w:r>
        <w:t xml:space="preserve">A cross-sectional association is consistent with either direction, and with both operating at once.</w:t>
      </w:r>
      <w:r>
        <w:t xml:space="preserve"> </w:t>
      </w:r>
      <w:r>
        <w:t xml:space="preserve">What it can do is establish that the two are related, and describe the form that relationship takes.</w:t>
      </w:r>
    </w:p>
  </w:footnote>
  <w:footnote w:id="104">
    <w:p>
      <w:pPr>
        <w:pStyle w:val="FootnoteText"/>
      </w:pPr>
      <w:r>
        <w:rPr>
          <w:rStyle w:val="FootnoteReference"/>
        </w:rPr>
        <w:footnoteRef/>
      </w:r>
      <w:r>
        <w:t xml:space="preserve"> </w:t>
      </w:r>
      <w:r>
        <w:t xml:space="preserve">The six dimensions are live cultural performance, cultural telecast (TV/media), socio-cultural participation, cultural heritage and religion, live cultural shows, and sports.</w:t>
      </w:r>
      <w:r>
        <w:t xml:space="preserve"> </w:t>
      </w:r>
      <w:r>
        <w:t xml:space="preserve">They are extracted from the survey items by principal-components analysis.</w:t>
      </w:r>
      <w:r>
        <w:t xml:space="preserve"> </w:t>
      </w:r>
      <w:r>
        <w:t xml:space="preserve">See the</w:t>
      </w:r>
      <w:r>
        <w:t xml:space="preserve"> </w:t>
      </w:r>
      <w:hyperlink r:id="rId105">
        <w:r>
          <w:rPr>
            <w:rStyle w:val="Hyperlink"/>
          </w:rPr>
          <w:t xml:space="preserve">Spatial culture</w:t>
        </w:r>
      </w:hyperlink>
      <w:r>
        <w:t xml:space="preserve"> </w:t>
      </w:r>
      <w:r>
        <w:t xml:space="preserve">notebook for details and extended analyses.</w:t>
      </w:r>
    </w:p>
  </w:footnote>
  <w:footnote w:id="115">
    <w:p>
      <w:pPr>
        <w:pStyle w:val="FootnoteText"/>
      </w:pPr>
      <w:r>
        <w:rPr>
          <w:rStyle w:val="FootnoteReference"/>
        </w:rPr>
        <w:footnoteRef/>
      </w:r>
      <w:r>
        <w:t xml:space="preserve"> </w:t>
      </w:r>
      <w:r>
        <w:t xml:space="preserve">Lights have been combined with daytime imagery for poverty prediction</w:t>
      </w:r>
      <w:r>
        <w:t xml:space="preserve"> </w:t>
      </w:r>
      <w:r>
        <w:t xml:space="preserve">(Jean et al. 2016)</w:t>
      </w:r>
      <w:r>
        <w:t xml:space="preserve">, with land cover in agricultural areas</w:t>
      </w:r>
      <w:r>
        <w:t xml:space="preserve"> </w:t>
      </w:r>
      <w:r>
        <w:t xml:space="preserve">(Keola, Andersson, and Hall 2015)</w:t>
      </w:r>
      <w:r>
        <w:t xml:space="preserve">, with multiple remote sensing indicators for subnational output</w:t>
      </w:r>
      <w:r>
        <w:t xml:space="preserve"> </w:t>
      </w:r>
      <w:r>
        <w:t xml:space="preserve">(Y. Chen, Ursavaş, and Mendez 2024; Suleiman, Nguyen, and Mendez 2025)</w:t>
      </w:r>
      <w:r>
        <w:t xml:space="preserve">, and with survey data for multidimensional poverty</w:t>
      </w:r>
      <w:r>
        <w:t xml:space="preserve"> </w:t>
      </w:r>
      <w:r>
        <w:t xml:space="preserve">(Khoun et al. 2025)</w:t>
      </w:r>
      <w:r>
        <w:t xml:space="preserve">.</w:t>
      </w:r>
    </w:p>
  </w:footnote>
  <w:footnote w:id="117">
    <w:p>
      <w:pPr>
        <w:pStyle w:val="FootnoteText"/>
      </w:pPr>
      <w:r>
        <w:rPr>
          <w:rStyle w:val="FootnoteReference"/>
        </w:rPr>
        <w:footnoteRef/>
      </w:r>
      <w:r>
        <w:t xml:space="preserve"> </w:t>
      </w:r>
      <w:r>
        <w:t xml:space="preserve">Across 34 sub-Saharan African countries the association between harmonized luminosity and household wealth is pronounced in urban areas and considerably weaker in rural ones</w:t>
      </w:r>
      <w:r>
        <w:t xml:space="preserve"> </w:t>
      </w:r>
      <w:r>
        <w:t xml:space="preserve">(Jhamb et al. 2025)</w:t>
      </w:r>
      <w:r>
        <w:t xml:space="preserve">, and systematic assessments of which product to use, and where, reach similar conclusions</w:t>
      </w:r>
      <w:r>
        <w:t xml:space="preserve"> </w:t>
      </w:r>
      <w:r>
        <w:t xml:space="preserve">(Gibson et al. 2021)</w:t>
      </w:r>
      <w:r>
        <w:t xml:space="preserve">.</w:t>
      </w:r>
    </w:p>
  </w:footnote>
  <w:footnote w:id="119">
    <w:p>
      <w:pPr>
        <w:pStyle w:val="FootnoteText"/>
      </w:pPr>
      <w:r>
        <w:rPr>
          <w:rStyle w:val="FootnoteReference"/>
        </w:rPr>
        <w:footnoteRef/>
      </w:r>
      <w:r>
        <w:t xml:space="preserve"> </w:t>
      </w:r>
      <w:r>
        <w:t xml:space="preserve">The relevant tools are distribution dynamics</w:t>
      </w:r>
      <w:r>
        <w:t xml:space="preserve"> </w:t>
      </w:r>
      <w:r>
        <w:t xml:space="preserve">(Quah 1996)</w:t>
      </w:r>
      <w:r>
        <w:t xml:space="preserve"> </w:t>
      </w:r>
      <w:r>
        <w:t xml:space="preserve">and the regression-tree methods developed for identifying multiple growth regimes</w:t>
      </w:r>
      <w:r>
        <w:t xml:space="preserve"> </w:t>
      </w:r>
      <w:r>
        <w:t xml:space="preserve">(Durlauf and Johnson 1995)</w:t>
      </w:r>
      <w:r>
        <w:t xml:space="preserve">.</w:t>
      </w:r>
    </w:p>
  </w:footnote>
  <w:footnote w:id="120">
    <w:p>
      <w:pPr>
        <w:pStyle w:val="FootnoteText"/>
      </w:pPr>
      <w:r>
        <w:rPr>
          <w:rStyle w:val="FootnoteReference"/>
        </w:rPr>
        <w:footnoteRef/>
      </w:r>
      <w:r>
        <w:t xml:space="preserve"> </w:t>
      </w:r>
      <w:r>
        <w:t xml:space="preserve">VIIRS predicts cross-sectional GDP better than time-series GDP</w:t>
      </w:r>
      <w:r>
        <w:t xml:space="preserve"> </w:t>
      </w:r>
      <w:r>
        <w:t xml:space="preserve">(X. Chen and Nordhaus 2019)</w:t>
      </w:r>
      <w:r>
        <w:t xml:space="preserve">, and in India the elasticity of lights with respect to local outcomes is far lower in the time series than in the cross-section</w:t>
      </w:r>
      <w:r>
        <w:t xml:space="preserve"> </w:t>
      </w:r>
      <w:r>
        <w:t xml:space="preserve">(Asher et al. 2021)</w:t>
      </w:r>
      <w:r>
        <w:t xml:space="preserve">.</w:t>
      </w:r>
      <w:r>
        <w:t xml:space="preserve"> </w:t>
      </w:r>
      <w:r>
        <w:t xml:space="preserve">The relationship between lights and growth is also unstable across regions in both Brazil and India</w:t>
      </w:r>
      <w:r>
        <w:t xml:space="preserve"> </w:t>
      </w:r>
      <w:r>
        <w:t xml:space="preserve">(Bickenbach et al. 2016)</w:t>
      </w:r>
      <w:r>
        <w:t xml:space="preserve">.</w:t>
      </w:r>
    </w:p>
  </w:footnote>
  <w:footnote w:id="121">
    <w:p>
      <w:pPr>
        <w:pStyle w:val="FootnoteText"/>
      </w:pPr>
      <w:r>
        <w:rPr>
          <w:rStyle w:val="FootnoteReference"/>
        </w:rPr>
        <w:footnoteRef/>
      </w:r>
      <w:r>
        <w:t xml:space="preserve"> </w:t>
      </w:r>
      <w:r>
        <w:t xml:space="preserve">An evaluation may therefore fail to detect a real effect where lights react weakly, or attribute to a policy what is in fact heterogeneity in the relationship between light and output.</w:t>
      </w:r>
    </w:p>
  </w:footnote>
  <w:footnote w:id="126">
    <w:p>
      <w:pPr>
        <w:pStyle w:val="FootnoteText"/>
      </w:pPr>
      <w:r>
        <w:rPr>
          <w:rStyle w:val="FootnoteReference"/>
        </w:rPr>
        <w:footnoteRef/>
      </w:r>
      <w:r>
        <w:t xml:space="preserve"> </w:t>
      </w:r>
      <w:r>
        <w:t xml:space="preserve">A single manuscript source generates multiple output formats.</w:t>
      </w:r>
      <w:r>
        <w:t xml:space="preserve"> </w:t>
      </w:r>
      <w:r>
        <w:t xml:space="preserve">The HTML version allows readers to engage with interactive visualizations, inspect the code of the computational notebooks, and re-evaluate the results in light of their source code.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64" Target="media/rId64.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69" Target="media/rId69.png" /><Relationship Type="http://schemas.openxmlformats.org/officeDocument/2006/relationships/image" Id="rId110" Target="media/rId110.png" /><Relationship Type="http://schemas.openxmlformats.org/officeDocument/2006/relationships/image" Id="rId106" Target="media/rId106.png" /><Relationship Type="http://schemas.openxmlformats.org/officeDocument/2006/relationships/image" Id="rId91" Target="media/rId91.png" /><Relationship Type="http://schemas.openxmlformats.org/officeDocument/2006/relationships/hyperlink" Id="rId47" Target="https://bit.ly/india-rc-ntl" TargetMode="External" /><Relationship Type="http://schemas.openxmlformats.org/officeDocument/2006/relationships/hyperlink" Id="rId190" Target="https://doi.org/10.1002/jae.3950100404" TargetMode="External" /><Relationship Type="http://schemas.openxmlformats.org/officeDocument/2006/relationships/hyperlink" Id="rId194" Target="https://doi.org/10.1002/jae.963" TargetMode="External" /><Relationship Type="http://schemas.openxmlformats.org/officeDocument/2006/relationships/hyperlink" Id="rId138" Target="https://doi.org/10.1007/978-94-015-7799-1" TargetMode="External" /><Relationship Type="http://schemas.openxmlformats.org/officeDocument/2006/relationships/hyperlink" Id="rId162" Target="https://doi.org/10.1007/BF00141044" TargetMode="External" /><Relationship Type="http://schemas.openxmlformats.org/officeDocument/2006/relationships/hyperlink" Id="rId196" Target="https://doi.org/10.1007/s00168-010-0384-6" TargetMode="External" /><Relationship Type="http://schemas.openxmlformats.org/officeDocument/2006/relationships/hyperlink" Id="rId275" Target="https://doi.org/10.1007/s00168-022-01168-0" TargetMode="External" /><Relationship Type="http://schemas.openxmlformats.org/officeDocument/2006/relationships/hyperlink" Id="rId156" Target="https://doi.org/10.1007/s10290-016-0246-0" TargetMode="External" /><Relationship Type="http://schemas.openxmlformats.org/officeDocument/2006/relationships/hyperlink" Id="rId233" Target="https://doi.org/10.1007/s10708-018-9893-0" TargetMode="External" /><Relationship Type="http://schemas.openxmlformats.org/officeDocument/2006/relationships/hyperlink" Id="rId261" Target="https://doi.org/10.1007/s10708-021-10377-7" TargetMode="External" /><Relationship Type="http://schemas.openxmlformats.org/officeDocument/2006/relationships/hyperlink" Id="rId198" Target="https://doi.org/10.1007/s10887-014-9105-9" TargetMode="External" /><Relationship Type="http://schemas.openxmlformats.org/officeDocument/2006/relationships/hyperlink" Id="rId222" Target="https://doi.org/10.1007/s11205-025-03718-3" TargetMode="External" /><Relationship Type="http://schemas.openxmlformats.org/officeDocument/2006/relationships/hyperlink" Id="rId180" Target="https://doi.org/10.1007/s12076-024-00375-x" TargetMode="External" /><Relationship Type="http://schemas.openxmlformats.org/officeDocument/2006/relationships/hyperlink" Id="rId267" Target="https://doi.org/10.1007/s12076-025-00397-z" TargetMode="External" /><Relationship Type="http://schemas.openxmlformats.org/officeDocument/2006/relationships/hyperlink" Id="rId259" Target="https://doi.org/10.1016/0014-2921(95)00029-1" TargetMode="External" /><Relationship Type="http://schemas.openxmlformats.org/officeDocument/2006/relationships/hyperlink" Id="rId152" Target="https://doi.org/10.1016/j.asieco.2023.101589" TargetMode="External" /><Relationship Type="http://schemas.openxmlformats.org/officeDocument/2006/relationships/hyperlink" Id="rId229" Target="https://doi.org/10.1016/j.euroecorev.2016.11.009" TargetMode="External" /><Relationship Type="http://schemas.openxmlformats.org/officeDocument/2006/relationships/hyperlink" Id="rId269" Target="https://doi.org/10.1016/j.isprsjprs.2020.04.001" TargetMode="External" /><Relationship Type="http://schemas.openxmlformats.org/officeDocument/2006/relationships/hyperlink" Id="rId263" Target="https://doi.org/10.1016/j.jdeveco.2017.10.001" TargetMode="External" /><Relationship Type="http://schemas.openxmlformats.org/officeDocument/2006/relationships/hyperlink" Id="rId200" Target="https://doi.org/10.1016/j.jdeveco.2020.102602" TargetMode="External" /><Relationship Type="http://schemas.openxmlformats.org/officeDocument/2006/relationships/hyperlink" Id="rId206" Target="https://doi.org/10.1016/j.jdeveco.2020.102621" TargetMode="External" /><Relationship Type="http://schemas.openxmlformats.org/officeDocument/2006/relationships/hyperlink" Id="rId170" Target="https://doi.org/10.1016/j.jmacro.2022.103438" TargetMode="External" /><Relationship Type="http://schemas.openxmlformats.org/officeDocument/2006/relationships/hyperlink" Id="rId164" Target="https://doi.org/10.1016/j.jue.2020.103254" TargetMode="External" /><Relationship Type="http://schemas.openxmlformats.org/officeDocument/2006/relationships/hyperlink" Id="rId204" Target="https://doi.org/10.1016/j.rse.2017.06.031" TargetMode="External" /><Relationship Type="http://schemas.openxmlformats.org/officeDocument/2006/relationships/hyperlink" Id="rId130" Target="https://doi.org/10.1016/j.rse.2018.03.018" TargetMode="External" /><Relationship Type="http://schemas.openxmlformats.org/officeDocument/2006/relationships/hyperlink" Id="rId210" Target="https://doi.org/10.1016/j.seps.2024.102012" TargetMode="External" /><Relationship Type="http://schemas.openxmlformats.org/officeDocument/2006/relationships/hyperlink" Id="rId220" Target="https://doi.org/10.1016/j.worlddev.2014.08.017" TargetMode="External" /><Relationship Type="http://schemas.openxmlformats.org/officeDocument/2006/relationships/hyperlink" Id="rId172" Target="https://doi.org/10.1016/j.worlddev.2020.104961" TargetMode="External" /><Relationship Type="http://schemas.openxmlformats.org/officeDocument/2006/relationships/hyperlink" Id="rId235" Target="https://doi.org/10.1038/s41467-022-30099-9" TargetMode="External" /><Relationship Type="http://schemas.openxmlformats.org/officeDocument/2006/relationships/hyperlink" Id="rId231" Target="https://doi.org/10.1038/s41597-020-0510-y" TargetMode="External" /><Relationship Type="http://schemas.openxmlformats.org/officeDocument/2006/relationships/hyperlink" Id="rId176" Target="https://doi.org/10.1073/pnas.1017031108" TargetMode="External" /><Relationship Type="http://schemas.openxmlformats.org/officeDocument/2006/relationships/hyperlink" Id="rId202" Target="https://doi.org/10.1080/00036846.2024.2439583" TargetMode="External" /><Relationship Type="http://schemas.openxmlformats.org/officeDocument/2006/relationships/hyperlink" Id="rId241" Target="https://doi.org/10.1080/00074918.2022.2071415" TargetMode="External" /><Relationship Type="http://schemas.openxmlformats.org/officeDocument/2006/relationships/hyperlink" Id="rId255" Target="https://doi.org/10.1080/00343409950122945" TargetMode="External" /><Relationship Type="http://schemas.openxmlformats.org/officeDocument/2006/relationships/hyperlink" Id="rId239" Target="https://doi.org/10.1080/01431161.2013.833358" TargetMode="External" /><Relationship Type="http://schemas.openxmlformats.org/officeDocument/2006/relationships/hyperlink" Id="rId192" Target="https://doi.org/10.1080/01431161.2017.1342050" TargetMode="External" /><Relationship Type="http://schemas.openxmlformats.org/officeDocument/2006/relationships/hyperlink" Id="rId150" Target="https://doi.org/10.1080/13504851.2022.2099798" TargetMode="External" /><Relationship Type="http://schemas.openxmlformats.org/officeDocument/2006/relationships/hyperlink" Id="rId271" Target="https://doi.org/10.1080/13547860.2022.2041286" TargetMode="External" /><Relationship Type="http://schemas.openxmlformats.org/officeDocument/2006/relationships/hyperlink" Id="rId148" Target="https://doi.org/10.1086/261816" TargetMode="External" /><Relationship Type="http://schemas.openxmlformats.org/officeDocument/2006/relationships/hyperlink" Id="rId214" Target="https://doi.org/10.1086/725058" TargetMode="External" /><Relationship Type="http://schemas.openxmlformats.org/officeDocument/2006/relationships/hyperlink" Id="rId225" Target="https://doi.org/10.1093/comjnl/27.2.97" TargetMode="External" /><Relationship Type="http://schemas.openxmlformats.org/officeDocument/2006/relationships/hyperlink" Id="rId182" Target="https://doi.org/10.1093/ej/ueaf134" TargetMode="External" /><Relationship Type="http://schemas.openxmlformats.org/officeDocument/2006/relationships/hyperlink" Id="rId186" Target="https://doi.org/10.1093/jae/ejx027" TargetMode="External" /><Relationship Type="http://schemas.openxmlformats.org/officeDocument/2006/relationships/hyperlink" Id="rId249" Target="https://doi.org/10.1093/qje/qjw003" TargetMode="External" /><Relationship Type="http://schemas.openxmlformats.org/officeDocument/2006/relationships/hyperlink" Id="rId142" Target="https://doi.org/10.1093/wber/lhab003" TargetMode="External" /><Relationship Type="http://schemas.openxmlformats.org/officeDocument/2006/relationships/hyperlink" Id="rId166" Target="https://doi.org/10.1108/igdr-11-2021-0152" TargetMode="External" /><Relationship Type="http://schemas.openxmlformats.org/officeDocument/2006/relationships/hyperlink" Id="rId134" Target="https://doi.org/10.1111/ecin.12967" TargetMode="External" /><Relationship Type="http://schemas.openxmlformats.org/officeDocument/2006/relationships/hyperlink" Id="rId146" Target="https://doi.org/10.1111/ecoj.12247" TargetMode="External" /><Relationship Type="http://schemas.openxmlformats.org/officeDocument/2006/relationships/hyperlink" Id="rId132" Target="https://doi.org/10.1111/j.0950-0804.2005.00253.x" TargetMode="External" /><Relationship Type="http://schemas.openxmlformats.org/officeDocument/2006/relationships/hyperlink" Id="rId140" Target="https://doi.org/10.1111/j.1538-4632.1995.tb00338.x" TargetMode="External" /><Relationship Type="http://schemas.openxmlformats.org/officeDocument/2006/relationships/hyperlink" Id="rId273" Target="https://doi.org/10.1111/polp.70050" TargetMode="External" /><Relationship Type="http://schemas.openxmlformats.org/officeDocument/2006/relationships/hyperlink" Id="rId160" Target="https://doi.org/10.1111/rode.12712" TargetMode="External" /><Relationship Type="http://schemas.openxmlformats.org/officeDocument/2006/relationships/hyperlink" Id="rId218" Target="https://doi.org/10.1111/rode.12851" TargetMode="External" /><Relationship Type="http://schemas.openxmlformats.org/officeDocument/2006/relationships/hyperlink" Id="rId247" Target="https://doi.org/10.1126/science.1213847" TargetMode="External" /><Relationship Type="http://schemas.openxmlformats.org/officeDocument/2006/relationships/hyperlink" Id="rId212" Target="https://doi.org/10.1126/science.aaf7894" TargetMode="External" /><Relationship Type="http://schemas.openxmlformats.org/officeDocument/2006/relationships/hyperlink" Id="rId184" Target="https://doi.org/10.1162/rest_a_00993" TargetMode="External" /><Relationship Type="http://schemas.openxmlformats.org/officeDocument/2006/relationships/hyperlink" Id="rId227" Target="https://doi.org/10.1201/9781420064254" TargetMode="External" /><Relationship Type="http://schemas.openxmlformats.org/officeDocument/2006/relationships/hyperlink" Id="rId208" Target="https://doi.org/10.1257/aer.102.2.994" TargetMode="External" /><Relationship Type="http://schemas.openxmlformats.org/officeDocument/2006/relationships/hyperlink" Id="rId144" Target="https://doi.org/10.1257/aer.20180268" TargetMode="External" /><Relationship Type="http://schemas.openxmlformats.org/officeDocument/2006/relationships/hyperlink" Id="rId188" Target="https://doi.org/10.1257/jep.30.4.171" TargetMode="External" /><Relationship Type="http://schemas.openxmlformats.org/officeDocument/2006/relationships/hyperlink" Id="rId237" Target="https://doi.org/10.1371/journal.pone.0139779" TargetMode="External" /><Relationship Type="http://schemas.openxmlformats.org/officeDocument/2006/relationships/hyperlink" Id="rId216" Target="https://doi.org/10.1371/journal.pone.0318482" TargetMode="External" /><Relationship Type="http://schemas.openxmlformats.org/officeDocument/2006/relationships/hyperlink" Id="rId245" Target="https://doi.org/10.18335/region.v11i1.493" TargetMode="External" /><Relationship Type="http://schemas.openxmlformats.org/officeDocument/2006/relationships/hyperlink" Id="rId253" Target="https://doi.org/10.18335/region.v12i1.563" TargetMode="External" /><Relationship Type="http://schemas.openxmlformats.org/officeDocument/2006/relationships/hyperlink" Id="rId174" Target="https://doi.org/10.18335/region.v7i2.295" TargetMode="External" /><Relationship Type="http://schemas.openxmlformats.org/officeDocument/2006/relationships/hyperlink" Id="rId257" Target="https://doi.org/10.18335/region.v7i3.357" TargetMode="External" /><Relationship Type="http://schemas.openxmlformats.org/officeDocument/2006/relationships/hyperlink" Id="rId154" Target="https://doi.org/10.2139/ssrn.3818578" TargetMode="External" /><Relationship Type="http://schemas.openxmlformats.org/officeDocument/2006/relationships/hyperlink" Id="rId265" Target="https://doi.org/10.2307/1884513" TargetMode="External" /><Relationship Type="http://schemas.openxmlformats.org/officeDocument/2006/relationships/hyperlink" Id="rId251" Target="https://doi.org/10.2307/2235377" TargetMode="External" /><Relationship Type="http://schemas.openxmlformats.org/officeDocument/2006/relationships/hyperlink" Id="rId243" Target="https://doi.org/10.2307/2332142" TargetMode="External" /><Relationship Type="http://schemas.openxmlformats.org/officeDocument/2006/relationships/hyperlink" Id="rId277" Target="https://doi.org/10.2747/1548-1603.48.4.478" TargetMode="External" /><Relationship Type="http://schemas.openxmlformats.org/officeDocument/2006/relationships/hyperlink" Id="rId178" Target="https://doi.org/10.3390/rs11091057" TargetMode="External" /><Relationship Type="http://schemas.openxmlformats.org/officeDocument/2006/relationships/hyperlink" Id="rId158"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8" Target="https://quarcs-lab.github.io/project2025s-py/notebooks/c01_view_from_space.html" TargetMode="External" /><Relationship Type="http://schemas.openxmlformats.org/officeDocument/2006/relationships/hyperlink" Id="rId105" Target="https://quarcs-lab.github.io/project2025s-py/notebooks/c06_spatial_culture.html" TargetMode="External" /><Relationship Type="http://schemas.openxmlformats.org/officeDocument/2006/relationships/hyperlink" Id="rId136" Target="https://quarto.org" TargetMode="External" /><Relationship Type="http://schemas.openxmlformats.org/officeDocument/2006/relationships/hyperlink" Id="rId168" Target="https://www.epw.in/journal/2017/25-26/notes/will-gst-exacerbate-regional-divergence.html" TargetMode="External" /><Relationship Type="http://schemas.openxmlformats.org/officeDocument/2006/relationships/hyperlink" Id="rId56" Target="notebooks/c02_regional_convergence_sc.ipynb" TargetMode="External" /><Relationship Type="http://schemas.openxmlformats.org/officeDocument/2006/relationships/hyperlink" Id="rId6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47" Target="https://bit.ly/india-rc-ntl" TargetMode="External" /><Relationship Type="http://schemas.openxmlformats.org/officeDocument/2006/relationships/hyperlink" Id="rId190" Target="https://doi.org/10.1002/jae.3950100404" TargetMode="External" /><Relationship Type="http://schemas.openxmlformats.org/officeDocument/2006/relationships/hyperlink" Id="rId194" Target="https://doi.org/10.1002/jae.963" TargetMode="External" /><Relationship Type="http://schemas.openxmlformats.org/officeDocument/2006/relationships/hyperlink" Id="rId138" Target="https://doi.org/10.1007/978-94-015-7799-1" TargetMode="External" /><Relationship Type="http://schemas.openxmlformats.org/officeDocument/2006/relationships/hyperlink" Id="rId162" Target="https://doi.org/10.1007/BF00141044" TargetMode="External" /><Relationship Type="http://schemas.openxmlformats.org/officeDocument/2006/relationships/hyperlink" Id="rId196" Target="https://doi.org/10.1007/s00168-010-0384-6" TargetMode="External" /><Relationship Type="http://schemas.openxmlformats.org/officeDocument/2006/relationships/hyperlink" Id="rId275" Target="https://doi.org/10.1007/s00168-022-01168-0" TargetMode="External" /><Relationship Type="http://schemas.openxmlformats.org/officeDocument/2006/relationships/hyperlink" Id="rId156" Target="https://doi.org/10.1007/s10290-016-0246-0" TargetMode="External" /><Relationship Type="http://schemas.openxmlformats.org/officeDocument/2006/relationships/hyperlink" Id="rId233" Target="https://doi.org/10.1007/s10708-018-9893-0" TargetMode="External" /><Relationship Type="http://schemas.openxmlformats.org/officeDocument/2006/relationships/hyperlink" Id="rId261" Target="https://doi.org/10.1007/s10708-021-10377-7" TargetMode="External" /><Relationship Type="http://schemas.openxmlformats.org/officeDocument/2006/relationships/hyperlink" Id="rId198" Target="https://doi.org/10.1007/s10887-014-9105-9" TargetMode="External" /><Relationship Type="http://schemas.openxmlformats.org/officeDocument/2006/relationships/hyperlink" Id="rId222" Target="https://doi.org/10.1007/s11205-025-03718-3" TargetMode="External" /><Relationship Type="http://schemas.openxmlformats.org/officeDocument/2006/relationships/hyperlink" Id="rId180" Target="https://doi.org/10.1007/s12076-024-00375-x" TargetMode="External" /><Relationship Type="http://schemas.openxmlformats.org/officeDocument/2006/relationships/hyperlink" Id="rId267" Target="https://doi.org/10.1007/s12076-025-00397-z" TargetMode="External" /><Relationship Type="http://schemas.openxmlformats.org/officeDocument/2006/relationships/hyperlink" Id="rId259" Target="https://doi.org/10.1016/0014-2921(95)00029-1" TargetMode="External" /><Relationship Type="http://schemas.openxmlformats.org/officeDocument/2006/relationships/hyperlink" Id="rId152" Target="https://doi.org/10.1016/j.asieco.2023.101589" TargetMode="External" /><Relationship Type="http://schemas.openxmlformats.org/officeDocument/2006/relationships/hyperlink" Id="rId229" Target="https://doi.org/10.1016/j.euroecorev.2016.11.009" TargetMode="External" /><Relationship Type="http://schemas.openxmlformats.org/officeDocument/2006/relationships/hyperlink" Id="rId269" Target="https://doi.org/10.1016/j.isprsjprs.2020.04.001" TargetMode="External" /><Relationship Type="http://schemas.openxmlformats.org/officeDocument/2006/relationships/hyperlink" Id="rId263" Target="https://doi.org/10.1016/j.jdeveco.2017.10.001" TargetMode="External" /><Relationship Type="http://schemas.openxmlformats.org/officeDocument/2006/relationships/hyperlink" Id="rId200" Target="https://doi.org/10.1016/j.jdeveco.2020.102602" TargetMode="External" /><Relationship Type="http://schemas.openxmlformats.org/officeDocument/2006/relationships/hyperlink" Id="rId206" Target="https://doi.org/10.1016/j.jdeveco.2020.102621" TargetMode="External" /><Relationship Type="http://schemas.openxmlformats.org/officeDocument/2006/relationships/hyperlink" Id="rId170" Target="https://doi.org/10.1016/j.jmacro.2022.103438" TargetMode="External" /><Relationship Type="http://schemas.openxmlformats.org/officeDocument/2006/relationships/hyperlink" Id="rId164" Target="https://doi.org/10.1016/j.jue.2020.103254" TargetMode="External" /><Relationship Type="http://schemas.openxmlformats.org/officeDocument/2006/relationships/hyperlink" Id="rId204" Target="https://doi.org/10.1016/j.rse.2017.06.031" TargetMode="External" /><Relationship Type="http://schemas.openxmlformats.org/officeDocument/2006/relationships/hyperlink" Id="rId130" Target="https://doi.org/10.1016/j.rse.2018.03.018" TargetMode="External" /><Relationship Type="http://schemas.openxmlformats.org/officeDocument/2006/relationships/hyperlink" Id="rId210" Target="https://doi.org/10.1016/j.seps.2024.102012" TargetMode="External" /><Relationship Type="http://schemas.openxmlformats.org/officeDocument/2006/relationships/hyperlink" Id="rId220" Target="https://doi.org/10.1016/j.worlddev.2014.08.017" TargetMode="External" /><Relationship Type="http://schemas.openxmlformats.org/officeDocument/2006/relationships/hyperlink" Id="rId172" Target="https://doi.org/10.1016/j.worlddev.2020.104961" TargetMode="External" /><Relationship Type="http://schemas.openxmlformats.org/officeDocument/2006/relationships/hyperlink" Id="rId235" Target="https://doi.org/10.1038/s41467-022-30099-9" TargetMode="External" /><Relationship Type="http://schemas.openxmlformats.org/officeDocument/2006/relationships/hyperlink" Id="rId231" Target="https://doi.org/10.1038/s41597-020-0510-y" TargetMode="External" /><Relationship Type="http://schemas.openxmlformats.org/officeDocument/2006/relationships/hyperlink" Id="rId176" Target="https://doi.org/10.1073/pnas.1017031108" TargetMode="External" /><Relationship Type="http://schemas.openxmlformats.org/officeDocument/2006/relationships/hyperlink" Id="rId202" Target="https://doi.org/10.1080/00036846.2024.2439583" TargetMode="External" /><Relationship Type="http://schemas.openxmlformats.org/officeDocument/2006/relationships/hyperlink" Id="rId241" Target="https://doi.org/10.1080/00074918.2022.2071415" TargetMode="External" /><Relationship Type="http://schemas.openxmlformats.org/officeDocument/2006/relationships/hyperlink" Id="rId255" Target="https://doi.org/10.1080/00343409950122945" TargetMode="External" /><Relationship Type="http://schemas.openxmlformats.org/officeDocument/2006/relationships/hyperlink" Id="rId239" Target="https://doi.org/10.1080/01431161.2013.833358" TargetMode="External" /><Relationship Type="http://schemas.openxmlformats.org/officeDocument/2006/relationships/hyperlink" Id="rId192" Target="https://doi.org/10.1080/01431161.2017.1342050" TargetMode="External" /><Relationship Type="http://schemas.openxmlformats.org/officeDocument/2006/relationships/hyperlink" Id="rId150" Target="https://doi.org/10.1080/13504851.2022.2099798" TargetMode="External" /><Relationship Type="http://schemas.openxmlformats.org/officeDocument/2006/relationships/hyperlink" Id="rId271" Target="https://doi.org/10.1080/13547860.2022.2041286" TargetMode="External" /><Relationship Type="http://schemas.openxmlformats.org/officeDocument/2006/relationships/hyperlink" Id="rId148" Target="https://doi.org/10.1086/261816" TargetMode="External" /><Relationship Type="http://schemas.openxmlformats.org/officeDocument/2006/relationships/hyperlink" Id="rId214" Target="https://doi.org/10.1086/725058" TargetMode="External" /><Relationship Type="http://schemas.openxmlformats.org/officeDocument/2006/relationships/hyperlink" Id="rId225" Target="https://doi.org/10.1093/comjnl/27.2.97" TargetMode="External" /><Relationship Type="http://schemas.openxmlformats.org/officeDocument/2006/relationships/hyperlink" Id="rId182" Target="https://doi.org/10.1093/ej/ueaf134" TargetMode="External" /><Relationship Type="http://schemas.openxmlformats.org/officeDocument/2006/relationships/hyperlink" Id="rId186" Target="https://doi.org/10.1093/jae/ejx027" TargetMode="External" /><Relationship Type="http://schemas.openxmlformats.org/officeDocument/2006/relationships/hyperlink" Id="rId249" Target="https://doi.org/10.1093/qje/qjw003" TargetMode="External" /><Relationship Type="http://schemas.openxmlformats.org/officeDocument/2006/relationships/hyperlink" Id="rId142" Target="https://doi.org/10.1093/wber/lhab003" TargetMode="External" /><Relationship Type="http://schemas.openxmlformats.org/officeDocument/2006/relationships/hyperlink" Id="rId166" Target="https://doi.org/10.1108/igdr-11-2021-0152" TargetMode="External" /><Relationship Type="http://schemas.openxmlformats.org/officeDocument/2006/relationships/hyperlink" Id="rId134" Target="https://doi.org/10.1111/ecin.12967" TargetMode="External" /><Relationship Type="http://schemas.openxmlformats.org/officeDocument/2006/relationships/hyperlink" Id="rId146" Target="https://doi.org/10.1111/ecoj.12247" TargetMode="External" /><Relationship Type="http://schemas.openxmlformats.org/officeDocument/2006/relationships/hyperlink" Id="rId132" Target="https://doi.org/10.1111/j.0950-0804.2005.00253.x" TargetMode="External" /><Relationship Type="http://schemas.openxmlformats.org/officeDocument/2006/relationships/hyperlink" Id="rId140" Target="https://doi.org/10.1111/j.1538-4632.1995.tb00338.x" TargetMode="External" /><Relationship Type="http://schemas.openxmlformats.org/officeDocument/2006/relationships/hyperlink" Id="rId273" Target="https://doi.org/10.1111/polp.70050" TargetMode="External" /><Relationship Type="http://schemas.openxmlformats.org/officeDocument/2006/relationships/hyperlink" Id="rId160" Target="https://doi.org/10.1111/rode.12712" TargetMode="External" /><Relationship Type="http://schemas.openxmlformats.org/officeDocument/2006/relationships/hyperlink" Id="rId218" Target="https://doi.org/10.1111/rode.12851" TargetMode="External" /><Relationship Type="http://schemas.openxmlformats.org/officeDocument/2006/relationships/hyperlink" Id="rId247" Target="https://doi.org/10.1126/science.1213847" TargetMode="External" /><Relationship Type="http://schemas.openxmlformats.org/officeDocument/2006/relationships/hyperlink" Id="rId212" Target="https://doi.org/10.1126/science.aaf7894" TargetMode="External" /><Relationship Type="http://schemas.openxmlformats.org/officeDocument/2006/relationships/hyperlink" Id="rId184" Target="https://doi.org/10.1162/rest_a_00993" TargetMode="External" /><Relationship Type="http://schemas.openxmlformats.org/officeDocument/2006/relationships/hyperlink" Id="rId227" Target="https://doi.org/10.1201/9781420064254" TargetMode="External" /><Relationship Type="http://schemas.openxmlformats.org/officeDocument/2006/relationships/hyperlink" Id="rId208" Target="https://doi.org/10.1257/aer.102.2.994" TargetMode="External" /><Relationship Type="http://schemas.openxmlformats.org/officeDocument/2006/relationships/hyperlink" Id="rId144" Target="https://doi.org/10.1257/aer.20180268" TargetMode="External" /><Relationship Type="http://schemas.openxmlformats.org/officeDocument/2006/relationships/hyperlink" Id="rId188" Target="https://doi.org/10.1257/jep.30.4.171" TargetMode="External" /><Relationship Type="http://schemas.openxmlformats.org/officeDocument/2006/relationships/hyperlink" Id="rId237" Target="https://doi.org/10.1371/journal.pone.0139779" TargetMode="External" /><Relationship Type="http://schemas.openxmlformats.org/officeDocument/2006/relationships/hyperlink" Id="rId216" Target="https://doi.org/10.1371/journal.pone.0318482" TargetMode="External" /><Relationship Type="http://schemas.openxmlformats.org/officeDocument/2006/relationships/hyperlink" Id="rId245" Target="https://doi.org/10.18335/region.v11i1.493" TargetMode="External" /><Relationship Type="http://schemas.openxmlformats.org/officeDocument/2006/relationships/hyperlink" Id="rId253" Target="https://doi.org/10.18335/region.v12i1.563" TargetMode="External" /><Relationship Type="http://schemas.openxmlformats.org/officeDocument/2006/relationships/hyperlink" Id="rId174" Target="https://doi.org/10.18335/region.v7i2.295" TargetMode="External" /><Relationship Type="http://schemas.openxmlformats.org/officeDocument/2006/relationships/hyperlink" Id="rId257" Target="https://doi.org/10.18335/region.v7i3.357" TargetMode="External" /><Relationship Type="http://schemas.openxmlformats.org/officeDocument/2006/relationships/hyperlink" Id="rId154" Target="https://doi.org/10.2139/ssrn.3818578" TargetMode="External" /><Relationship Type="http://schemas.openxmlformats.org/officeDocument/2006/relationships/hyperlink" Id="rId265" Target="https://doi.org/10.2307/1884513" TargetMode="External" /><Relationship Type="http://schemas.openxmlformats.org/officeDocument/2006/relationships/hyperlink" Id="rId251" Target="https://doi.org/10.2307/2235377" TargetMode="External" /><Relationship Type="http://schemas.openxmlformats.org/officeDocument/2006/relationships/hyperlink" Id="rId243" Target="https://doi.org/10.2307/2332142" TargetMode="External" /><Relationship Type="http://schemas.openxmlformats.org/officeDocument/2006/relationships/hyperlink" Id="rId277" Target="https://doi.org/10.2747/1548-1603.48.4.478" TargetMode="External" /><Relationship Type="http://schemas.openxmlformats.org/officeDocument/2006/relationships/hyperlink" Id="rId178" Target="https://doi.org/10.3390/rs11091057" TargetMode="External" /><Relationship Type="http://schemas.openxmlformats.org/officeDocument/2006/relationships/hyperlink" Id="rId158"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8" Target="https://quarcs-lab.github.io/project2025s-py/notebooks/c01_view_from_space.html" TargetMode="External" /><Relationship Type="http://schemas.openxmlformats.org/officeDocument/2006/relationships/hyperlink" Id="rId105" Target="https://quarcs-lab.github.io/project2025s-py/notebooks/c06_spatial_culture.html" TargetMode="External" /><Relationship Type="http://schemas.openxmlformats.org/officeDocument/2006/relationships/hyperlink" Id="rId136" Target="https://quarto.org" TargetMode="External" /><Relationship Type="http://schemas.openxmlformats.org/officeDocument/2006/relationships/hyperlink" Id="rId168" Target="https://www.epw.in/journal/2017/25-26/notes/will-gst-exacerbate-regional-divergence.html" TargetMode="External" /><Relationship Type="http://schemas.openxmlformats.org/officeDocument/2006/relationships/hyperlink" Id="rId56" Target="notebooks/c02_regional_convergence_sc.ipynb" TargetMode="External" /><Relationship Type="http://schemas.openxmlformats.org/officeDocument/2006/relationships/hyperlink" Id="rId6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Regional convergence, Spatial dependence, Spatial Durbin model, Nighttime lights, Reproducible research, India</cp:keywords>
  <dcterms:created xsi:type="dcterms:W3CDTF">2026-08-26T06:55:55Z</dcterms:created>
  <dcterms:modified xsi:type="dcterms:W3CDTF">2026-08-26T06:55:55Z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In our fully specified model, accounting for them raises the implied speed from about 3.0% to about 5.2% per year, which shortens the half-life of regional disparities from roughly 23 to 13 years. The direct and total convergence effects are robust across seven definitions of the spatial weight matrix, and the spillover component is negative under all seven and statistically significant under five. We close by illustrating how the same reproducible workflow extends beyond economic output, with an exploratory analysis of how luminosity relates to cultural participation across Indian states. We also set out the gaps in data, geographic coverage, and theory that this line of work must close next.</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source</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5,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