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8.png" ContentType="image/png"/>
  <Override PartName="/word/media/rId32.png" ContentType="image/png"/>
  <Override PartName="/word/media/rId43.png" ContentType="image/png"/>
  <Override PartName="/word/media/rId56.png" ContentType="image/png"/>
  <Override PartName="/word/media/rId52.png" ContentType="image/png"/>
  <Override PartName="/word/media/rId48.png" ContentType="image/png"/>
  <Override PartName="/word/media/rId6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9"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show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using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make every analytical step transparent and let any reader re-execute the full analysis from the raw data.</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9"/>
    <w:bookmarkStart w:id="24" w:name="data-and-methods"/>
    <w:p>
      <w:pPr>
        <w:pStyle w:val="Heading2"/>
      </w:pPr>
      <w:r>
        <w:t xml:space="preserve">Data and methods</w:t>
      </w:r>
    </w:p>
    <w:bookmarkStart w:id="11"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et al.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use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et al.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10"/>
      </w:r>
    </w:p>
    <w:bookmarkEnd w:id="11"/>
    <w:bookmarkStart w:id="12" w:name="X4b06f35525457a58a6ba46c6f4688096e2e6dda"/>
    <w:p>
      <w:pPr>
        <w:pStyle w:val="Heading3"/>
      </w:pPr>
      <w:r>
        <w:t xml:space="preserve">Jupyter and Quarto for reproducible open science</w:t>
      </w:r>
    </w:p>
    <w:p>
      <w:pPr>
        <w:pStyle w:val="FirstParagraph"/>
      </w:pPr>
      <w:r>
        <w:t xml:space="preserve">Jupyter notebooks have become a widely used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w:t>
      </w:r>
      <w:r>
        <w:t xml:space="preserve">Kluyver et al.</w:t>
      </w:r>
      <w:r>
        <w:t xml:space="preserve"> </w:t>
      </w:r>
      <w:r>
        <w:t xml:space="preserve">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that separate code, results, and interpretation across files,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allows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flexible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versatile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an integrated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12"/>
    <w:bookmarkStart w:id="13"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especially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allows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supports the development of web applications that can be shared with other researchers.</w:t>
      </w:r>
      <w:r>
        <w:t xml:space="preserve"> </w:t>
      </w:r>
      <w:r>
        <w:t xml:space="preserve">The platform’s ability to handle large-scale geospatial computations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13"/>
    <w:bookmarkStart w:id="16"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14"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r>
            <m:rPr>
              <m:sty m:val="p"/>
            </m:rPr>
            <m:t>(</m:t>
          </m:r>
          <m:r>
            <m:t>1</m:t>
          </m:r>
          <m:r>
            <m:rPr>
              <m:sty m:val="p"/>
            </m:rPr>
            <m:t>)</m:t>
          </m:r>
        </m:oMath>
      </m:oMathPara>
      <w:bookmarkEnd w:id="14"/>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15"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r>
            <m:rPr>
              <m:sty m:val="p"/>
            </m:rPr>
            <m:t>(</m:t>
          </m:r>
          <m:r>
            <m:t>2</m:t>
          </m:r>
          <m:r>
            <m:rPr>
              <m:sty m:val="p"/>
            </m:rPr>
            <m:t>)</m:t>
          </m:r>
        </m:oMath>
      </m:oMathPara>
      <w:bookmarkEnd w:id="15"/>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16"/>
    <w:bookmarkStart w:id="19"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17"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r>
            <m:rPr>
              <m:sty m:val="p"/>
            </m:rPr>
            <m:t>(</m:t>
          </m:r>
          <m:r>
            <m:t>3</m:t>
          </m:r>
          <m:r>
            <m:rPr>
              <m:sty m:val="p"/>
            </m:rPr>
            <m:t>)</m:t>
          </m:r>
        </m:oMath>
      </m:oMathPara>
      <w:bookmarkEnd w:id="17"/>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18"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r>
            <m:rPr>
              <m:sty m:val="p"/>
            </m:rPr>
            <m:t>(</m:t>
          </m:r>
          <m:r>
            <m:t>4</m:t>
          </m:r>
          <m:r>
            <m:rPr>
              <m:sty m:val="p"/>
            </m:rPr>
            <m:t>)</m:t>
          </m:r>
        </m:oMath>
      </m:oMathPara>
      <w:bookmarkEnd w:id="18"/>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(SDM)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19"/>
    <w:bookmarkStart w:id="23"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20"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r>
            <m:rPr>
              <m:sty m:val="p"/>
            </m:rPr>
            <m:t>(</m:t>
          </m:r>
          <m:r>
            <m:t>5</m:t>
          </m:r>
          <m:r>
            <m:rPr>
              <m:sty m:val="p"/>
            </m:rPr>
            <m:t>)</m:t>
          </m:r>
        </m:oMath>
      </m:oMathPara>
      <w:bookmarkEnd w:id="20"/>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21" w:name="eq-technology"/>
      <m:oMathPara>
        <m:oMathParaPr>
          <m:jc m:val="center"/>
        </m:oMathParaPr>
        <m:oMath>
          <m:sSub>
            <m:e>
              <m:r>
                <m:t>A</m:t>
              </m:r>
            </m:e>
            <m:sub>
              <m:r>
                <m:t>i</m:t>
              </m:r>
              <m:r>
                <m:t>t</m:t>
              </m:r>
            </m:sub>
          </m:sSub>
          <m:r>
            <m:rPr>
              <m:sty m:val="p"/>
            </m:rPr>
            <m:t>=</m:t>
          </m:r>
          <m:sSub>
            <m:e>
              <m:r>
                <m:rPr>
                  <m:sty m:val="p"/>
                </m:rP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r>
            <m:rPr>
              <m:sty m:val="p"/>
            </m:rPr>
            <m:t>(</m:t>
          </m:r>
          <m:r>
            <m:t>6</m:t>
          </m:r>
          <m:r>
            <m:rPr>
              <m:sty m:val="p"/>
            </m:rPr>
            <m:t>)</m:t>
          </m:r>
        </m:oMath>
      </m:oMathPara>
      <w:bookmarkEnd w:id="21"/>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rPr>
                <m:sty m:val="p"/>
              </m:rP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22"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r>
            <m:rPr>
              <m:sty m:val="p"/>
            </m:rPr>
            <m:t>(</m:t>
          </m:r>
          <m:r>
            <m:t>7</m:t>
          </m:r>
          <m:r>
            <m:rPr>
              <m:sty m:val="p"/>
            </m:rPr>
            <m:t>)</m:t>
          </m:r>
        </m:oMath>
      </m:oMathPara>
      <w:bookmarkEnd w:id="22"/>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23"/>
    <w:bookmarkEnd w:id="24"/>
    <w:bookmarkStart w:id="63" w:name="results"/>
    <w:p>
      <w:pPr>
        <w:pStyle w:val="Heading2"/>
      </w:pPr>
      <w:r>
        <w:t xml:space="preserve">Results</w:t>
      </w:r>
    </w:p>
    <w:bookmarkStart w:id="4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25"/>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31" w:name="fig-map"/>
          <w:p>
            <w:pPr>
              <w:pStyle w:val="Compact"/>
              <w:jc w:val="center"/>
            </w:pPr>
            <w:r>
              <w:drawing>
                <wp:inline>
                  <wp:extent cx="5334000" cy="3030721"/>
                  <wp:effectExtent b="0" l="0" r="0" t="0"/>
                  <wp:docPr descr="" title="" id="29" name="Picture"/>
                  <a:graphic>
                    <a:graphicData uri="http://schemas.openxmlformats.org/drawingml/2006/picture">
                      <pic:pic>
                        <pic:nvPicPr>
                          <pic:cNvPr descr="images/luminosity_map.png" id="30" name="Picture"/>
                          <pic:cNvPicPr>
                            <a:picLocks noChangeArrowheads="1" noChangeAspect="1"/>
                          </pic:cNvPicPr>
                        </pic:nvPicPr>
                        <pic:blipFill>
                          <a:blip r:embed="rId2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2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27">
              <w:r>
                <w:rPr>
                  <w:rStyle w:val="Hyperlink"/>
                </w:rPr>
                <w:t xml:space="preserve">View from outer space</w:t>
              </w:r>
            </w:hyperlink>
            <w:r>
              <w:t xml:space="preserve"> </w:t>
            </w:r>
            <w:r>
              <w:t xml:space="preserve">notebook for source code.</w:t>
            </w:r>
          </w:p>
          <w:bookmarkEnd w:id="31"/>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convergence"/>
          <w:p>
            <w:pPr>
              <w:pStyle w:val="Compact"/>
              <w:jc w:val="center"/>
            </w:pPr>
            <w:r>
              <w:drawing>
                <wp:inline>
                  <wp:extent cx="5334000" cy="3976868"/>
                  <wp:effectExtent b="0" l="0" r="0" t="0"/>
                  <wp:docPr descr="" title="" id="33" name="Picture"/>
                  <a:graphic>
                    <a:graphicData uri="http://schemas.openxmlformats.org/drawingml/2006/picture">
                      <pic:pic>
                        <pic:nvPicPr>
                          <pic:cNvPr descr="index_files/figure-docx/notebooks-c02_regional_convergence_sc-fig-convergence-output-1.png" id="34" name="Picture"/>
                          <pic:cNvPicPr>
                            <a:picLocks noChangeArrowheads="1" noChangeAspect="1"/>
                          </pic:cNvPicPr>
                        </pic:nvPicPr>
                        <pic:blipFill>
                          <a:blip r:embed="rId3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35">
              <w:r>
                <w:rPr>
                  <w:rStyle w:val="Hyperlink"/>
                </w:rPr>
                <w:t xml:space="preserve">Regional convergence</w:t>
              </w:r>
            </w:hyperlink>
            <w:r>
              <w:t xml:space="preserve"> </w:t>
            </w:r>
            <w:r>
              <w:t xml:space="preserve">notebook for source code.</w:t>
            </w:r>
          </w:p>
          <w:bookmarkEnd w:id="36"/>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37"/>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41" w:name="fig-map2"/>
          <w:p>
            <w:pPr>
              <w:pStyle w:val="Compact"/>
              <w:jc w:val="center"/>
            </w:pPr>
            <w:r>
              <w:drawing>
                <wp:inline>
                  <wp:extent cx="4000500" cy="7241369"/>
                  <wp:effectExtent b="0" l="0" r="0" t="0"/>
                  <wp:docPr descr="" title="" id="39" name="Picture"/>
                  <a:graphic>
                    <a:graphicData uri="http://schemas.openxmlformats.org/drawingml/2006/picture">
                      <pic:pic>
                        <pic:nvPicPr>
                          <pic:cNvPr descr="images/luminosity_map2.png" id="40" name="Picture"/>
                          <pic:cNvPicPr>
                            <a:picLocks noChangeArrowheads="1" noChangeAspect="1"/>
                          </pic:cNvPicPr>
                        </pic:nvPicPr>
                        <pic:blipFill>
                          <a:blip r:embed="rId3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2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27">
              <w:r>
                <w:rPr>
                  <w:rStyle w:val="Hyperlink"/>
                </w:rPr>
                <w:t xml:space="preserve">View from outer space</w:t>
              </w:r>
            </w:hyperlink>
            <w:r>
              <w:t xml:space="preserve"> </w:t>
            </w:r>
            <w:r>
              <w:t xml:space="preserve">notebook for source code.</w:t>
            </w:r>
          </w:p>
          <w:bookmarkEnd w:id="41"/>
        </w:tc>
      </w:tr>
    </w:tbl>
    <w:bookmarkEnd w:id="42"/>
    <w:bookmarkStart w:id="60"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we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47" w:name="fig-chorophleths"/>
          <w:p>
            <w:pPr>
              <w:pStyle w:val="Compact"/>
              <w:jc w:val="center"/>
            </w:pPr>
            <w:r>
              <w:drawing>
                <wp:inline>
                  <wp:extent cx="5334000" cy="2769972"/>
                  <wp:effectExtent b="0" l="0" r="0" t="0"/>
                  <wp:docPr descr="" title="" id="44" name="Picture"/>
                  <a:graphic>
                    <a:graphicData uri="http://schemas.openxmlformats.org/drawingml/2006/picture">
                      <pic:pic>
                        <pic:nvPicPr>
                          <pic:cNvPr descr="index_files/figure-docx/notebooks-c03_spatial_dependence_lisa-fig-chorophleths-output-1.png" id="45" name="Picture"/>
                          <pic:cNvPicPr>
                            <a:picLocks noChangeArrowheads="1" noChangeAspect="1"/>
                          </pic:cNvPicPr>
                        </pic:nvPicPr>
                        <pic:blipFill>
                          <a:blip r:embed="rId4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47"/>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51" w:name="fig-wmatrix6nn"/>
          <w:p>
            <w:pPr>
              <w:pStyle w:val="Compact"/>
              <w:jc w:val="center"/>
            </w:pPr>
            <w:r>
              <w:drawing>
                <wp:inline>
                  <wp:extent cx="5334000" cy="5052589"/>
                  <wp:effectExtent b="0" l="0" r="0" t="0"/>
                  <wp:docPr descr="" title="" id="49" name="Picture"/>
                  <a:graphic>
                    <a:graphicData uri="http://schemas.openxmlformats.org/drawingml/2006/picture">
                      <pic:pic>
                        <pic:nvPicPr>
                          <pic:cNvPr descr="index_files/figure-docx/notebooks-c03_spatial_dependence_lisa-fig-wmatrix6nn-output-1.png" id="50" name="Picture"/>
                          <pic:cNvPicPr>
                            <a:picLocks noChangeArrowheads="1" noChangeAspect="1"/>
                          </pic:cNvPicPr>
                        </pic:nvPicPr>
                        <pic:blipFill>
                          <a:blip r:embed="rId4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1"/>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55" w:name="fig-dependence-initial"/>
          <w:p>
            <w:pPr>
              <w:pStyle w:val="Compact"/>
              <w:jc w:val="center"/>
            </w:pPr>
            <w:r>
              <w:drawing>
                <wp:inline>
                  <wp:extent cx="5334000" cy="2634591"/>
                  <wp:effectExtent b="0" l="0" r="0" t="0"/>
                  <wp:docPr descr="" title="" id="53" name="Picture"/>
                  <a:graphic>
                    <a:graphicData uri="http://schemas.openxmlformats.org/drawingml/2006/picture">
                      <pic:pic>
                        <pic:nvPicPr>
                          <pic:cNvPr descr="index_files/figure-docx/notebooks-c03_spatial_dependence_lisa-fig-dependence-initial-output-1.png" id="54" name="Picture"/>
                          <pic:cNvPicPr>
                            <a:picLocks noChangeArrowheads="1" noChangeAspect="1"/>
                          </pic:cNvPicPr>
                        </pic:nvPicPr>
                        <pic:blipFill>
                          <a:blip r:embed="rId5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5"/>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59" w:name="fig-dependence-growth"/>
          <w:p>
            <w:pPr>
              <w:pStyle w:val="Compact"/>
              <w:jc w:val="center"/>
            </w:pPr>
            <w:r>
              <w:drawing>
                <wp:inline>
                  <wp:extent cx="5334000" cy="2638363"/>
                  <wp:effectExtent b="0" l="0" r="0" t="0"/>
                  <wp:docPr descr="" title="" id="57" name="Picture"/>
                  <a:graphic>
                    <a:graphicData uri="http://schemas.openxmlformats.org/drawingml/2006/picture">
                      <pic:pic>
                        <pic:nvPicPr>
                          <pic:cNvPr descr="index_files/figure-docx/notebooks-c03_spatial_dependence_lisa-fig-dependence-growth-output-1.png" id="58" name="Picture"/>
                          <pic:cNvPicPr>
                            <a:picLocks noChangeArrowheads="1" noChangeAspect="1"/>
                          </pic:cNvPicPr>
                        </pic:nvPicPr>
                        <pic:blipFill>
                          <a:blip r:embed="rId5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46">
              <w:r>
                <w:rPr>
                  <w:rStyle w:val="Hyperlink"/>
                </w:rPr>
                <w:t xml:space="preserve">Spatial dependence</w:t>
              </w:r>
            </w:hyperlink>
            <w:r>
              <w:t xml:space="preserve"> </w:t>
            </w:r>
            <w:r>
              <w:t xml:space="preserve">notebook for source code.</w:t>
            </w:r>
          </w:p>
          <w:bookmarkEnd w:id="59"/>
        </w:tc>
      </w:tr>
    </w:tbl>
    <w:bookmarkEnd w:id="60"/>
    <w:bookmarkStart w:id="62"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ordinary least squares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61"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-0.026***</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-0.013*</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(0.009)</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61"/>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OLS specifications, the direct effect strengthens from -0.020 to -0.022 in the unconditional models (Models 1 and 2) to -0.025 once district characteristics are added (Models 3 and 4), showing that omitting these characteristics attenuates the estimated speed of convergence.</w:t>
      </w:r>
      <w:r>
        <w:t xml:space="preserve"> </w:t>
      </w:r>
      <w:r>
        <w:t xml:space="preserve">The spatial Durbin direct effects match this pattern in the conditional models (-0.026 in Model 3 and -0.025 in Model 4).</w:t>
      </w:r>
      <w:r>
        <w:t xml:space="preserve"> </w:t>
      </w:r>
      <w:r>
        <w:t xml:space="preserve">In the unconditional models, however, the impact decomposition is unreliable: the spatial autoregressive parameter is very large (around 0.8 in Model 1), which inflates the Model 1 direct effect to -0.026.</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statistically insignificant and erratic—negative in Model 2 but positive in Model 1—reflecting how, without controls, the strong residual spatial dependence confounds the spillover estimates with omitted variables.</w:t>
      </w:r>
      <w:r>
        <w:t xml:space="preserve"> </w:t>
      </w:r>
      <w:r>
        <w:t xml:space="preserve">However, once district-level controls are introduced (Models 3 and 4), the indirect effects become both larger in magnitude and statistically significant at the 10% level, reaching -0.015 in Model 3 and -0.013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in magnitude than the OLS estimate (-0.025).</w:t>
      </w:r>
      <w:r>
        <w:t xml:space="preserve"> </w:t>
      </w:r>
      <w:r>
        <w:t xml:space="preserve">Translated into an annual speed of convergence, this raises the implied speed from about 3.0% under OLS to about 5.2% under the SDM, shortening the implied half-life from roughly 23 to 13 years.</w:t>
      </w:r>
      <w:r>
        <w:t xml:space="preserve"> </w:t>
      </w:r>
      <w:r>
        <w:t xml:space="preserve">The gap is even larger in Model 3 (SDM total -0.041 vs. OLS -0.025, or 64%), but because the Model 3 and Model 4 spillover estimates are statistically indistinguishable we anchor our interpretation on the preferred Model 4.</w:t>
      </w:r>
      <w:r>
        <w:t xml:space="preserve"> </w:t>
      </w:r>
      <w:r>
        <w:t xml:space="preserve">These differences indicate that conventional non-spatial approaches may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-2501 compared to -2465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347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62"/>
    <w:bookmarkEnd w:id="63"/>
    <w:bookmarkStart w:id="77" w:name="discussion"/>
    <w:p>
      <w:pPr>
        <w:pStyle w:val="Heading2"/>
      </w:pPr>
      <w:r>
        <w:t xml:space="preserve">Discussion</w:t>
      </w:r>
    </w:p>
    <w:bookmarkStart w:id="7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et al.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proposes a Culture-Based Development framework arguing that regional cultural participation patterns—measured through revealed preferences in household expenditure and survey data—predict regional development patterns.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32 Indian states and union territories, we can examine the extent to which luminosity is associated with regional cultural patterns (see</w:t>
      </w:r>
      <w:r>
        <w:t xml:space="preserve"> </w:t>
      </w:r>
      <w:hyperlink r:id="rId64">
        <w:r>
          <w:rPr>
            <w:rStyle w:val="Hyperlink"/>
          </w:rPr>
          <w:t xml:space="preserve">Spatial culture</w:t>
        </w:r>
      </w:hyperlink>
      <w:r>
        <w:t xml:space="preserve"> </w:t>
      </w:r>
      <w:r>
        <w:t xml:space="preserve">notebook for details and extended analyses).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68" w:name="fig-culture-scatter"/>
          <w:p>
            <w:pPr>
              <w:pStyle w:val="Compact"/>
              <w:jc w:val="center"/>
            </w:pPr>
            <w:r>
              <w:drawing>
                <wp:inline>
                  <wp:extent cx="5334000" cy="2649719"/>
                  <wp:effectExtent b="0" l="0" r="0" t="0"/>
                  <wp:docPr descr="" title="" id="66" name="Picture"/>
                  <a:graphic>
                    <a:graphicData uri="http://schemas.openxmlformats.org/drawingml/2006/picture">
                      <pic:pic>
                        <pic:nvPicPr>
                          <pic:cNvPr descr="index_files/figure-docx/notebooks-c06_spatial_culture-fig-culture-scatter-output-1.png" id="67" name="Picture"/>
                          <pic:cNvPicPr>
                            <a:picLocks noChangeArrowheads="1" noChangeAspect="1"/>
                          </pic:cNvPicPr>
                        </pic:nvPicPr>
                        <pic:blipFill>
                          <a:blip r:embed="rId6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64">
              <w:r>
                <w:rPr>
                  <w:rStyle w:val="Hyperlink"/>
                </w:rPr>
                <w:t xml:space="preserve">Spatial culture</w:t>
              </w:r>
            </w:hyperlink>
            <w:r>
              <w:t xml:space="preserve"> </w:t>
            </w:r>
            <w:r>
              <w:t xml:space="preserve">notebook for source code.</w:t>
            </w:r>
          </w:p>
          <w:bookmarkEnd w:id="68"/>
        </w:tc>
      </w:tr>
    </w:tbl>
    <w:p>
      <w:pPr>
        <w:pStyle w:val="BodyText"/>
      </w:pP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with nighttime light luminosity.</w:t>
      </w:r>
      <w:r>
        <w:t xml:space="preserve"> </w:t>
      </w:r>
      <w:r>
        <w:t xml:space="preserve">That is, states with higher luminosity consume more culture through television and media.</w:t>
      </w:r>
      <w:r>
        <w:t xml:space="preserve"> </w:t>
      </w:r>
      <w:r>
        <w:t xml:space="preserve">This link is intuitive: access to television depends on electrification and urbanization, which are closely tied to luminosity.</w:t>
      </w:r>
    </w:p>
    <w:p>
      <w:pPr>
        <w:pStyle w:val="BodyText"/>
      </w:pPr>
      <w:r>
        <w:t xml:space="preserve">In contrast, socio-cultural participation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w:t>
      </w:r>
      <w:r>
        <w:t xml:space="preserve"> </w:t>
      </w:r>
      <w:r>
        <w:t xml:space="preserve">That is, community-based cultural engagement is stronger in states with less luminosity.</w:t>
      </w:r>
      <w:r>
        <w:t xml:space="preserve"> </w:t>
      </w:r>
      <w:r>
        <w:t xml:space="preserve">This suggests that less urbanized regions rely more on collective, in-person forms of cultural participation rather than on media infrastructure.</w:t>
      </w:r>
    </w:p>
    <w:p>
      <w:pPr>
        <w:pStyle w:val="BodyText"/>
      </w:pPr>
      <w:hyperlink w:anchor="fig-culture-lisa">
        <w:r>
          <w:rPr>
            <w:rStyle w:val="Hyperlink"/>
          </w:rPr>
          <w:t xml:space="preserve">Figure 9</w:t>
        </w:r>
      </w:hyperlink>
      <w:r>
        <w:t xml:space="preserve"> </w:t>
      </w:r>
      <w:r>
        <w:t xml:space="preserve">presents spatial distribution of these two cultural variables through the lens of a LISA analysis.</w:t>
      </w:r>
      <w:r>
        <w:t xml:space="preserve"> </w:t>
      </w:r>
      <w:r>
        <w:t xml:space="preserve">Both dimensions exhibit significant spatial autocorrelation, indicating that cultural participation is not randomly distributed across Indian states.</w:t>
      </w:r>
      <w:r>
        <w:t xml:space="preserve"> </w:t>
      </w:r>
      <w:r>
        <w:t xml:space="preserve">The spatial clustering of cultural telecast broadly mirrors the economic geography distribution.</w:t>
      </w:r>
      <w:r>
        <w:t xml:space="preserve"> </w:t>
      </w:r>
      <w:r>
        <w:t xml:space="preserve">States in the western and southern regions form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72" w:name="fig-culture-lisa"/>
          <w:p>
            <w:pPr>
              <w:pStyle w:val="Compact"/>
              <w:jc w:val="center"/>
            </w:pPr>
            <w:r>
              <w:drawing>
                <wp:inline>
                  <wp:extent cx="5334000" cy="5380315"/>
                  <wp:effectExtent b="0" l="0" r="0" t="0"/>
                  <wp:docPr descr="" title="" id="70" name="Picture"/>
                  <a:graphic>
                    <a:graphicData uri="http://schemas.openxmlformats.org/drawingml/2006/picture">
                      <pic:pic>
                        <pic:nvPicPr>
                          <pic:cNvPr descr="index_files/figure-docx/notebooks-c06_spatial_culture-fig-culture-lisa-output-1.png" id="71" name="Picture"/>
                          <pic:cNvPicPr>
                            <a:picLocks noChangeArrowheads="1" noChangeAspect="1"/>
                          </pic:cNvPicPr>
                        </pic:nvPicPr>
                        <pic:blipFill>
                          <a:blip r:embed="rId6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64">
              <w:r>
                <w:rPr>
                  <w:rStyle w:val="Hyperlink"/>
                </w:rPr>
                <w:t xml:space="preserve">Spatial culture</w:t>
              </w:r>
            </w:hyperlink>
            <w:r>
              <w:t xml:space="preserve"> </w:t>
            </w:r>
            <w:r>
              <w:t xml:space="preserve">notebook for source code.</w:t>
            </w:r>
          </w:p>
          <w:bookmarkEnd w:id="72"/>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dimensions—live cultural performance, cultural heritage and religion, live cultural shows, and sports—show no statistically significant association with luminosity.</w:t>
      </w:r>
      <w:r>
        <w:t xml:space="preserve"> </w:t>
      </w:r>
      <w:r>
        <w:t xml:space="preserve">However, these findings are based on a small cross-section of 32 states observed at a single point in time.</w:t>
      </w:r>
      <w:r>
        <w:t xml:space="preserve"> </w:t>
      </w:r>
      <w:r>
        <w:t xml:space="preserve">Further investigation with larger datasets covering more regions and additional time periods is needed to establish whether these patterns are robust.</w:t>
      </w:r>
    </w:p>
    <w:bookmarkEnd w:id="73"/>
    <w:bookmarkStart w:id="7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et al. 2012;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et al.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especially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74"/>
    <w:bookmarkStart w:id="7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et al.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allow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Chen et al.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et al.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75"/>
    <w:bookmarkStart w:id="7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76"/>
    <w:bookmarkEnd w:id="77"/>
    <w:bookmarkStart w:id="7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notebooks executable in the cloud through Google Colaboratory, we aim to encourage broader adoption of reproducible open-science practices.</w:t>
      </w:r>
    </w:p>
    <w:bookmarkEnd w:id="78"/>
    <w:bookmarkStart w:id="7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79"/>
    <w:bookmarkStart w:id="80" w:name="conflict-of-interest"/>
    <w:p>
      <w:pPr>
        <w:pStyle w:val="Heading2"/>
      </w:pPr>
      <w:r>
        <w:t xml:space="preserve">Conflict of Interest</w:t>
      </w:r>
    </w:p>
    <w:p>
      <w:pPr>
        <w:pStyle w:val="FirstParagraph"/>
      </w:pPr>
      <w:r>
        <w:t xml:space="preserve">The authors declare no conflict of interest.</w:t>
      </w:r>
    </w:p>
    <w:bookmarkEnd w:id="80"/>
    <w:bookmarkStart w:id="174"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The interactive HTML version of this manuscript (</w:t>
      </w:r>
      <w:hyperlink r:id="rId8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All notebooks can be executed in the cloud using Google Colaboratory without requiring local software installation.</w:t>
      </w:r>
      <w:r>
        <w:t xml:space="preserve"> </w:t>
      </w:r>
      <w:r>
        <w:t xml:space="preserve">The computational notebooks are implemented entirely in Python; an earlier implementation of the same analysis used R and Stata, and the present Python results are largely consistent with it—the only material difference being the impact decomposition of the unconditional spatial Durbin model (Model 1), whose total effect is unchanged.</w:t>
      </w:r>
    </w:p>
    <w:bookmarkStart w:id="173" w:name="refs"/>
    <w:bookmarkStart w:id="8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82">
        <w:r>
          <w:rPr>
            <w:rStyle w:val="Hyperlink"/>
          </w:rPr>
          <w:t xml:space="preserve">https://doi.org/10.1016/j.rse.2018.03.018</w:t>
        </w:r>
      </w:hyperlink>
      <w:r>
        <w:t xml:space="preserve">.</w:t>
      </w:r>
    </w:p>
    <w:bookmarkEnd w:id="83"/>
    <w:bookmarkStart w:id="85"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84">
        <w:r>
          <w:rPr>
            <w:rStyle w:val="Hyperlink"/>
          </w:rPr>
          <w:t xml:space="preserve">https://doi.org/10.1111/ecin.12967</w:t>
        </w:r>
      </w:hyperlink>
      <w:r>
        <w:t xml:space="preserve">.</w:t>
      </w:r>
    </w:p>
    <w:bookmarkEnd w:id="85"/>
    <w:bookmarkStart w:id="87" w:name="ref-allaire_quarto"/>
    <w:p>
      <w:pPr>
        <w:pStyle w:val="Bibliography"/>
      </w:pPr>
      <w:r>
        <w:t xml:space="preserve">Allaire, J. J., Charles Teague, Carlos Scheidegger, Yihui Xie, and Christophe Dervieux. 2024.</w:t>
      </w:r>
      <w:r>
        <w:t xml:space="preserve"> </w:t>
      </w:r>
      <w:r>
        <w:rPr>
          <w:i/>
          <w:iCs/>
        </w:rPr>
        <w:t xml:space="preserve">Quarto</w:t>
      </w:r>
      <w:r>
        <w:t xml:space="preserve">.</w:t>
      </w:r>
      <w:r>
        <w:t xml:space="preserve"> </w:t>
      </w:r>
      <w:hyperlink r:id="rId86">
        <w:r>
          <w:rPr>
            <w:rStyle w:val="Hyperlink"/>
          </w:rPr>
          <w:t xml:space="preserve">https://quarto.org</w:t>
        </w:r>
      </w:hyperlink>
      <w:r>
        <w:t xml:space="preserve">.</w:t>
      </w:r>
    </w:p>
    <w:bookmarkEnd w:id="87"/>
    <w:bookmarkStart w:id="8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88">
        <w:r>
          <w:rPr>
            <w:rStyle w:val="Hyperlink"/>
          </w:rPr>
          <w:t xml:space="preserve">https://doi.org/10.1007/978-94-015-7799-1</w:t>
        </w:r>
      </w:hyperlink>
      <w:r>
        <w:t xml:space="preserve">.</w:t>
      </w:r>
    </w:p>
    <w:bookmarkEnd w:id="89"/>
    <w:bookmarkStart w:id="91" w:name="ref-anselin_lisa"/>
    <w:p>
      <w:pPr>
        <w:pStyle w:val="Bibliography"/>
      </w:pPr>
      <w:r>
        <w:t xml:space="preserve">Anselin, Luc.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90">
        <w:r>
          <w:rPr>
            <w:rStyle w:val="Hyperlink"/>
          </w:rPr>
          <w:t xml:space="preserve">https://doi.org/10.1111/j.1538-4632.1995.tb00338.x</w:t>
        </w:r>
      </w:hyperlink>
      <w:r>
        <w:t xml:space="preserve">.</w:t>
      </w:r>
    </w:p>
    <w:bookmarkEnd w:id="91"/>
    <w:bookmarkStart w:id="9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92">
        <w:r>
          <w:rPr>
            <w:rStyle w:val="Hyperlink"/>
          </w:rPr>
          <w:t xml:space="preserve">https://doi.org/10.1257/aer.20180268</w:t>
        </w:r>
      </w:hyperlink>
      <w:r>
        <w:t xml:space="preserve">.</w:t>
      </w:r>
    </w:p>
    <w:bookmarkEnd w:id="93"/>
    <w:bookmarkStart w:id="9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94">
        <w:r>
          <w:rPr>
            <w:rStyle w:val="Hyperlink"/>
          </w:rPr>
          <w:t xml:space="preserve">https://doi.org/10.1086/261816</w:t>
        </w:r>
      </w:hyperlink>
      <w:r>
        <w:t xml:space="preserve">.</w:t>
      </w:r>
    </w:p>
    <w:bookmarkEnd w:id="95"/>
    <w:bookmarkStart w:id="9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96">
        <w:r>
          <w:rPr>
            <w:rStyle w:val="Hyperlink"/>
          </w:rPr>
          <w:t xml:space="preserve">https://doi.org/10.1016/j.asieco.2021.101318</w:t>
        </w:r>
      </w:hyperlink>
      <w:r>
        <w:t xml:space="preserve">.</w:t>
      </w:r>
    </w:p>
    <w:bookmarkEnd w:id="97"/>
    <w:bookmarkStart w:id="99"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98">
        <w:r>
          <w:rPr>
            <w:rStyle w:val="Hyperlink"/>
          </w:rPr>
          <w:t xml:space="preserve">https://www.epw.in/journal/2017/25-26/notes/will-gst-exacerbate-regional-divergence.html</w:t>
        </w:r>
      </w:hyperlink>
      <w:r>
        <w:t xml:space="preserve">.</w:t>
      </w:r>
    </w:p>
    <w:bookmarkEnd w:id="99"/>
    <w:bookmarkStart w:id="101"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00">
        <w:r>
          <w:rPr>
            <w:rStyle w:val="Hyperlink"/>
          </w:rPr>
          <w:t xml:space="preserve">https://doi.org/10.1016/j.jmacro.2022.103438</w:t>
        </w:r>
      </w:hyperlink>
      <w:r>
        <w:t xml:space="preserve">.</w:t>
      </w:r>
    </w:p>
    <w:bookmarkEnd w:id="101"/>
    <w:bookmarkStart w:id="103"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02">
        <w:r>
          <w:rPr>
            <w:rStyle w:val="Hyperlink"/>
          </w:rPr>
          <w:t xml:space="preserve">https://doi.org/10.1016/j.worlddev.2020.104961</w:t>
        </w:r>
      </w:hyperlink>
      <w:r>
        <w:t xml:space="preserve">.</w:t>
      </w:r>
    </w:p>
    <w:bookmarkEnd w:id="103"/>
    <w:bookmarkStart w:id="105"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04">
        <w:r>
          <w:rPr>
            <w:rStyle w:val="Hyperlink"/>
          </w:rPr>
          <w:t xml:space="preserve">https://doi.org/10.1073/pnas.1017031108</w:t>
        </w:r>
      </w:hyperlink>
      <w:r>
        <w:t xml:space="preserve">.</w:t>
      </w:r>
    </w:p>
    <w:bookmarkEnd w:id="105"/>
    <w:bookmarkStart w:id="107"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06">
        <w:r>
          <w:rPr>
            <w:rStyle w:val="Hyperlink"/>
          </w:rPr>
          <w:t xml:space="preserve">https://doi.org/10.1007/s12076-024-00375-x</w:t>
        </w:r>
      </w:hyperlink>
      <w:r>
        <w:t xml:space="preserve">.</w:t>
      </w:r>
    </w:p>
    <w:bookmarkEnd w:id="107"/>
    <w:bookmarkStart w:id="109"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08">
        <w:r>
          <w:rPr>
            <w:rStyle w:val="Hyperlink"/>
          </w:rPr>
          <w:t xml:space="preserve">https://doi.org/10.1162/rest_a_00951</w:t>
        </w:r>
      </w:hyperlink>
      <w:r>
        <w:t xml:space="preserve">.</w:t>
      </w:r>
    </w:p>
    <w:bookmarkEnd w:id="109"/>
    <w:bookmarkStart w:id="111"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0">
        <w:r>
          <w:rPr>
            <w:rStyle w:val="Hyperlink"/>
          </w:rPr>
          <w:t xml:space="preserve">https://doi.org/10.1257/jep.30.4.171</w:t>
        </w:r>
      </w:hyperlink>
      <w:r>
        <w:t xml:space="preserve">.</w:t>
      </w:r>
    </w:p>
    <w:bookmarkEnd w:id="111"/>
    <w:bookmarkStart w:id="113"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12">
        <w:r>
          <w:rPr>
            <w:rStyle w:val="Hyperlink"/>
          </w:rPr>
          <w:t xml:space="preserve">https://doi.org/10.1002/jae.3950100404</w:t>
        </w:r>
      </w:hyperlink>
      <w:r>
        <w:t xml:space="preserve">.</w:t>
      </w:r>
    </w:p>
    <w:bookmarkEnd w:id="113"/>
    <w:bookmarkStart w:id="115"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14">
        <w:r>
          <w:rPr>
            <w:rStyle w:val="Hyperlink"/>
          </w:rPr>
          <w:t xml:space="preserve">https://doi.org/10.1080/01431161.2017.1342050</w:t>
        </w:r>
      </w:hyperlink>
      <w:r>
        <w:t xml:space="preserve">.</w:t>
      </w:r>
    </w:p>
    <w:bookmarkEnd w:id="115"/>
    <w:bookmarkStart w:id="117"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16">
        <w:r>
          <w:rPr>
            <w:rStyle w:val="Hyperlink"/>
          </w:rPr>
          <w:t xml:space="preserve">https://doi.org/10.1002/jae.963</w:t>
        </w:r>
      </w:hyperlink>
      <w:r>
        <w:t xml:space="preserve">.</w:t>
      </w:r>
    </w:p>
    <w:bookmarkEnd w:id="117"/>
    <w:bookmarkStart w:id="119"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18">
        <w:r>
          <w:rPr>
            <w:rStyle w:val="Hyperlink"/>
          </w:rPr>
          <w:t xml:space="preserve">https://doi.org/10.1007/s00168-010-0384-6</w:t>
        </w:r>
      </w:hyperlink>
      <w:r>
        <w:t xml:space="preserve">.</w:t>
      </w:r>
    </w:p>
    <w:bookmarkEnd w:id="119"/>
    <w:bookmarkStart w:id="121"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0">
        <w:r>
          <w:rPr>
            <w:rStyle w:val="Hyperlink"/>
          </w:rPr>
          <w:t xml:space="preserve">https://doi.org/10.1016/j.jdeveco.2020.102602</w:t>
        </w:r>
      </w:hyperlink>
      <w:r>
        <w:t xml:space="preserve">.</w:t>
      </w:r>
    </w:p>
    <w:bookmarkEnd w:id="121"/>
    <w:bookmarkStart w:id="123"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122">
        <w:r>
          <w:rPr>
            <w:rStyle w:val="Hyperlink"/>
          </w:rPr>
          <w:t xml:space="preserve">https://doi.org/10.1080/00036846.2024.2439583</w:t>
        </w:r>
      </w:hyperlink>
      <w:r>
        <w:t xml:space="preserve">.</w:t>
      </w:r>
    </w:p>
    <w:bookmarkEnd w:id="123"/>
    <w:bookmarkStart w:id="125"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24">
        <w:r>
          <w:rPr>
            <w:rStyle w:val="Hyperlink"/>
          </w:rPr>
          <w:t xml:space="preserve">https://doi.org/10.1016/j.rse.2017.06.031</w:t>
        </w:r>
      </w:hyperlink>
      <w:r>
        <w:t xml:space="preserve">.</w:t>
      </w:r>
    </w:p>
    <w:bookmarkEnd w:id="125"/>
    <w:bookmarkStart w:id="127"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26">
        <w:r>
          <w:rPr>
            <w:rStyle w:val="Hyperlink"/>
          </w:rPr>
          <w:t xml:space="preserve">https://doi.org/10.1257/aer.102.2.994</w:t>
        </w:r>
      </w:hyperlink>
      <w:r>
        <w:t xml:space="preserve">.</w:t>
      </w:r>
    </w:p>
    <w:bookmarkEnd w:id="127"/>
    <w:bookmarkStart w:id="129"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28">
        <w:r>
          <w:rPr>
            <w:rStyle w:val="Hyperlink"/>
          </w:rPr>
          <w:t xml:space="preserve">https://doi.org/10.1007/s12076-025-00397-z</w:t>
        </w:r>
      </w:hyperlink>
      <w:r>
        <w:t xml:space="preserve">.</w:t>
      </w:r>
    </w:p>
    <w:bookmarkEnd w:id="129"/>
    <w:bookmarkStart w:id="131"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0">
        <w:r>
          <w:rPr>
            <w:rStyle w:val="Hyperlink"/>
          </w:rPr>
          <w:t xml:space="preserve">https://doi.org/10.1126/science.aaf7894</w:t>
        </w:r>
      </w:hyperlink>
      <w:r>
        <w:t xml:space="preserve">.</w:t>
      </w:r>
    </w:p>
    <w:bookmarkEnd w:id="131"/>
    <w:bookmarkStart w:id="133"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1653–708.</w:t>
      </w:r>
      <w:r>
        <w:t xml:space="preserve"> </w:t>
      </w:r>
      <w:hyperlink r:id="rId132">
        <w:r>
          <w:rPr>
            <w:rStyle w:val="Hyperlink"/>
          </w:rPr>
          <w:t xml:space="preserve">https://doi.org/10.1086/725058</w:t>
        </w:r>
      </w:hyperlink>
      <w:r>
        <w:t xml:space="preserve">.</w:t>
      </w:r>
    </w:p>
    <w:bookmarkEnd w:id="133"/>
    <w:bookmarkStart w:id="135"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34">
        <w:r>
          <w:rPr>
            <w:rStyle w:val="Hyperlink"/>
          </w:rPr>
          <w:t xml:space="preserve">https://doi.org/10.1016/j.worlddev.2014.08.017</w:t>
        </w:r>
      </w:hyperlink>
      <w:r>
        <w:t xml:space="preserve">.</w:t>
      </w:r>
    </w:p>
    <w:bookmarkEnd w:id="135"/>
    <w:bookmarkStart w:id="137"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1593–618.</w:t>
      </w:r>
      <w:r>
        <w:t xml:space="preserve"> </w:t>
      </w:r>
      <w:hyperlink r:id="rId136">
        <w:r>
          <w:rPr>
            <w:rStyle w:val="Hyperlink"/>
          </w:rPr>
          <w:t xml:space="preserve">https://doi.org/10.1007/s11205-025-03718-3</w:t>
        </w:r>
      </w:hyperlink>
      <w:r>
        <w:t xml:space="preserve">.</w:t>
      </w:r>
    </w:p>
    <w:bookmarkEnd w:id="137"/>
    <w:bookmarkStart w:id="138" w:name="ref-kluyver_jupyter"/>
    <w:p>
      <w:pPr>
        <w:pStyle w:val="Bibliography"/>
      </w:pPr>
      <w:r>
        <w:t xml:space="preserve">Kluyver, Thomas, Benjamin Ragan-Kelley, Fernando Pérez, et al.</w:t>
      </w:r>
      <w:r>
        <w:t xml:space="preserve"> 2016.</w:t>
      </w:r>
      <w:r>
        <w:t xml:space="preserve"> </w:t>
      </w:r>
      <w:r>
        <w:t xml:space="preserve">“Jupyter Notebooks—a Publishing Format for Reproducible Computational Workflows.”</w:t>
      </w:r>
      <w:r>
        <w:t xml:space="preserve"> </w:t>
      </w:r>
      <w:r>
        <w:rPr>
          <w:i/>
          <w:iCs/>
        </w:rPr>
        <w:t xml:space="preserve">Positioning and Power in Academic Publishing: Players, Agents and Agendas</w:t>
      </w:r>
      <w:r>
        <w:t xml:space="preserve">, 87–90.</w:t>
      </w:r>
    </w:p>
    <w:bookmarkEnd w:id="138"/>
    <w:bookmarkStart w:id="140"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39">
        <w:r>
          <w:rPr>
            <w:rStyle w:val="Hyperlink"/>
          </w:rPr>
          <w:t xml:space="preserve">https://doi.org/10.1093/comjnl/27.2.97</w:t>
        </w:r>
      </w:hyperlink>
      <w:r>
        <w:t xml:space="preserve">.</w:t>
      </w:r>
    </w:p>
    <w:bookmarkEnd w:id="140"/>
    <w:bookmarkStart w:id="142"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41">
        <w:r>
          <w:rPr>
            <w:rStyle w:val="Hyperlink"/>
          </w:rPr>
          <w:t xml:space="preserve">https://doi.org/10.1201/9781420064254</w:t>
        </w:r>
      </w:hyperlink>
      <w:r>
        <w:t xml:space="preserve">.</w:t>
      </w:r>
    </w:p>
    <w:bookmarkEnd w:id="142"/>
    <w:bookmarkStart w:id="144"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43">
        <w:r>
          <w:rPr>
            <w:rStyle w:val="Hyperlink"/>
          </w:rPr>
          <w:t xml:space="preserve">https://doi.org/10.1016/j.euroecorev.2016.11.009</w:t>
        </w:r>
      </w:hyperlink>
      <w:r>
        <w:t xml:space="preserve">.</w:t>
      </w:r>
    </w:p>
    <w:bookmarkEnd w:id="144"/>
    <w:bookmarkStart w:id="146"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45">
        <w:r>
          <w:rPr>
            <w:rStyle w:val="Hyperlink"/>
          </w:rPr>
          <w:t xml:space="preserve">https://doi.org/10.1038/s41597-020-0510-y</w:t>
        </w:r>
      </w:hyperlink>
      <w:r>
        <w:t xml:space="preserve">.</w:t>
      </w:r>
    </w:p>
    <w:bookmarkEnd w:id="146"/>
    <w:bookmarkStart w:id="148"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47">
        <w:r>
          <w:rPr>
            <w:rStyle w:val="Hyperlink"/>
          </w:rPr>
          <w:t xml:space="preserve">https://doi.org/10.1371/journal.pone.0139779</w:t>
        </w:r>
      </w:hyperlink>
      <w:r>
        <w:t xml:space="preserve">.</w:t>
      </w:r>
    </w:p>
    <w:bookmarkEnd w:id="148"/>
    <w:bookmarkStart w:id="150" w:name="ref-mendez_patnaik_notebook"/>
    <w:p>
      <w:pPr>
        <w:pStyle w:val="Bibliography"/>
      </w:pPr>
      <w:r>
        <w:t xml:space="preserve">Mendez, Carlos, and Ayush Patnaik. 2024.</w:t>
      </w:r>
      <w:r>
        <w:t xml:space="preserve"> </w:t>
      </w:r>
      <w:r>
        <w:rPr>
          <w:i/>
          <w:iCs/>
        </w:rPr>
        <w:t xml:space="preserve">A Python Notebook for Processing Nighttime Lights Data: Methods and Applications</w:t>
      </w:r>
      <w:r>
        <w:t xml:space="preserve">. GitHub Repository.</w:t>
      </w:r>
      <w:r>
        <w:t xml:space="preserve"> </w:t>
      </w:r>
      <w:hyperlink r:id="rId149">
        <w:r>
          <w:rPr>
            <w:rStyle w:val="Hyperlink"/>
          </w:rPr>
          <w:t xml:space="preserve">https://github.com/quarcs-lab/project2022p</w:t>
        </w:r>
      </w:hyperlink>
      <w:r>
        <w:t xml:space="preserve">.</w:t>
      </w:r>
    </w:p>
    <w:bookmarkEnd w:id="150"/>
    <w:bookmarkStart w:id="152"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51">
        <w:r>
          <w:rPr>
            <w:rStyle w:val="Hyperlink"/>
          </w:rPr>
          <w:t xml:space="preserve">https://doi.org/10.1080/00074918.2022.2071415</w:t>
        </w:r>
      </w:hyperlink>
      <w:r>
        <w:t xml:space="preserve">.</w:t>
      </w:r>
    </w:p>
    <w:bookmarkEnd w:id="152"/>
    <w:bookmarkStart w:id="154"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53">
        <w:r>
          <w:rPr>
            <w:rStyle w:val="Hyperlink"/>
          </w:rPr>
          <w:t xml:space="preserve">https://doi.org/10.2307/2332142</w:t>
        </w:r>
      </w:hyperlink>
      <w:r>
        <w:t xml:space="preserve">.</w:t>
      </w:r>
    </w:p>
    <w:bookmarkEnd w:id="154"/>
    <w:bookmarkStart w:id="156"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5">
        <w:r>
          <w:rPr>
            <w:rStyle w:val="Hyperlink"/>
          </w:rPr>
          <w:t xml:space="preserve">https://doi.org/10.1126/science.1213847</w:t>
        </w:r>
      </w:hyperlink>
      <w:r>
        <w:t xml:space="preserve">.</w:t>
      </w:r>
    </w:p>
    <w:bookmarkEnd w:id="156"/>
    <w:bookmarkStart w:id="158"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57">
        <w:r>
          <w:rPr>
            <w:rStyle w:val="Hyperlink"/>
          </w:rPr>
          <w:t xml:space="preserve">https://doi.org/10.1093/qje/qjw003</w:t>
        </w:r>
      </w:hyperlink>
      <w:r>
        <w:t xml:space="preserve">.</w:t>
      </w:r>
    </w:p>
    <w:bookmarkEnd w:id="158"/>
    <w:bookmarkStart w:id="160"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59">
        <w:r>
          <w:rPr>
            <w:rStyle w:val="Hyperlink"/>
          </w:rPr>
          <w:t xml:space="preserve">https://doi.org/10.2307/2235377</w:t>
        </w:r>
      </w:hyperlink>
      <w:r>
        <w:t xml:space="preserve">.</w:t>
      </w:r>
    </w:p>
    <w:bookmarkEnd w:id="160"/>
    <w:bookmarkStart w:id="162"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61">
        <w:r>
          <w:rPr>
            <w:rStyle w:val="Hyperlink"/>
          </w:rPr>
          <w:t xml:space="preserve">https://doi.org/10.1080/00343409950122945</w:t>
        </w:r>
      </w:hyperlink>
      <w:r>
        <w:t xml:space="preserve">.</w:t>
      </w:r>
    </w:p>
    <w:bookmarkEnd w:id="162"/>
    <w:bookmarkStart w:id="164"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63">
        <w:r>
          <w:rPr>
            <w:rStyle w:val="Hyperlink"/>
          </w:rPr>
          <w:t xml:space="preserve">https://doi.org/10.2307/1884513</w:t>
        </w:r>
      </w:hyperlink>
      <w:r>
        <w:t xml:space="preserve">.</w:t>
      </w:r>
    </w:p>
    <w:bookmarkEnd w:id="164"/>
    <w:bookmarkStart w:id="166"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65">
        <w:r>
          <w:rPr>
            <w:rStyle w:val="Hyperlink"/>
          </w:rPr>
          <w:t xml:space="preserve">https://doi.org/10.1016/j.isprsjprs.2020.04.001</w:t>
        </w:r>
      </w:hyperlink>
      <w:r>
        <w:t xml:space="preserve">.</w:t>
      </w:r>
    </w:p>
    <w:bookmarkEnd w:id="166"/>
    <w:bookmarkStart w:id="168"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67">
        <w:r>
          <w:rPr>
            <w:rStyle w:val="Hyperlink"/>
          </w:rPr>
          <w:t xml:space="preserve">https://doi.org/10.1080/13547860.2022.2041286</w:t>
        </w:r>
      </w:hyperlink>
      <w:r>
        <w:t xml:space="preserve">.</w:t>
      </w:r>
    </w:p>
    <w:bookmarkEnd w:id="168"/>
    <w:bookmarkStart w:id="170"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69">
        <w:r>
          <w:rPr>
            <w:rStyle w:val="Hyperlink"/>
          </w:rPr>
          <w:t xml:space="preserve">https://doi.org/10.1111/polp.70050</w:t>
        </w:r>
      </w:hyperlink>
      <w:r>
        <w:t xml:space="preserve">.</w:t>
      </w:r>
    </w:p>
    <w:bookmarkEnd w:id="170"/>
    <w:bookmarkStart w:id="172"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71">
        <w:r>
          <w:rPr>
            <w:rStyle w:val="Hyperlink"/>
          </w:rPr>
          <w:t xml:space="preserve">https://doi.org/10.1007/s00168-022-01168-0</w:t>
        </w:r>
      </w:hyperlink>
      <w:r>
        <w:t xml:space="preserve">.</w:t>
      </w:r>
    </w:p>
    <w:bookmarkEnd w:id="172"/>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25">
    <w:p>
      <w:pPr>
        <w:pStyle w:val="FootnoteText"/>
      </w:pPr>
      <w:r>
        <w:rPr>
          <w:rStyle w:val="FootnoteReference"/>
        </w:rPr>
        <w:footnoteRef/>
      </w:r>
      <w:r>
        <w:t xml:space="preserve"> </w:t>
      </w:r>
      <w:r>
        <w:t xml:space="preserve">The interactive web application is available at</w:t>
      </w:r>
      <w:r>
        <w:t xml:space="preserve"> </w:t>
      </w:r>
      <w:hyperlink r:id="rId26">
        <w:r>
          <w:rPr>
            <w:rStyle w:val="Hyperlink"/>
          </w:rPr>
          <w:t xml:space="preserve">https://bit.ly/india-rc-ntl</w:t>
        </w:r>
      </w:hyperlink>
      <w:r>
        <w:t xml:space="preserve">. It was developed using Google Earth Engine and the source code is available in the</w:t>
      </w:r>
      <w:r>
        <w:t xml:space="preserve"> </w:t>
      </w:r>
      <w:hyperlink r:id="rId27">
        <w:r>
          <w:rPr>
            <w:rStyle w:val="Hyperlink"/>
          </w:rPr>
          <w:t xml:space="preserve">View from outer space</w:t>
        </w:r>
      </w:hyperlink>
      <w:r>
        <w:t xml:space="preserve"> </w:t>
      </w:r>
      <w:r>
        <w:t xml:space="preserve">notebook.</w:t>
      </w:r>
    </w:p>
  </w:footnote>
  <w:footnote w:id="37">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48" Target="media/rId48.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hyperlink" Id="rId26" Target="https://bit.ly/india-rc-ntl" TargetMode="External" /><Relationship Type="http://schemas.openxmlformats.org/officeDocument/2006/relationships/hyperlink" Id="rId112" Target="https://doi.org/10.1002/jae.3950100404" TargetMode="External" /><Relationship Type="http://schemas.openxmlformats.org/officeDocument/2006/relationships/hyperlink" Id="rId116" Target="https://doi.org/10.1002/jae.963" TargetMode="External" /><Relationship Type="http://schemas.openxmlformats.org/officeDocument/2006/relationships/hyperlink" Id="rId88" Target="https://doi.org/10.1007/978-94-015-7799-1" TargetMode="External" /><Relationship Type="http://schemas.openxmlformats.org/officeDocument/2006/relationships/hyperlink" Id="rId118" Target="https://doi.org/10.1007/s00168-010-0384-6" TargetMode="External" /><Relationship Type="http://schemas.openxmlformats.org/officeDocument/2006/relationships/hyperlink" Id="rId171" Target="https://doi.org/10.1007/s00168-022-01168-0" TargetMode="External" /><Relationship Type="http://schemas.openxmlformats.org/officeDocument/2006/relationships/hyperlink" Id="rId136" Target="https://doi.org/10.1007/s11205-025-03718-3" TargetMode="External" /><Relationship Type="http://schemas.openxmlformats.org/officeDocument/2006/relationships/hyperlink" Id="rId106" Target="https://doi.org/10.1007/s12076-024-00375-x" TargetMode="External" /><Relationship Type="http://schemas.openxmlformats.org/officeDocument/2006/relationships/hyperlink" Id="rId128" Target="https://doi.org/10.1007/s12076-025-00397-z" TargetMode="External" /><Relationship Type="http://schemas.openxmlformats.org/officeDocument/2006/relationships/hyperlink" Id="rId96" Target="https://doi.org/10.1016/j.asieco.2021.101318" TargetMode="External" /><Relationship Type="http://schemas.openxmlformats.org/officeDocument/2006/relationships/hyperlink" Id="rId143" Target="https://doi.org/10.1016/j.euroecorev.2016.11.009" TargetMode="External" /><Relationship Type="http://schemas.openxmlformats.org/officeDocument/2006/relationships/hyperlink" Id="rId165" Target="https://doi.org/10.1016/j.isprsjprs.2020.04.001" TargetMode="External" /><Relationship Type="http://schemas.openxmlformats.org/officeDocument/2006/relationships/hyperlink" Id="rId120" Target="https://doi.org/10.1016/j.jdeveco.2020.102602" TargetMode="External" /><Relationship Type="http://schemas.openxmlformats.org/officeDocument/2006/relationships/hyperlink" Id="rId100" Target="https://doi.org/10.1016/j.jmacro.2022.103438" TargetMode="External" /><Relationship Type="http://schemas.openxmlformats.org/officeDocument/2006/relationships/hyperlink" Id="rId124" Target="https://doi.org/10.1016/j.rse.2017.06.031" TargetMode="External" /><Relationship Type="http://schemas.openxmlformats.org/officeDocument/2006/relationships/hyperlink" Id="rId82" Target="https://doi.org/10.1016/j.rse.2018.03.018" TargetMode="External" /><Relationship Type="http://schemas.openxmlformats.org/officeDocument/2006/relationships/hyperlink" Id="rId134" Target="https://doi.org/10.1016/j.worlddev.2014.08.017" TargetMode="External" /><Relationship Type="http://schemas.openxmlformats.org/officeDocument/2006/relationships/hyperlink" Id="rId102" Target="https://doi.org/10.1016/j.worlddev.2020.104961" TargetMode="External" /><Relationship Type="http://schemas.openxmlformats.org/officeDocument/2006/relationships/hyperlink" Id="rId145" Target="https://doi.org/10.1038/s41597-020-0510-y" TargetMode="External" /><Relationship Type="http://schemas.openxmlformats.org/officeDocument/2006/relationships/hyperlink" Id="rId104" Target="https://doi.org/10.1073/pnas.1017031108" TargetMode="External" /><Relationship Type="http://schemas.openxmlformats.org/officeDocument/2006/relationships/hyperlink" Id="rId122" Target="https://doi.org/10.1080/00036846.2024.2439583" TargetMode="External" /><Relationship Type="http://schemas.openxmlformats.org/officeDocument/2006/relationships/hyperlink" Id="rId151" Target="https://doi.org/10.1080/00074918.2022.2071415" TargetMode="External" /><Relationship Type="http://schemas.openxmlformats.org/officeDocument/2006/relationships/hyperlink" Id="rId161" Target="https://doi.org/10.1080/00343409950122945" TargetMode="External" /><Relationship Type="http://schemas.openxmlformats.org/officeDocument/2006/relationships/hyperlink" Id="rId114" Target="https://doi.org/10.1080/01431161.2017.1342050" TargetMode="External" /><Relationship Type="http://schemas.openxmlformats.org/officeDocument/2006/relationships/hyperlink" Id="rId167" Target="https://doi.org/10.1080/13547860.2022.2041286" TargetMode="External" /><Relationship Type="http://schemas.openxmlformats.org/officeDocument/2006/relationships/hyperlink" Id="rId94" Target="https://doi.org/10.1086/261816" TargetMode="External" /><Relationship Type="http://schemas.openxmlformats.org/officeDocument/2006/relationships/hyperlink" Id="rId132" Target="https://doi.org/10.1086/725058" TargetMode="External" /><Relationship Type="http://schemas.openxmlformats.org/officeDocument/2006/relationships/hyperlink" Id="rId139" Target="https://doi.org/10.1093/comjnl/27.2.97" TargetMode="External" /><Relationship Type="http://schemas.openxmlformats.org/officeDocument/2006/relationships/hyperlink" Id="rId157" Target="https://doi.org/10.1093/qje/qjw003" TargetMode="External" /><Relationship Type="http://schemas.openxmlformats.org/officeDocument/2006/relationships/hyperlink" Id="rId84" Target="https://doi.org/10.1111/ecin.12967" TargetMode="External" /><Relationship Type="http://schemas.openxmlformats.org/officeDocument/2006/relationships/hyperlink" Id="rId90" Target="https://doi.org/10.1111/j.1538-4632.1995.tb00338.x" TargetMode="External" /><Relationship Type="http://schemas.openxmlformats.org/officeDocument/2006/relationships/hyperlink" Id="rId169" Target="https://doi.org/10.1111/polp.70050" TargetMode="External" /><Relationship Type="http://schemas.openxmlformats.org/officeDocument/2006/relationships/hyperlink" Id="rId155" Target="https://doi.org/10.1126/science.1213847" TargetMode="External" /><Relationship Type="http://schemas.openxmlformats.org/officeDocument/2006/relationships/hyperlink" Id="rId130" Target="https://doi.org/10.1126/science.aaf7894" TargetMode="External" /><Relationship Type="http://schemas.openxmlformats.org/officeDocument/2006/relationships/hyperlink" Id="rId108" Target="https://doi.org/10.1162/rest_a_00951" TargetMode="External" /><Relationship Type="http://schemas.openxmlformats.org/officeDocument/2006/relationships/hyperlink" Id="rId141" Target="https://doi.org/10.1201/9781420064254" TargetMode="External" /><Relationship Type="http://schemas.openxmlformats.org/officeDocument/2006/relationships/hyperlink" Id="rId126" Target="https://doi.org/10.1257/aer.102.2.994" TargetMode="External" /><Relationship Type="http://schemas.openxmlformats.org/officeDocument/2006/relationships/hyperlink" Id="rId92" Target="https://doi.org/10.1257/aer.20180268" TargetMode="External" /><Relationship Type="http://schemas.openxmlformats.org/officeDocument/2006/relationships/hyperlink" Id="rId110" Target="https://doi.org/10.1257/jep.30.4.171" TargetMode="External" /><Relationship Type="http://schemas.openxmlformats.org/officeDocument/2006/relationships/hyperlink" Id="rId147" Target="https://doi.org/10.1371/journal.pone.0139779" TargetMode="External" /><Relationship Type="http://schemas.openxmlformats.org/officeDocument/2006/relationships/hyperlink" Id="rId163" Target="https://doi.org/10.2307/1884513" TargetMode="External" /><Relationship Type="http://schemas.openxmlformats.org/officeDocument/2006/relationships/hyperlink" Id="rId159" Target="https://doi.org/10.2307/2235377" TargetMode="External" /><Relationship Type="http://schemas.openxmlformats.org/officeDocument/2006/relationships/hyperlink" Id="rId153" Target="https://doi.org/10.2307/2332142" TargetMode="External" /><Relationship Type="http://schemas.openxmlformats.org/officeDocument/2006/relationships/hyperlink" Id="rId149" Target="https://github.com/quarcs-lab/project2022p" TargetMode="External" /><Relationship Type="http://schemas.openxmlformats.org/officeDocument/2006/relationships/hyperlink" Id="rId81" Target="https://quarcs-lab.github.io/project2025s-py/" TargetMode="External" /><Relationship Type="http://schemas.openxmlformats.org/officeDocument/2006/relationships/hyperlink" Id="rId27" Target="https://quarcs-lab.github.io/project2025s-py/notebooks/c01_view_from_space.html" TargetMode="External" /><Relationship Type="http://schemas.openxmlformats.org/officeDocument/2006/relationships/hyperlink" Id="rId64" Target="https://quarcs-lab.github.io/project2025s-py/notebooks/c06_spatial_culture.html" TargetMode="External" /><Relationship Type="http://schemas.openxmlformats.org/officeDocument/2006/relationships/hyperlink" Id="rId86" Target="https://quarto.org" TargetMode="External" /><Relationship Type="http://schemas.openxmlformats.org/officeDocument/2006/relationships/hyperlink" Id="rId98" Target="https://www.epw.in/journal/2017/25-26/notes/will-gst-exacerbate-regional-divergence.html" TargetMode="External" /><Relationship Type="http://schemas.openxmlformats.org/officeDocument/2006/relationships/hyperlink" Id="rId35" Target="notebooks/c02_regional_convergence_sc.ipynb" TargetMode="External" /><Relationship Type="http://schemas.openxmlformats.org/officeDocument/2006/relationships/hyperlink" Id="rId46"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26" Target="https://bit.ly/india-rc-ntl" TargetMode="External" /><Relationship Type="http://schemas.openxmlformats.org/officeDocument/2006/relationships/hyperlink" Id="rId112" Target="https://doi.org/10.1002/jae.3950100404" TargetMode="External" /><Relationship Type="http://schemas.openxmlformats.org/officeDocument/2006/relationships/hyperlink" Id="rId116" Target="https://doi.org/10.1002/jae.963" TargetMode="External" /><Relationship Type="http://schemas.openxmlformats.org/officeDocument/2006/relationships/hyperlink" Id="rId88" Target="https://doi.org/10.1007/978-94-015-7799-1" TargetMode="External" /><Relationship Type="http://schemas.openxmlformats.org/officeDocument/2006/relationships/hyperlink" Id="rId118" Target="https://doi.org/10.1007/s00168-010-0384-6" TargetMode="External" /><Relationship Type="http://schemas.openxmlformats.org/officeDocument/2006/relationships/hyperlink" Id="rId171" Target="https://doi.org/10.1007/s00168-022-01168-0" TargetMode="External" /><Relationship Type="http://schemas.openxmlformats.org/officeDocument/2006/relationships/hyperlink" Id="rId136" Target="https://doi.org/10.1007/s11205-025-03718-3" TargetMode="External" /><Relationship Type="http://schemas.openxmlformats.org/officeDocument/2006/relationships/hyperlink" Id="rId106" Target="https://doi.org/10.1007/s12076-024-00375-x" TargetMode="External" /><Relationship Type="http://schemas.openxmlformats.org/officeDocument/2006/relationships/hyperlink" Id="rId128" Target="https://doi.org/10.1007/s12076-025-00397-z" TargetMode="External" /><Relationship Type="http://schemas.openxmlformats.org/officeDocument/2006/relationships/hyperlink" Id="rId96" Target="https://doi.org/10.1016/j.asieco.2021.101318" TargetMode="External" /><Relationship Type="http://schemas.openxmlformats.org/officeDocument/2006/relationships/hyperlink" Id="rId143" Target="https://doi.org/10.1016/j.euroecorev.2016.11.009" TargetMode="External" /><Relationship Type="http://schemas.openxmlformats.org/officeDocument/2006/relationships/hyperlink" Id="rId165" Target="https://doi.org/10.1016/j.isprsjprs.2020.04.001" TargetMode="External" /><Relationship Type="http://schemas.openxmlformats.org/officeDocument/2006/relationships/hyperlink" Id="rId120" Target="https://doi.org/10.1016/j.jdeveco.2020.102602" TargetMode="External" /><Relationship Type="http://schemas.openxmlformats.org/officeDocument/2006/relationships/hyperlink" Id="rId100" Target="https://doi.org/10.1016/j.jmacro.2022.103438" TargetMode="External" /><Relationship Type="http://schemas.openxmlformats.org/officeDocument/2006/relationships/hyperlink" Id="rId124" Target="https://doi.org/10.1016/j.rse.2017.06.031" TargetMode="External" /><Relationship Type="http://schemas.openxmlformats.org/officeDocument/2006/relationships/hyperlink" Id="rId82" Target="https://doi.org/10.1016/j.rse.2018.03.018" TargetMode="External" /><Relationship Type="http://schemas.openxmlformats.org/officeDocument/2006/relationships/hyperlink" Id="rId134" Target="https://doi.org/10.1016/j.worlddev.2014.08.017" TargetMode="External" /><Relationship Type="http://schemas.openxmlformats.org/officeDocument/2006/relationships/hyperlink" Id="rId102" Target="https://doi.org/10.1016/j.worlddev.2020.104961" TargetMode="External" /><Relationship Type="http://schemas.openxmlformats.org/officeDocument/2006/relationships/hyperlink" Id="rId145" Target="https://doi.org/10.1038/s41597-020-0510-y" TargetMode="External" /><Relationship Type="http://schemas.openxmlformats.org/officeDocument/2006/relationships/hyperlink" Id="rId104" Target="https://doi.org/10.1073/pnas.1017031108" TargetMode="External" /><Relationship Type="http://schemas.openxmlformats.org/officeDocument/2006/relationships/hyperlink" Id="rId122" Target="https://doi.org/10.1080/00036846.2024.2439583" TargetMode="External" /><Relationship Type="http://schemas.openxmlformats.org/officeDocument/2006/relationships/hyperlink" Id="rId151" Target="https://doi.org/10.1080/00074918.2022.2071415" TargetMode="External" /><Relationship Type="http://schemas.openxmlformats.org/officeDocument/2006/relationships/hyperlink" Id="rId161" Target="https://doi.org/10.1080/00343409950122945" TargetMode="External" /><Relationship Type="http://schemas.openxmlformats.org/officeDocument/2006/relationships/hyperlink" Id="rId114" Target="https://doi.org/10.1080/01431161.2017.1342050" TargetMode="External" /><Relationship Type="http://schemas.openxmlformats.org/officeDocument/2006/relationships/hyperlink" Id="rId167" Target="https://doi.org/10.1080/13547860.2022.2041286" TargetMode="External" /><Relationship Type="http://schemas.openxmlformats.org/officeDocument/2006/relationships/hyperlink" Id="rId94" Target="https://doi.org/10.1086/261816" TargetMode="External" /><Relationship Type="http://schemas.openxmlformats.org/officeDocument/2006/relationships/hyperlink" Id="rId132" Target="https://doi.org/10.1086/725058" TargetMode="External" /><Relationship Type="http://schemas.openxmlformats.org/officeDocument/2006/relationships/hyperlink" Id="rId139" Target="https://doi.org/10.1093/comjnl/27.2.97" TargetMode="External" /><Relationship Type="http://schemas.openxmlformats.org/officeDocument/2006/relationships/hyperlink" Id="rId157" Target="https://doi.org/10.1093/qje/qjw003" TargetMode="External" /><Relationship Type="http://schemas.openxmlformats.org/officeDocument/2006/relationships/hyperlink" Id="rId84" Target="https://doi.org/10.1111/ecin.12967" TargetMode="External" /><Relationship Type="http://schemas.openxmlformats.org/officeDocument/2006/relationships/hyperlink" Id="rId90" Target="https://doi.org/10.1111/j.1538-4632.1995.tb00338.x" TargetMode="External" /><Relationship Type="http://schemas.openxmlformats.org/officeDocument/2006/relationships/hyperlink" Id="rId169" Target="https://doi.org/10.1111/polp.70050" TargetMode="External" /><Relationship Type="http://schemas.openxmlformats.org/officeDocument/2006/relationships/hyperlink" Id="rId155" Target="https://doi.org/10.1126/science.1213847" TargetMode="External" /><Relationship Type="http://schemas.openxmlformats.org/officeDocument/2006/relationships/hyperlink" Id="rId130" Target="https://doi.org/10.1126/science.aaf7894" TargetMode="External" /><Relationship Type="http://schemas.openxmlformats.org/officeDocument/2006/relationships/hyperlink" Id="rId108" Target="https://doi.org/10.1162/rest_a_00951" TargetMode="External" /><Relationship Type="http://schemas.openxmlformats.org/officeDocument/2006/relationships/hyperlink" Id="rId141" Target="https://doi.org/10.1201/9781420064254" TargetMode="External" /><Relationship Type="http://schemas.openxmlformats.org/officeDocument/2006/relationships/hyperlink" Id="rId126" Target="https://doi.org/10.1257/aer.102.2.994" TargetMode="External" /><Relationship Type="http://schemas.openxmlformats.org/officeDocument/2006/relationships/hyperlink" Id="rId92" Target="https://doi.org/10.1257/aer.20180268" TargetMode="External" /><Relationship Type="http://schemas.openxmlformats.org/officeDocument/2006/relationships/hyperlink" Id="rId110" Target="https://doi.org/10.1257/jep.30.4.171" TargetMode="External" /><Relationship Type="http://schemas.openxmlformats.org/officeDocument/2006/relationships/hyperlink" Id="rId147" Target="https://doi.org/10.1371/journal.pone.0139779" TargetMode="External" /><Relationship Type="http://schemas.openxmlformats.org/officeDocument/2006/relationships/hyperlink" Id="rId163" Target="https://doi.org/10.2307/1884513" TargetMode="External" /><Relationship Type="http://schemas.openxmlformats.org/officeDocument/2006/relationships/hyperlink" Id="rId159" Target="https://doi.org/10.2307/2235377" TargetMode="External" /><Relationship Type="http://schemas.openxmlformats.org/officeDocument/2006/relationships/hyperlink" Id="rId153" Target="https://doi.org/10.2307/2332142" TargetMode="External" /><Relationship Type="http://schemas.openxmlformats.org/officeDocument/2006/relationships/hyperlink" Id="rId149" Target="https://github.com/quarcs-lab/project2022p" TargetMode="External" /><Relationship Type="http://schemas.openxmlformats.org/officeDocument/2006/relationships/hyperlink" Id="rId81" Target="https://quarcs-lab.github.io/project2025s-py/" TargetMode="External" /><Relationship Type="http://schemas.openxmlformats.org/officeDocument/2006/relationships/hyperlink" Id="rId27" Target="https://quarcs-lab.github.io/project2025s-py/notebooks/c01_view_from_space.html" TargetMode="External" /><Relationship Type="http://schemas.openxmlformats.org/officeDocument/2006/relationships/hyperlink" Id="rId64" Target="https://quarcs-lab.github.io/project2025s-py/notebooks/c06_spatial_culture.html" TargetMode="External" /><Relationship Type="http://schemas.openxmlformats.org/officeDocument/2006/relationships/hyperlink" Id="rId86" Target="https://quarto.org" TargetMode="External" /><Relationship Type="http://schemas.openxmlformats.org/officeDocument/2006/relationships/hyperlink" Id="rId98" Target="https://www.epw.in/journal/2017/25-26/notes/will-gst-exacerbate-regional-divergence.html" TargetMode="External" /><Relationship Type="http://schemas.openxmlformats.org/officeDocument/2006/relationships/hyperlink" Id="rId35" Target="notebooks/c02_regional_convergence_sc.ipynb" TargetMode="External" /><Relationship Type="http://schemas.openxmlformats.org/officeDocument/2006/relationships/hyperlink" Id="rId46"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2026-06-20T09:29:30Z</dcterms:created>
  <dcterms:modified xsi:type="dcterms:W3CDTF">2026-06-20T09:29:30Z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el">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ceived">
    <vt:lpwstr>February 5, 2026</vt:lpwstr>
  </property>
  <property fmtid="{D5CDD505-2E9C-101B-9397-08002B2CF9AE}" pid="22" name="remove-hidden">
    <vt:lpwstr>all</vt:lpwstr>
  </property>
  <property fmtid="{D5CDD505-2E9C-101B-9397-08002B2CF9AE}" pid="23" name="subtitle">
    <vt:lpwstr>A reproducible view from outer space</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