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8.png" ContentType="image/png"/>
  <Override PartName="/word/media/rId52.png" ContentType="image/png"/>
  <Override PartName="/word/media/rId63.png" ContentType="image/png"/>
  <Override PartName="/word/media/rId76.png" ContentType="image/png"/>
  <Override PartName="/word/media/rId72.png" ContentType="image/png"/>
  <Override PartName="/word/media/rId68.png" ContentType="image/png"/>
  <Override PartName="/word/media/rId111.png" ContentType="image/png"/>
  <Override PartName="/word/media/rId10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spillovers raise the convergence speed from about 3.0% to about 5.2% per year, which shortens the half-life of regional disparities from roughly 23 to 13 years.</w:t>
      </w:r>
      <w:r>
        <w:t xml:space="preserve"> </w:t>
      </w:r>
      <w:r>
        <w:t xml:space="preserve">We close by illustrating how the same reproducible workflow extends beyond economic output, with an exploratory analysis of how luminosity relates to cultural participation across Indian states.</w:t>
      </w:r>
    </w:p>
    <w:bookmarkStart w:id="23" w:name="introduction"/>
    <w:p>
      <w:pPr>
        <w:pStyle w:val="Heading2"/>
      </w:pPr>
      <w:r>
        <w:t xml:space="preserve">Introduction</w:t>
      </w:r>
    </w:p>
    <w:p>
      <w:pPr>
        <w:pStyle w:val="FirstParagraph"/>
      </w:pPr>
      <w:r>
        <w:t xml:space="preserve">Regional growth and convergence matter most in federal states such as India.</w:t>
      </w:r>
      <w:r>
        <w:t xml:space="preserve"> </w:t>
      </w:r>
      <w:r>
        <w:t xml:space="preserve">In such settings, spatial inequalities can threaten social cohesion and political stability.</w:t>
      </w:r>
      <w:r>
        <w:t xml:space="preserve"> </w:t>
      </w:r>
      <w:r>
        <w:t xml:space="preserve">Consistent economic data, however, are rarely available below the state level.</w:t>
      </w:r>
      <w:r>
        <w:t xml:space="preserve"> </w:t>
      </w:r>
      <w:r>
        <w:t xml:space="preserve">Satellite nighttime lights have relaxed that constraint by serving as a proxy for economic activity.</w:t>
      </w:r>
      <w:r>
        <w:t xml:space="preserve"> </w:t>
      </w:r>
      <w:r>
        <w:t xml:space="preserve">Using those data,</w:t>
      </w:r>
      <w:r>
        <w:t xml:space="preserve"> </w:t>
      </w:r>
      <w:r>
        <w:t xml:space="preserve">Chanda and Kabiraj (2020)</w:t>
      </w:r>
      <w:r>
        <w:t xml:space="preserve"> </w:t>
      </w:r>
      <w:r>
        <w:t xml:space="preserve">document convergence across 520 Indian districts between 1996 and 2010.</w:t>
      </w:r>
      <w:r>
        <w:t xml:space="preserve"> </w:t>
      </w:r>
      <w:r>
        <w:t xml:space="preserve">However, their analysis does not account for spatial spillovers.</w:t>
      </w:r>
      <w:r>
        <w:t xml:space="preserve"> </w:t>
      </w:r>
      <w:r>
        <w:t xml:space="preserve">Such spillovers can arise from the diffusion of technology and from the movement of resources across neighboring districts.</w:t>
      </w:r>
    </w:p>
    <w:p>
      <w:pPr>
        <w:pStyle w:val="BodyText"/>
      </w:pPr>
      <w:r>
        <w:t xml:space="preserve">This article extends that analysis along three dimensions.</w:t>
      </w:r>
      <w:r>
        <w:t xml:space="preserve"> </w:t>
      </w:r>
      <w:r>
        <w:t xml:space="preserve">The first is replication: we adopt the data, the sample, and the conditioning variables of</w:t>
      </w:r>
      <w:r>
        <w:t xml:space="preserve"> </w:t>
      </w:r>
      <w:r>
        <w:t xml:space="preserve">Chanda and Kabiraj (2020)</w:t>
      </w:r>
      <w:r>
        <w:t xml:space="preserve"> </w:t>
      </w:r>
      <w:r>
        <w:t xml:space="preserve">without modification, so that any difference in the estimates reflects the spatial modeling alone.</w:t>
      </w:r>
      <w:r>
        <w:t xml:space="preserve"> </w:t>
      </w:r>
      <w:r>
        <w:t xml:space="preserve">The second is substantive: we build an interactive visualization of regional convergence, test formally for spatial dependence, and estimate a spatial Durbin model.</w:t>
      </w:r>
      <w:r>
        <w:t xml:space="preserve"> </w:t>
      </w:r>
      <w:r>
        <w:t xml:space="preserve">The model shows that catch-up across Indian districts has a significant neighborhood dimension.</w:t>
      </w:r>
      <w:r>
        <w:t xml:space="preserve"> </w:t>
      </w:r>
      <w:r>
        <w:t xml:space="preserve">The spatial spillover effect of initial luminosity is negative and statistically significant.</w:t>
      </w:r>
      <w:r>
        <w:t xml:space="preserve"> </w:t>
      </w:r>
      <w:r>
        <w:t xml:space="preserve">Districts whose neighbors started from a lower base therefore grew faster than their own initial conditions alone would predict.</w:t>
      </w:r>
    </w:p>
    <w:p>
      <w:pPr>
        <w:pStyle w:val="BodyText"/>
      </w:pPr>
      <w:r>
        <w:t xml:space="preserve">The third contribution is methodological, and it is the primary one.</w:t>
      </w:r>
      <w:r>
        <w:t xml:space="preserve"> </w:t>
      </w:r>
      <w:r>
        <w:t xml:space="preserve">This article shows that a comprehensive spatial econometric study can be implemented using only open-source software and cloud computing.</w:t>
      </w:r>
      <w:r>
        <w:t xml:space="preserve"> </w:t>
      </w:r>
      <w:r>
        <w:t xml:space="preserve">Our workflow covers every step, from visualizing the satellite imagery and constructing the neighborhood structure to testing for spatial dependence, modeling the spillovers, and running the robustness checks.</w:t>
      </w:r>
    </w:p>
    <w:p>
      <w:pPr>
        <w:pStyle w:val="BodyText"/>
      </w:pPr>
      <w:r>
        <w:t xml:space="preserve">That workflow delivers the main empirical result of the article.</w:t>
      </w:r>
      <w:r>
        <w:t xml:space="preserve"> </w:t>
      </w:r>
      <w:r>
        <w:t xml:space="preserve">Accounting for spatial spillovers raises the estimated speed of regional convergence from about 3.0% to about 5.2% per year.</w:t>
      </w:r>
      <w:r>
        <w:t xml:space="preserve"> </w:t>
      </w:r>
      <w:r>
        <w:t xml:space="preserve">The implied half-life of regional disparities therefore falls from roughly 23 years to 13.</w:t>
      </w:r>
      <w:r>
        <w:t xml:space="preserve"> </w:t>
      </w:r>
      <w:r>
        <w:t xml:space="preserve">The same workflow extends beyond economic output, and we illustrate that reach with an exploratory analysis of luminosity and cultural participation across Indian states.</w:t>
      </w:r>
      <w:r>
        <w:t xml:space="preserve"> </w:t>
      </w:r>
      <w:r>
        <w:t xml:space="preserve">Our results suggest that luminosity is positively associated with media-based cultural consumption and negatively associated with community-based participation.</w:t>
      </w:r>
      <w:r>
        <w:t xml:space="preserve"> </w:t>
      </w:r>
      <w:r>
        <w:t xml:space="preserve">This pattern is consistent with luminosity tracking electrification and urbanization rather than economic output alone.</w:t>
      </w:r>
    </w:p>
    <w:p>
      <w:pPr>
        <w:pStyle w:val="BodyText"/>
      </w:pPr>
      <w:r>
        <w:t xml:space="preserve">Every figure and table in this article is produced by one of the six cloud-based computational scripts and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in Google Colaboratory, so a reader needs no local installation and no licensed software: clicking</w:t>
      </w:r>
      <w:r>
        <w:t xml:space="preserve"> </w:t>
      </w:r>
      <w:r>
        <w:rPr>
          <w:i/>
          <w:iCs/>
        </w:rPr>
        <w:t xml:space="preserve">Run all</w:t>
      </w:r>
      <w:r>
        <w:t xml:space="preserve"> </w:t>
      </w:r>
      <w:r>
        <w:t xml:space="preserve">downloads the data and re-executes the analysis.</w:t>
      </w:r>
      <w:r>
        <w:t xml:space="preserve"> </w:t>
      </w:r>
      <w:r>
        <w:t xml:space="preserve">The sixth, N1, hosts the interactive visualization and its Google Earth Engine source code.</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and scripts underlying this article</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jc w:val="center"/>
                  </w:pPr>
                  <w:r>
                    <w:t xml:space="preserve">Notebook</w:t>
                  </w:r>
                </w:p>
              </w:tc>
              <w:tc>
                <w:tcPr/>
                <w:p>
                  <w:pPr>
                    <w:pStyle w:val="Compact"/>
                    <w:jc w:val="left"/>
                    <w:jc w:val="center"/>
                  </w:pPr>
                  <w:r>
                    <w:t xml:space="preserve">Content</w:t>
                  </w:r>
                </w:p>
              </w:tc>
            </w:tr>
            <w:tr>
              <w:tc>
                <w:tcPr/>
                <w:p>
                  <w:pPr>
                    <w:pStyle w:val="Compact"/>
                    <w:jc w:val="left"/>
                    <w:jc w:val="center"/>
                  </w:pPr>
                  <w:r>
                    <w:t xml:space="preserve">N1. View from outer space</w:t>
                  </w:r>
                </w:p>
              </w:tc>
              <w:tc>
                <w:tcPr/>
                <w:p>
                  <w:pPr>
                    <w:pStyle w:val="Compact"/>
                    <w:jc w:val="left"/>
                    <w:jc w:val="center"/>
                  </w:pPr>
                  <w:r>
                    <w:t xml:space="preserve">Interactive luminosity map with Earth Engine script</w:t>
                  </w:r>
                </w:p>
              </w:tc>
            </w:tr>
            <w:tr>
              <w:tc>
                <w:tcPr/>
                <w:p>
                  <w:pPr>
                    <w:pStyle w:val="Compact"/>
                    <w:jc w:val="left"/>
                    <w:jc w:val="center"/>
                  </w:pPr>
                  <w:r>
                    <w:t xml:space="preserve">N2. Regional convergence</w:t>
                  </w:r>
                </w:p>
              </w:tc>
              <w:tc>
                <w:tcPr/>
                <w:p>
                  <w:pPr>
                    <w:pStyle w:val="Compact"/>
                    <w:jc w:val="left"/>
                    <w:jc w:val="center"/>
                  </w:pPr>
                  <w:r>
                    <w:t xml:space="preserve">Luminosity growth on initial luminosity, with speed and half-life</w:t>
                  </w:r>
                </w:p>
              </w:tc>
            </w:tr>
            <w:tr>
              <w:tc>
                <w:tcPr/>
                <w:p>
                  <w:pPr>
                    <w:pStyle w:val="Compact"/>
                    <w:jc w:val="left"/>
                    <w:jc w:val="center"/>
                  </w:pPr>
                  <w:r>
                    <w:t xml:space="preserve">N3. Spatial dependence</w:t>
                  </w:r>
                </w:p>
              </w:tc>
              <w:tc>
                <w:tcPr/>
                <w:p>
                  <w:pPr>
                    <w:pStyle w:val="Compact"/>
                    <w:jc w:val="left"/>
                    <w:jc w:val="center"/>
                  </w:pPr>
                  <w:r>
                    <w:t xml:space="preserve">Weight matrices, Global Moran’s I, and LISA cluster maps</w:t>
                  </w:r>
                </w:p>
              </w:tc>
            </w:tr>
            <w:tr>
              <w:tc>
                <w:tcPr/>
                <w:p>
                  <w:pPr>
                    <w:pStyle w:val="Compact"/>
                    <w:jc w:val="left"/>
                    <w:jc w:val="center"/>
                  </w:pPr>
                  <w:r>
                    <w:t xml:space="preserve">N4. Spillover modeling</w:t>
                  </w:r>
                </w:p>
              </w:tc>
              <w:tc>
                <w:tcPr/>
                <w:p>
                  <w:pPr>
                    <w:pStyle w:val="Compact"/>
                    <w:jc w:val="left"/>
                    <w:jc w:val="center"/>
                  </w:pPr>
                  <w:r>
                    <w:t xml:space="preserve">OLS and spatial Durbin estimates, impacts, and convergence speeds</w:t>
                  </w:r>
                </w:p>
              </w:tc>
            </w:tr>
            <w:tr>
              <w:tc>
                <w:tcPr/>
                <w:p>
                  <w:pPr>
                    <w:pStyle w:val="Compact"/>
                    <w:jc w:val="left"/>
                    <w:jc w:val="center"/>
                  </w:pPr>
                  <w:r>
                    <w:t xml:space="preserve">N5. Robustness</w:t>
                  </w:r>
                </w:p>
              </w:tc>
              <w:tc>
                <w:tcPr/>
                <w:p>
                  <w:pPr>
                    <w:pStyle w:val="Compact"/>
                    <w:jc w:val="left"/>
                    <w:jc w:val="center"/>
                  </w:pPr>
                  <w:r>
                    <w:t xml:space="preserve">Model 4 under seven alternative weight matrices</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r>
          </w:tbl>
          <w:bookmarkEnd w:id="22"/>
          <w:p/>
        </w:tc>
      </w:tr>
    </w:tbl>
    <w:p>
      <w:pPr>
        <w:pStyle w:val="BodyText"/>
      </w:pPr>
      <w:r>
        <w:t xml:space="preserve">The rest of this article is organized as follows.</w:t>
      </w:r>
      <w:r>
        <w:t xml:space="preserve"> </w:t>
      </w:r>
      <w:r>
        <w:t xml:space="preserve">Section 2 describes the data and the methods, and Section 3 presents the empirical results.</w:t>
      </w:r>
      <w:r>
        <w:t xml:space="preserve"> </w:t>
      </w:r>
      <w:r>
        <w:t xml:space="preserve">Section 4 discusses the policy implications, the extension to multiple periods, the analysis of cultural participation, and new directions for research.</w:t>
      </w:r>
      <w:r>
        <w:t xml:space="preserve"> </w:t>
      </w:r>
      <w:r>
        <w:t xml:space="preserve">Section 5 offers concluding remarks.</w:t>
      </w:r>
    </w:p>
    <w:bookmarkEnd w:id="23"/>
    <w:bookmarkStart w:id="44"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A growing literature pioneered by</w:t>
      </w:r>
      <w:r>
        <w:t xml:space="preserve"> </w:t>
      </w:r>
      <w:r>
        <w:t xml:space="preserve">Henderson, Storeygard, and Weil (2012)</w:t>
      </w:r>
      <w:r>
        <w:t xml:space="preserve"> </w:t>
      </w:r>
      <w:r>
        <w:t xml:space="preserve">uses satellite nighttime light data as a proxy for economic activity below the state level, exploiting the empirical correlation between the intensity of artificial light observed from satellites and economic output on the ground.</w:t>
      </w:r>
      <w:r>
        <w:t xml:space="preserve"> </w:t>
      </w:r>
      <w:r>
        <w:t xml:space="preserve">X. Chen and Nordhaus (2011)</w:t>
      </w:r>
      <w:r>
        <w:t xml:space="preserve"> </w:t>
      </w:r>
      <w:r>
        <w:t xml:space="preserve">show that the proxy carries most information where official statistics are of low quality.</w:t>
      </w:r>
      <w:r>
        <w:t xml:space="preserve"> </w:t>
      </w:r>
      <w:r>
        <w:t xml:space="preserve">Nighttime light (hereafter NTL) data have since been widely used to investigate economic growth and convergence across national and subnational regions.</w:t>
      </w:r>
    </w:p>
    <w:p>
      <w:pPr>
        <w:pStyle w:val="BodyText"/>
      </w:pP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per capita growth in nighttime lights as the dependent variable and initial nighttime lights per capita as the primary explanatory variable.</w:t>
      </w:r>
      <w:r>
        <w:t xml:space="preserve"> </w:t>
      </w:r>
      <w:r>
        <w:t xml:space="preserve">For 520 districts in India, these variables derive from NTL data released by the National Geophysical Data Center (NGDC), based on observations from the DMSP-OLS satellites over the period from 1996 to 2010.</w:t>
      </w:r>
      <w:r>
        <w:t xml:space="preserve"> </w:t>
      </w:r>
      <w:r>
        <w:t xml:space="preserve">To mitigate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we use the radiance-calibrated series throughout.</w:t>
      </w:r>
      <w:r>
        <w:rPr>
          <w:rStyle w:val="FootnoteReference"/>
        </w:rPr>
        <w:footnoteReference w:id="25"/>
      </w:r>
    </w:p>
    <w:bookmarkEnd w:id="26"/>
    <w:bookmarkStart w:id="27" w:name="X449212fc3597f9e3fb4fbf099f12aa2882fbb23"/>
    <w:p>
      <w:pPr>
        <w:pStyle w:val="Heading3"/>
      </w:pPr>
      <w:r>
        <w:t xml:space="preserve">A reproducible workflow and interactive visualization</w:t>
      </w:r>
    </w:p>
    <w:p>
      <w:pPr>
        <w:pStyle w:val="FirstParagraph"/>
      </w:pPr>
      <w:r>
        <w:t xml:space="preserve">Jupyter notebooks integrate executable code, explanatory narrative, and computational outputs in a single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document our data processing, analysis, and visualization in notebooks running one Python kernel, so that each result can be traced to the code that produced it.</w:t>
      </w:r>
      <w:r>
        <w:t xml:space="preserve"> </w:t>
      </w:r>
      <w:r>
        <w:t xml:space="preserve">Quarto extends those notebooks into a manuscript framework</w:t>
      </w:r>
      <w:r>
        <w:t xml:space="preserve"> </w:t>
      </w:r>
      <w:r>
        <w:t xml:space="preserve">(Allaire et al. 2024)</w:t>
      </w:r>
      <w:r>
        <w:t xml:space="preserve">, in which every figure and table is embedded from an identified notebook cell and one source file generates the HTML, PDF, Word, and JATS XML versions without discrepancies between them.</w:t>
      </w:r>
      <w:r>
        <w:t xml:space="preserve"> </w:t>
      </w:r>
      <w:r>
        <w:t xml:space="preserve">The toolchain is open source and the data and code are public, so the whole pipeline can be re-executed without proprietary software</w:t>
      </w:r>
      <w:r>
        <w:t xml:space="preserve"> </w:t>
      </w:r>
      <w:r>
        <w:t xml:space="preserve">(Peng 2011)</w:t>
      </w:r>
      <w:r>
        <w:t xml:space="preserve">.</w:t>
      </w:r>
    </w:p>
    <w:p>
      <w:pPr>
        <w:pStyle w:val="BodyText"/>
      </w:pPr>
      <w:r>
        <w:t xml:space="preserve">Satellite data have opened new dimensions of economic measurement</w:t>
      </w:r>
      <w:r>
        <w:t xml:space="preserve"> </w:t>
      </w:r>
      <w:r>
        <w:t xml:space="preserve">(Donaldson and Storeygard 2016)</w:t>
      </w:r>
      <w:r>
        <w:t xml:space="preserve">, and interactive visualization reveals spatial and temporal heterogeneity that static maps obscure.</w:t>
      </w:r>
      <w:r>
        <w:t xml:space="preserve"> </w:t>
      </w:r>
      <w:r>
        <w:t xml:space="preserve">Google Earth Engine lowers the computational barriers to building such visualizations</w:t>
      </w:r>
      <w:r>
        <w:t xml:space="preserve"> </w:t>
      </w:r>
      <w:r>
        <w:t xml:space="preserve">(Gorelick et al. 2017)</w:t>
      </w:r>
      <w:r>
        <w:t xml:space="preserve">, since its browser-based environment needs no local software and its catalog already holds the DMSP-OLS and VIIRS nighttime lights collections</w:t>
      </w:r>
      <w:r>
        <w:t xml:space="preserve"> </w:t>
      </w:r>
      <w:r>
        <w:t xml:space="preserve">(Tamiminia et al. 2020)</w:t>
      </w:r>
      <w:r>
        <w:t xml:space="preserve">.</w:t>
      </w:r>
      <w:r>
        <w:t xml:space="preserve"> </w:t>
      </w:r>
      <w:r>
        <w:t xml:space="preserve">The platform lets readers track light intensity across regions over time, and therefore see where initially dim regions brightened fastest, which is the visual counterpart of the convergence relationship estimated in Section 3.</w:t>
      </w:r>
    </w:p>
    <w:bookmarkEnd w:id="27"/>
    <w:bookmarkStart w:id="31" w:name="regional-convergence-modeling"/>
    <w:p>
      <w:pPr>
        <w:pStyle w:val="Heading3"/>
      </w:pPr>
      <w:r>
        <w:t xml:space="preserve">Regional convergence modeling</w:t>
      </w:r>
    </w:p>
    <w:p>
      <w:pPr>
        <w:pStyle w:val="FirstParagraph"/>
      </w:pPr>
      <w:r>
        <w:t xml:space="preserve">In neoclassical growth models the per capita growth rate is negatively correlated with the initial endowment of a region, because of diminishing returns to capital accumulation</w:t>
      </w:r>
      <w:r>
        <w:t xml:space="preserve"> </w:t>
      </w:r>
      <w:r>
        <w:t xml:space="preserve">(Solow 1956)</w:t>
      </w:r>
      <w:r>
        <w:t xml:space="preserve">.</w:t>
      </w:r>
      <w:r>
        <w:t xml:space="preserve"> </w:t>
      </w:r>
      <w:r>
        <w:t xml:space="preserve">Regions that share technology and preferences should therefore converge over the long run to a common steady state.</w:t>
      </w:r>
      <w:r>
        <w:t xml:space="preserve"> </w:t>
      </w:r>
      <w:r>
        <w:t xml:space="preserve">We examine that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8"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8"/>
    </w:p>
    <w:p>
      <w:pPr>
        <w:pStyle w:val="FirstParagraph"/>
      </w:pPr>
      <w:r>
        <w:t xml:space="preserve">where</w:t>
      </w:r>
      <w:r>
        <w:t xml:space="preserve"> </w:t>
      </w:r>
      <m:oMath>
        <m:sSub>
          <m:e>
            <m:r>
              <m:rPr>
                <m:sty m:val="b"/>
              </m:rPr>
              <m:t>g</m:t>
            </m:r>
          </m:e>
          <m:sub>
            <m:r>
              <m:rPr>
                <m:sty m:val="b"/>
              </m:rPr>
              <m:t>t</m:t>
            </m:r>
          </m:sub>
        </m:sSub>
      </m:oMath>
      <w:r>
        <w:t xml:space="preserve"> </w:t>
      </w:r>
      <w:r>
        <w:t xml:space="preserve">is an</w:t>
      </w:r>
      <w:r>
        <w:t xml:space="preserve"> </w:t>
      </w:r>
      <m:oMath>
        <m:r>
          <m:t>N</m:t>
        </m:r>
        <m:r>
          <m:rPr>
            <m:nor/>
            <m:sty m:val="p"/>
          </m:rPr>
          <m:t>-by-</m:t>
        </m:r>
        <m:r>
          <m:t>1</m:t>
        </m:r>
      </m:oMath>
      <w:r>
        <w:t xml:space="preserve"> </w:t>
      </w:r>
      <w:r>
        <w:t xml:space="preserve">vector of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is the corresponding vector of initial (log) per-capita NTL, and</w:t>
      </w:r>
      <w:r>
        <w:t xml:space="preserve"> </w:t>
      </w:r>
      <m:oMath>
        <m:sSub>
          <m:e>
            <m:r>
              <m:rPr>
                <m:sty m:val="b"/>
              </m:rPr>
              <m:t>ε</m:t>
            </m:r>
          </m:e>
          <m:sub>
            <m:r>
              <m:rPr>
                <m:sty m:val="b"/>
              </m:rPr>
              <m:t>t</m:t>
            </m:r>
          </m:sub>
        </m:sSub>
      </m:oMath>
      <w:r>
        <w:t xml:space="preserve"> </w:t>
      </w:r>
      <w:r>
        <w:t xml:space="preserve">is a vector of idiosyncratic error terms.</w:t>
      </w:r>
      <w:r>
        <w:t xml:space="preserve"> </w:t>
      </w:r>
      <w:r>
        <w:t xml:space="preserve">The parameter</w:t>
      </w:r>
      <w:r>
        <w:t xml:space="preserve"> </w:t>
      </w:r>
      <m:oMath>
        <m:sSub>
          <m:e>
            <m:r>
              <m:t>β</m:t>
            </m:r>
          </m:e>
          <m:sub>
            <m:r>
              <m:t>1</m:t>
            </m:r>
          </m:sub>
        </m:sSub>
      </m:oMath>
      <w:r>
        <w:t xml:space="preserve"> </w:t>
      </w:r>
      <w:r>
        <w:t xml:space="preserve">indicates the direction and strength of regional convergence.</w:t>
      </w:r>
      <w:r>
        <w:t xml:space="preserve"> </w:t>
      </w:r>
      <w:r>
        <w:t xml:space="preserve">A negative value implies that regions with lower initial NTL levels grow faster, which is the convergence hypothesis.</w:t>
      </w:r>
    </w:p>
    <w:p>
      <w:pPr>
        <w:pStyle w:val="BodyText"/>
      </w:pPr>
      <w:r>
        <w:t xml:space="preserve">The estimated convergence coefficient translates into an annual speed of convergence and a half-life</w:t>
      </w:r>
      <w:r>
        <w:t xml:space="preserve"> </w:t>
      </w:r>
      <w:r>
        <w:t xml:space="preserve">(Barro and Sala-i-Martin 1992)</w:t>
      </w:r>
      <w:r>
        <w:t xml:space="preserve">.</w:t>
      </w:r>
      <w:r>
        <w:t xml:space="preserve"> </w:t>
      </w:r>
      <w:r>
        <w:t xml:space="preserve">Because the dependent variable is average annual growth over</w:t>
      </w:r>
      <w:r>
        <w:t xml:space="preserve"> </w:t>
      </w:r>
      <m:oMath>
        <m:r>
          <m:t>T</m:t>
        </m:r>
      </m:oMath>
      <w:r>
        <w:t xml:space="preserve"> </w:t>
      </w:r>
      <w:r>
        <w:t xml:space="preserve">years, the implied speed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 and the half-life,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a common steady state, whereas regions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9"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9"/>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 and the vector</w:t>
      </w:r>
      <w:r>
        <w:t xml:space="preserve"> </w:t>
      </w:r>
      <m:oMath>
        <m:r>
          <m:rPr>
            <m:sty m:val="b"/>
          </m:rPr>
          <m:t>α</m:t>
        </m:r>
      </m:oMath>
      <w:r>
        <w:t xml:space="preserve">, with dimensions</w:t>
      </w:r>
      <w:r>
        <w:t xml:space="preserve"> </w:t>
      </w:r>
      <m:oMath>
        <m:r>
          <m:t>k</m:t>
        </m:r>
        <m:r>
          <m:rPr>
            <m:sty m:val="p"/>
          </m:rPr>
          <m:t>×</m:t>
        </m:r>
        <m:r>
          <m:t>1</m:t>
        </m:r>
      </m:oMath>
      <w:r>
        <w:t xml:space="preserve">, captures their regression coefficients.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0"/>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1"/>
    <w:bookmarkStart w:id="38" w:name="spatial-dependence-testing"/>
    <w:p>
      <w:pPr>
        <w:pStyle w:val="Heading3"/>
      </w:pPr>
      <w:r>
        <w:t xml:space="preserve">Spatial dependence testing</w:t>
      </w:r>
    </w:p>
    <w:p>
      <w:pPr>
        <w:pStyle w:val="FirstParagraph"/>
      </w:pP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it can lead to biased parameter estimates and invalid inference in standard regression models.</w:t>
      </w:r>
      <w:r>
        <w:t xml:space="preserve"> </w:t>
      </w:r>
      <w:r>
        <w:t xml:space="preserve">To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w:t>
      </w:r>
      <w:r>
        <w:t xml:space="preserve"> </w:t>
      </w:r>
      <w:r>
        <w:t xml:space="preserve">(Moran 1950)</w:t>
      </w:r>
      <w:r>
        <w:t xml:space="preserve"> </w:t>
      </w:r>
      <w:r>
        <w:t xml:space="preserve">quantifies the overall degree of spatial clustering among geographic units, and is given by</w:t>
      </w:r>
      <w:r>
        <w:t xml:space="preserve"> </w:t>
      </w:r>
      <w:hyperlink w:anchor="eq-moran">
        <w:r>
          <w:rPr>
            <w:rStyle w:val="Hyperlink"/>
          </w:rPr>
          <w:t xml:space="preserve">Equation 3</w:t>
        </w:r>
      </w:hyperlink>
      <w:r>
        <w:t xml:space="preserve">:</w:t>
      </w:r>
    </w:p>
    <w:p>
      <w:pPr>
        <w:pStyle w:val="BodyText"/>
      </w:pPr>
      <w:bookmarkStart w:id="32"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2"/>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3"/>
      </w:r>
      <w:r>
        <w:t xml:space="preserve"> </w:t>
      </w:r>
      <w:r>
        <w:t xml:space="preserve">and significance is assessed through a permutation-based inference approach.</w:t>
      </w:r>
      <w:r>
        <w:rPr>
          <w:rStyle w:val="FootnoteReference"/>
        </w:rPr>
        <w:footnoteReference w:id="34"/>
      </w:r>
    </w:p>
    <w:p>
      <w:pPr>
        <w:pStyle w:val="BodyText"/>
      </w:pPr>
      <w:r>
        <w:t xml:space="preserve">The global statistic does not reveal where significant clusters or outliers are located, so</w:t>
      </w:r>
      <w:r>
        <w:t xml:space="preserve"> </w:t>
      </w:r>
      <w:r>
        <w:t xml:space="preserve">Anselin (1995)</w:t>
      </w:r>
      <w:r>
        <w:t xml:space="preserve"> </w:t>
      </w:r>
      <w:r>
        <w:t xml:space="preserve">proposed Local Indicators of Spatial Association, which decompose it into contributions from each individual observation, as in</w:t>
      </w:r>
      <w:r>
        <w:t xml:space="preserve"> </w:t>
      </w:r>
      <w:hyperlink w:anchor="eq-lisa">
        <w:r>
          <w:rPr>
            <w:rStyle w:val="Hyperlink"/>
          </w:rPr>
          <w:t xml:space="preserve">Equation 4</w:t>
        </w:r>
      </w:hyperlink>
      <w:r>
        <w:t xml:space="preserve">:</w:t>
      </w:r>
    </w:p>
    <w:p>
      <w:pPr>
        <w:pStyle w:val="BodyText"/>
      </w:pPr>
      <w:bookmarkStart w:id="35"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5"/>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Each observation is classified into one of four categories according to how its value relates to those of its neighbors: High-High and Low-Low identify spatial clusters, while High-Low and Low-High identify spatial outliers.</w:t>
      </w:r>
      <w:r>
        <w:rPr>
          <w:rStyle w:val="FootnoteReference"/>
        </w:rPr>
        <w:footnoteReference w:id="36"/>
      </w:r>
      <w:r>
        <w:t xml:space="preserve"> </w:t>
      </w:r>
      <w:r>
        <w:t xml:space="preserve">Significance is assessed through conditional permutation tests, and only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in which</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districts to</w:t>
      </w:r>
      <w:r>
        <w:t xml:space="preserve"> </w:t>
      </w:r>
      <m:oMath>
        <m:r>
          <m:t>i</m:t>
        </m:r>
      </m:oMath>
      <w:r>
        <w:t xml:space="preserve"> </w:t>
      </w:r>
      <w:r>
        <w:t xml:space="preserve">by centroid distance and</w:t>
      </w:r>
      <w:r>
        <w:t xml:space="preserve"> </w:t>
      </w:r>
      <m:oMath>
        <m:sSub>
          <m:e>
            <m:r>
              <m:t>w</m:t>
            </m:r>
          </m:e>
          <m:sub>
            <m:r>
              <m:t>i</m:t>
            </m:r>
            <m:r>
              <m:t>j</m:t>
            </m:r>
          </m:sub>
        </m:sSub>
        <m:r>
          <m:rPr>
            <m:sty m:val="p"/>
          </m:rPr>
          <m:t>=</m:t>
        </m:r>
        <m:r>
          <m:t>0</m:t>
        </m:r>
      </m:oMath>
      <w:r>
        <w:t xml:space="preserve"> </w:t>
      </w:r>
      <w:r>
        <w:t xml:space="preserve">otherwise.</w:t>
      </w:r>
      <w:r>
        <w:rPr>
          <w:rStyle w:val="FootnoteReference"/>
        </w:rPr>
        <w:footnoteReference w:id="37"/>
      </w:r>
      <w:r>
        <w:t xml:space="preserve"> </w:t>
      </w:r>
      <w:r>
        <w:t xml:space="preserve">This gives each district a fixed number of connections regardless of the heterogeneity in district sizes across the country.</w:t>
      </w:r>
      <w:r>
        <w:t xml:space="preserve"> </w:t>
      </w:r>
      <w:r>
        <w:t xml:space="preserve">Following standard practice, we row-normalize the matrix so that each row sums to one, which makes the spatial lag</w:t>
      </w:r>
      <w:r>
        <w:t xml:space="preserve"> </w:t>
      </w:r>
      <m:oMath>
        <m:r>
          <m:rPr>
            <m:sty m:val="b"/>
          </m:rPr>
          <m:t>W</m:t>
        </m:r>
        <m:r>
          <m:rPr>
            <m:sty m:val="b"/>
          </m:rPr>
          <m:t>x</m:t>
        </m:r>
      </m:oMath>
      <w:r>
        <w:t xml:space="preserve"> </w:t>
      </w:r>
      <w:r>
        <w:t xml:space="preserve">the average value among the neighbors of a district.</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8"/>
    <w:bookmarkStart w:id="43" w:name="spatial-spillover-modeling"/>
    <w:p>
      <w:pPr>
        <w:pStyle w:val="Heading3"/>
      </w:pPr>
      <w:r>
        <w:t xml:space="preserve">Spatial spillover modeling</w:t>
      </w:r>
    </w:p>
    <w:p>
      <w:pPr>
        <w:pStyle w:val="FirstParagraph"/>
      </w:pPr>
      <w:r>
        <w:t xml:space="preserve">Our spatial spillover modeling builds on the spatially augmented Solow model of</w:t>
      </w:r>
      <w:r>
        <w:t xml:space="preserve"> </w:t>
      </w:r>
      <w:r>
        <w:t xml:space="preserve">Ertur and Koch (2007)</w:t>
      </w:r>
      <w:r>
        <w:t xml:space="preserve">, developed for countries, and on its regional Mankiw-Romer-Weil extension by</w:t>
      </w:r>
      <w:r>
        <w:t xml:space="preserve"> </w:t>
      </w:r>
      <w:r>
        <w:t xml:space="preserve">Fischer (2011)</w:t>
      </w:r>
      <w:r>
        <w:t xml:space="preserve">, both of which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39"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9"/>
    </w:p>
    <w:p>
      <w:pPr>
        <w:pStyle w:val="FirstParagraph"/>
      </w:pPr>
      <w:r>
        <w:t xml:space="preserve">where</w:t>
      </w:r>
      <w:r>
        <w:t xml:space="preserve"> </w:t>
      </w:r>
      <m:oMath>
        <m:sSub>
          <m:e>
            <m:r>
              <m:t>Y</m:t>
            </m:r>
          </m:e>
          <m:sub>
            <m:r>
              <m:t>i</m:t>
            </m:r>
            <m:r>
              <m:t>t</m:t>
            </m:r>
          </m:sub>
        </m:sSub>
      </m:oMath>
      <w:r>
        <w:t xml:space="preserve"> </w:t>
      </w:r>
      <w:r>
        <w:t xml:space="preserve">is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the 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while</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are the output elasticities with respect to physical and human capital.</w:t>
      </w:r>
      <w:r>
        <w:t xml:space="preserve"> </w:t>
      </w:r>
      <w:r>
        <w:t xml:space="preserve">The framework models technological knowledge as in</w:t>
      </w:r>
      <w:r>
        <w:t xml:space="preserve"> </w:t>
      </w:r>
      <w:hyperlink w:anchor="eq-technology">
        <w:r>
          <w:rPr>
            <w:rStyle w:val="Hyperlink"/>
          </w:rPr>
          <w:t xml:space="preserve">Equation 6</w:t>
        </w:r>
      </w:hyperlink>
      <w:r>
        <w:t xml:space="preserve">, incorporating both internal and external factors:</w:t>
      </w:r>
    </w:p>
    <w:p>
      <w:pPr>
        <w:pStyle w:val="BodyText"/>
      </w:pPr>
      <w:bookmarkStart w:id="40"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0"/>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From this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 and can be written compactly as</w:t>
      </w:r>
      <w:r>
        <w:t xml:space="preserve"> </w:t>
      </w:r>
      <w:hyperlink w:anchor="eq-matrix-form-sdm">
        <w:r>
          <w:rPr>
            <w:rStyle w:val="Hyperlink"/>
          </w:rPr>
          <w:t xml:space="preserve">Equation 7</w:t>
        </w:r>
      </w:hyperlink>
      <w:r>
        <w:t xml:space="preserve">:</w:t>
      </w:r>
    </w:p>
    <w:p>
      <w:pPr>
        <w:pStyle w:val="BodyText"/>
      </w:pPr>
      <w:bookmarkStart w:id="41"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1"/>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2"/>
      </w:r>
    </w:p>
    <w:bookmarkEnd w:id="43"/>
    <w:bookmarkEnd w:id="44"/>
    <w:bookmarkStart w:id="96" w:name="results"/>
    <w:p>
      <w:pPr>
        <w:pStyle w:val="Heading2"/>
      </w:pPr>
      <w:r>
        <w:t xml:space="preserve">Results</w:t>
      </w:r>
    </w:p>
    <w:bookmarkStart w:id="6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illustrate growth and convergence in nighttime lights visually, through an interactive map of India, a convergence scatterplot, and case studies of some of the poorest regions of the country.</w:t>
      </w:r>
      <w:r>
        <w:rPr>
          <w:rStyle w:val="FootnoteReference"/>
        </w:rPr>
        <w:footnoteReference w:id="45"/>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030721"/>
                  <wp:effectExtent b="0" l="0" r="0" t="0"/>
                  <wp:docPr descr="" title="" id="49" name="Picture"/>
                  <a:graphic>
                    <a:graphicData uri="http://schemas.openxmlformats.org/drawingml/2006/picture">
                      <pic:pic>
                        <pic:nvPicPr>
                          <pic:cNvPr descr="images/luminosity_map.png" id="50" name="Picture"/>
                          <pic:cNvPicPr>
                            <a:picLocks noChangeArrowheads="1" noChangeAspect="1"/>
                          </pic:cNvPicPr>
                        </pic:nvPicPr>
                        <pic:blipFill>
                          <a:blip r:embed="rId4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51"/>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of India by 2010, which, since nighttime lights proxy for economic activity, reflects economic growth over the period.</w:t>
      </w:r>
      <w:r>
        <w:t xml:space="preserve"> </w:t>
      </w:r>
      <w:hyperlink w:anchor="fig-convergence">
        <w:r>
          <w:rPr>
            <w:rStyle w:val="Hyperlink"/>
          </w:rPr>
          <w:t xml:space="preserve">Figure 2</w:t>
        </w:r>
      </w:hyperlink>
      <w:r>
        <w:t xml:space="preserve"> </w:t>
      </w:r>
      <w:r>
        <w:t xml:space="preserve">then relates per-capita growth in nighttime lights to initial per-capita luminosity, and the relationship is inverse: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6" w:name="fig-convergence"/>
          <w:p>
            <w:pPr>
              <w:pStyle w:val="Compact"/>
              <w:jc w:val="center"/>
            </w:pPr>
            <w:r>
              <w:drawing>
                <wp:inline>
                  <wp:extent cx="5334000" cy="3976868"/>
                  <wp:effectExtent b="0" l="0" r="0" t="0"/>
                  <wp:docPr descr="" title="" id="53" name="Picture"/>
                  <a:graphic>
                    <a:graphicData uri="http://schemas.openxmlformats.org/drawingml/2006/picture">
                      <pic:pic>
                        <pic:nvPicPr>
                          <pic:cNvPr descr="index_files/figure-docx/notebooks-c02_regional_convergence_sc-fig-convergence-output-1.png" id="54" name="Picture"/>
                          <pic:cNvPicPr>
                            <a:picLocks noChangeArrowheads="1" noChangeAspect="1"/>
                          </pic:cNvPicPr>
                        </pic:nvPicPr>
                        <pic:blipFill>
                          <a:blip r:embed="rId5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5">
              <w:r>
                <w:rPr>
                  <w:rStyle w:val="Hyperlink"/>
                </w:rPr>
                <w:t xml:space="preserve">Regional convergence</w:t>
              </w:r>
            </w:hyperlink>
            <w:r>
              <w:t xml:space="preserve"> </w:t>
            </w:r>
            <w:r>
              <w:t xml:space="preserve">notebook for source code.</w:t>
            </w:r>
          </w:p>
          <w:bookmarkEnd w:id="56"/>
        </w:tc>
      </w:tr>
    </w:tbl>
    <w:p>
      <w:pPr>
        <w:pStyle w:val="BodyText"/>
      </w:pPr>
      <w:hyperlink w:anchor="fig-map2">
        <w:r>
          <w:rPr>
            <w:rStyle w:val="Hyperlink"/>
          </w:rPr>
          <w:t xml:space="preserve">Figure 3</w:t>
        </w:r>
      </w:hyperlink>
      <w:r>
        <w:t xml:space="preserve"> </w:t>
      </w:r>
      <w:r>
        <w:t xml:space="preserve">displays the change in luminosity over the study period in three economically disadvantaged states.</w:t>
      </w:r>
      <w:r>
        <w:t xml:space="preserve"> </w:t>
      </w:r>
      <w:r>
        <w:t xml:space="preserve">Bihar is the poorest of them, with a per-capita income at 31.2% of the national average, while Uttar Pradesh and Chhattisgarh stand at 55.3% and 59.9% respectively.</w:t>
      </w:r>
      <w:r>
        <w:rPr>
          <w:rStyle w:val="FootnoteReference"/>
        </w:rPr>
        <w:footnoteReference w:id="57"/>
      </w:r>
      <w:r>
        <w:t xml:space="preserve"> </w:t>
      </w:r>
      <w:r>
        <w:t xml:space="preserve">All three remain among the poorest states, but all three brightened noticeably over the period.</w:t>
      </w:r>
    </w:p>
    <w:tbl>
      <w:tblPr>
        <w:tblStyle w:val="Table"/>
        <w:tblW w:type="pct" w:w="5000"/>
        <w:tblLayout w:type="fixed"/>
        <w:tblLook w:firstRow="0" w:lastRow="0" w:firstColumn="0" w:lastColumn="0" w:noHBand="0" w:noVBand="0" w:val="0000"/>
      </w:tblPr>
      <w:tblGrid>
        <w:gridCol w:w="7920"/>
      </w:tblGrid>
      <w:tr>
        <w:tc>
          <w:tcPr/>
          <w:bookmarkStart w:id="61" w:name="fig-map2"/>
          <w:p>
            <w:pPr>
              <w:pStyle w:val="Compact"/>
              <w:jc w:val="center"/>
            </w:pPr>
            <w:r>
              <w:drawing>
                <wp:inline>
                  <wp:extent cx="4000500" cy="7241369"/>
                  <wp:effectExtent b="0" l="0" r="0" t="0"/>
                  <wp:docPr descr="" title="" id="59" name="Picture"/>
                  <a:graphic>
                    <a:graphicData uri="http://schemas.openxmlformats.org/drawingml/2006/picture">
                      <pic:pic>
                        <pic:nvPicPr>
                          <pic:cNvPr descr="images/luminosity_map2.png" id="60" name="Picture"/>
                          <pic:cNvPicPr>
                            <a:picLocks noChangeArrowheads="1" noChangeAspect="1"/>
                          </pic:cNvPicPr>
                        </pic:nvPicPr>
                        <pic:blipFill>
                          <a:blip r:embed="rId5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61"/>
        </w:tc>
      </w:tr>
    </w:tbl>
    <w:bookmarkEnd w:id="62"/>
    <w:bookmarkStart w:id="80" w:name="Xa63e35bf71f6213d31601c7d64926d62b07cc52"/>
    <w:p>
      <w:pPr>
        <w:pStyle w:val="Heading3"/>
      </w:pPr>
      <w:r>
        <w:t xml:space="preserve">Spatial dependence is a feature of the convergence process</w:t>
      </w:r>
    </w:p>
    <w:p>
      <w:pPr>
        <w:pStyle w:val="FirstParagraph"/>
      </w:pPr>
      <w:r>
        <w:t xml:space="preserve">Before the formal econometric analysis, we examine the spatial distribution of the variables under study.</w:t>
      </w:r>
      <w:r>
        <w:t xml:space="preserve"> </w:t>
      </w:r>
      <w:hyperlink w:anchor="fig-chorophleths">
        <w:r>
          <w:rPr>
            <w:rStyle w:val="Hyperlink"/>
          </w:rPr>
          <w:t xml:space="preserve">Figure 4</w:t>
        </w:r>
      </w:hyperlink>
      <w:r>
        <w:t xml:space="preserve"> </w:t>
      </w:r>
      <w:r>
        <w:t xml:space="preserve">maps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7" w:name="fig-chorophleths"/>
          <w:p>
            <w:pPr>
              <w:pStyle w:val="Compact"/>
              <w:jc w:val="center"/>
            </w:pPr>
            <w:r>
              <w:drawing>
                <wp:inline>
                  <wp:extent cx="5334000" cy="2769972"/>
                  <wp:effectExtent b="0" l="0" r="0" t="0"/>
                  <wp:docPr descr="" title="" id="64" name="Picture"/>
                  <a:graphic>
                    <a:graphicData uri="http://schemas.openxmlformats.org/drawingml/2006/picture">
                      <pic:pic>
                        <pic:nvPicPr>
                          <pic:cNvPr descr="index_files/figure-docx/notebooks-c03_spatial_dependence_lisa-fig-chorophleths-output-1.png" id="65" name="Picture"/>
                          <pic:cNvPicPr>
                            <a:picLocks noChangeArrowheads="1" noChangeAspect="1"/>
                          </pic:cNvPicPr>
                        </pic:nvPicPr>
                        <pic:blipFill>
                          <a:blip r:embed="rId6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67"/>
        </w:tc>
      </w:tr>
    </w:tbl>
    <w:p>
      <w:pPr>
        <w:pStyle w:val="BodyText"/>
      </w:pPr>
      <w:r>
        <w:t xml:space="preserve">Panel (a) shows initial luminosity concentrated in specific geographic corridors, with higher values clustered in western and north-western India and markedly lower values across large parts of eastern and northern India.</w:t>
      </w:r>
      <w:r>
        <w:t xml:space="preserve"> </w:t>
      </w:r>
      <w:r>
        <w:t xml:space="preserve">Panel (b) shows a pattern that is largely the inverse: districts that were initially bright grew more slowly, and districts that were initially dim grew faster.</w:t>
      </w:r>
      <w:r>
        <w:t xml:space="preserve"> </w:t>
      </w:r>
      <w:r>
        <w:t xml:space="preserve">This spatial inversion provides a first visual indication that regional convergence in India may have an important spatial dimension.</w:t>
      </w:r>
    </w:p>
    <w:p>
      <w:pPr>
        <w:pStyle w:val="BodyText"/>
      </w:pPr>
      <w:r>
        <w:t xml:space="preserve">A formal analysis of spatial dependence requires the neighborhood of each district, which the 6NN weight matrix described above supplies.</w:t>
      </w:r>
      <w:r>
        <w:t xml:space="preserve"> </w:t>
      </w:r>
      <w:hyperlink w:anchor="fig-wmatrix6nn">
        <w:r>
          <w:rPr>
            <w:rStyle w:val="Hyperlink"/>
          </w:rPr>
          <w:t xml:space="preserve">Figure 5</w:t>
        </w:r>
      </w:hyperlink>
      <w:r>
        <w:t xml:space="preserve"> </w:t>
      </w:r>
      <w:r>
        <w:t xml:space="preserve">visualizes that connectivity as a network, in which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1" w:name="fig-wmatrix6nn"/>
          <w:p>
            <w:pPr>
              <w:pStyle w:val="Compact"/>
              <w:jc w:val="center"/>
            </w:pPr>
            <w:r>
              <w:drawing>
                <wp:inline>
                  <wp:extent cx="5334000" cy="5052589"/>
                  <wp:effectExtent b="0" l="0" r="0" t="0"/>
                  <wp:docPr descr="" title="" id="69" name="Picture"/>
                  <a:graphic>
                    <a:graphicData uri="http://schemas.openxmlformats.org/drawingml/2006/picture">
                      <pic:pic>
                        <pic:nvPicPr>
                          <pic:cNvPr descr="index_files/figure-docx/notebooks-c03_spatial_dependence_lisa-fig-wmatrix6nn-output-1.png" id="70" name="Picture"/>
                          <pic:cNvPicPr>
                            <a:picLocks noChangeArrowheads="1" noChangeAspect="1"/>
                          </pic:cNvPicPr>
                        </pic:nvPicPr>
                        <pic:blipFill>
                          <a:blip r:embed="rId6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1"/>
        </w:tc>
      </w:tr>
    </w:tbl>
    <w:p>
      <w:pPr>
        <w:pStyle w:val="BodyText"/>
      </w:pP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5" w:name="fig-dependence-initial"/>
          <w:p>
            <w:pPr>
              <w:pStyle w:val="Compact"/>
              <w:jc w:val="center"/>
            </w:pPr>
            <w:r>
              <w:drawing>
                <wp:inline>
                  <wp:extent cx="5334000" cy="2634591"/>
                  <wp:effectExtent b="0" l="0" r="0" t="0"/>
                  <wp:docPr descr="" title="" id="73" name="Picture"/>
                  <a:graphic>
                    <a:graphicData uri="http://schemas.openxmlformats.org/drawingml/2006/picture">
                      <pic:pic>
                        <pic:nvPicPr>
                          <pic:cNvPr descr="index_files/figure-docx/notebooks-c03_spatial_dependence_lisa-fig-dependence-initial-output-1.png" id="74" name="Picture"/>
                          <pic:cNvPicPr>
                            <a:picLocks noChangeArrowheads="1" noChangeAspect="1"/>
                          </pic:cNvPicPr>
                        </pic:nvPicPr>
                        <pic:blipFill>
                          <a:blip r:embed="rId7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5"/>
        </w:tc>
      </w:tr>
    </w:tbl>
    <w:p>
      <w:pPr>
        <w:pStyle w:val="BodyText"/>
      </w:pPr>
      <w:r>
        <w:t xml:space="preserve">The same analysis applied to luminosity growth rates reveals a pattern that is largely the inverse of the initial clusters, as</w:t>
      </w:r>
      <w:r>
        <w:t xml:space="preserve"> </w:t>
      </w:r>
      <w:hyperlink w:anchor="fig-dependence-growth">
        <w:r>
          <w:rPr>
            <w:rStyle w:val="Hyperlink"/>
          </w:rPr>
          <w:t xml:space="preserve">Figure 7</w:t>
        </w:r>
      </w:hyperlink>
      <w:r>
        <w:t xml:space="preserve"> </w:t>
      </w:r>
      <w:r>
        <w:t xml:space="preserve">shows.</w:t>
      </w:r>
      <w:r>
        <w:t xml:space="preserve"> </w:t>
      </w:r>
      <w:r>
        <w:t xml:space="preserve">Districts that formed HH clusters in initial luminosity appear as LL clusters in luminosity growth, and the dimmest clusters emerge as HH clusters in growth.</w:t>
      </w:r>
      <w:r>
        <w:t xml:space="preserve"> </w:t>
      </w:r>
      <w:r>
        <w:t xml:space="preserve">That inversion is the spatial signature of the convergence process, and it motivates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79" w:name="fig-dependence-growth"/>
          <w:p>
            <w:pPr>
              <w:pStyle w:val="Compact"/>
              <w:jc w:val="center"/>
            </w:pPr>
            <w:r>
              <w:drawing>
                <wp:inline>
                  <wp:extent cx="5334000" cy="2638363"/>
                  <wp:effectExtent b="0" l="0" r="0" t="0"/>
                  <wp:docPr descr="" title="" id="77" name="Picture"/>
                  <a:graphic>
                    <a:graphicData uri="http://schemas.openxmlformats.org/drawingml/2006/picture">
                      <pic:pic>
                        <pic:nvPicPr>
                          <pic:cNvPr descr="index_files/figure-docx/notebooks-c03_spatial_dependence_lisa-fig-dependence-growth-output-1.png" id="78" name="Picture"/>
                          <pic:cNvPicPr>
                            <a:picLocks noChangeArrowheads="1" noChangeAspect="1"/>
                          </pic:cNvPicPr>
                        </pic:nvPicPr>
                        <pic:blipFill>
                          <a:blip r:embed="rId7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9"/>
        </w:tc>
      </w:tr>
    </w:tbl>
    <w:bookmarkEnd w:id="80"/>
    <w:bookmarkStart w:id="86"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 under ordinary least squares (OLS) and under the spatial specifications alike.</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1"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1"/>
          <w:p/>
        </w:tc>
      </w:tr>
    </w:tbl>
    <w:p>
      <w:pPr>
        <w:pStyle w:val="BodyText"/>
      </w:pP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 and the spatial Durbin direct effects match this pattern in the conditional models, at -0.026 in Model 3 and -0.025 in Model 4.</w:t>
      </w:r>
      <w:r>
        <w:t xml:space="preserve"> </w:t>
      </w:r>
      <w:r>
        <w:t xml:space="preserve">State fixed effects absorb unobserved state-level heterogeneity, such as differences in governance and institutional quality, which tightens the standard errors on the spatial impacts and moderates the spatial total effect rather than strengthening it further.</w:t>
      </w:r>
    </w:p>
    <w:p>
      <w:pPr>
        <w:pStyle w:val="BodyText"/>
      </w:pPr>
      <w:r>
        <w:t xml:space="preserve">The spatial Durbin model also reveals spillover effects that OLS does not capture, and these indirect effects, which measure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2"/>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3"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3"/>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4"/>
      </w:r>
    </w:p>
    <w:p>
      <w:pPr>
        <w:pStyle w:val="BodyText"/>
      </w:pP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5"/>
      </w:r>
      <w:r>
        <w:t xml:space="preserve"> </w:t>
      </w:r>
      <w:r>
        <w:t xml:space="preserve">These results suggest that regional convergence in India operates not only through district-specific factors but also through spatial interactions between neighboring districts, so that ignoring those interactions yields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 since neighboring districts share geographic and agro-climatic conditions, are often governed by the same state and so inherit common institutional and policy environments that our state fixed effects absorb only in part, are connected by infrastructure whose effects do not stop at administrative boundaries, and are exposed to any omitted determinant of growth that is itself spatially clustered.</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6"/>
    <w:bookmarkStart w:id="89"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benchmark is convergence measured from luminosity elsewhere.</w:t>
      </w:r>
      <w:r>
        <w:t xml:space="preserve"> </w:t>
      </w:r>
      <w:r>
        <w:t xml:space="preserve">Basher, Rashid, and Uddin (2023)</w:t>
      </w:r>
      <w:r>
        <w:t xml:space="preserve"> </w:t>
      </w:r>
      <w:r>
        <w:t xml:space="preserve">find absolute convergence of 4.57% per year across the 64 districts of Bangladesh, roughly double the 2.3% we obtain on the same unconditional basis.</w:t>
      </w:r>
      <w:r>
        <w:t xml:space="preserve"> </w:t>
      </w:r>
      <w:r>
        <w:t xml:space="preserve">Carrington and Jiménez-Ayora (2021)</w:t>
      </w:r>
      <w:r>
        <w:t xml:space="preserve"> </w:t>
      </w:r>
      <w:r>
        <w:t xml:space="preserve">report a speed near 2% for Ecuadorian provinces, and</w:t>
      </w:r>
      <w:r>
        <w:t xml:space="preserve"> </w:t>
      </w:r>
      <w:r>
        <w:t xml:space="preserve">Kacou (2022)</w:t>
      </w:r>
      <w:r>
        <w:t xml:space="preserve"> </w:t>
      </w:r>
      <w:r>
        <w:t xml:space="preserve">finds multiple equilibria across 49 African countries.</w:t>
      </w:r>
      <w:r>
        <w:t xml:space="preserve"> </w:t>
      </w:r>
      <w:r>
        <w:t xml:space="preserve">Our own unconditional non-spatial estimate therefore sits near the familiar 2% regularity, while the conditional spatial estimates lie well above it.</w:t>
      </w:r>
      <w:r>
        <w:rPr>
          <w:rStyle w:val="FootnoteReference"/>
        </w:rPr>
        <w:footnoteReference w:id="87"/>
      </w:r>
      <w:r>
        <w:t xml:space="preserve"> </w:t>
      </w:r>
      <w:r>
        <w:t xml:space="preserve">A meta-analysis of some 600 published estimates nevertheless warns against treating that regularity as a law</w:t>
      </w:r>
      <w:r>
        <w:t xml:space="preserve"> </w:t>
      </w:r>
      <w:r>
        <w:t xml:space="preserve">(Abreu, de Groot, and Florax 2005)</w:t>
      </w:r>
      <w:r>
        <w:t xml:space="preserve">.</w:t>
      </w:r>
      <w:r>
        <w:t xml:space="preserve"> </w:t>
      </w:r>
      <w:r>
        <w:t xml:space="preserve">These comparisons locate our estimates rather than validate them.</w:t>
      </w:r>
    </w:p>
    <w:p>
      <w:pPr>
        <w:pStyle w:val="BodyText"/>
      </w:pPr>
      <w:r>
        <w:t xml:space="preserve">The third benchmark bears most directly on what this article adds.</w:t>
      </w:r>
      <w:r>
        <w:t xml:space="preserve"> </w:t>
      </w:r>
      <w:r>
        <w:t xml:space="preserve">That convergence estimates are sensitive to spatial dependence is established, but the direction of the adjustment is not.</w:t>
      </w:r>
      <w:r>
        <w:t xml:space="preserve"> </w:t>
      </w:r>
      <w:r>
        <w:t xml:space="preserve">Our own rise from 3.0% to 5.2% agrees with</w:t>
      </w:r>
      <w:r>
        <w:t xml:space="preserve"> </w:t>
      </w:r>
      <w:r>
        <w:t xml:space="preserve">Diop (2018)</w:t>
      </w:r>
      <w:r>
        <w:t xml:space="preserve">, who concludes that non-spatial estimates may be considerably understated.</w:t>
      </w:r>
      <w:r>
        <w:t xml:space="preserve"> </w:t>
      </w:r>
      <w:r>
        <w:t xml:space="preserve">Others find the opposite: lower speeds for European regions</w:t>
      </w:r>
      <w:r>
        <w:t xml:space="preserve"> </w:t>
      </w:r>
      <w:r>
        <w:t xml:space="preserve">(Isla-Castillo, Garashchuk, and Podadera-Rivera 2024)</w:t>
      </w:r>
      <w:r>
        <w:t xml:space="preserve">, neighbor effects that slow convergence across Indonesian districts</w:t>
      </w:r>
      <w:r>
        <w:t xml:space="preserve"> </w:t>
      </w:r>
      <w:r>
        <w:t xml:space="preserve">(Santos-Marquez, Gunawan, and Mendez 2022)</w:t>
      </w:r>
      <w:r>
        <w:t xml:space="preserve">, and divergence rather than convergence across Indian states</w:t>
      </w:r>
      <w:r>
        <w:t xml:space="preserve"> </w:t>
      </w:r>
      <w:r>
        <w:t xml:space="preserve">(Lolayekar and Mukhopadhyay 2019)</w:t>
      </w:r>
      <w:r>
        <w:t xml:space="preserve">.</w:t>
      </w:r>
      <w:r>
        <w:t xml:space="preserve"> </w:t>
      </w:r>
      <w:r>
        <w:t xml:space="preserve">The substantive point is therefore not that spatial dependence matters, which is already known, but that here it works in the direction of faster measured convergence, and that the scale of analysis is part of what determines the answer.</w:t>
      </w:r>
      <w:r>
        <w:rPr>
          <w:rStyle w:val="FootnoteReference"/>
        </w:rPr>
        <w:footnoteReference w:id="88"/>
      </w:r>
    </w:p>
    <w:bookmarkEnd w:id="89"/>
    <w:bookmarkStart w:id="95"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3" w:name="fig-altw"/>
          <w:p>
            <w:pPr>
              <w:pStyle w:val="Compact"/>
              <w:jc w:val="center"/>
            </w:pPr>
            <w:r>
              <w:drawing>
                <wp:inline>
                  <wp:extent cx="5334000" cy="1836368"/>
                  <wp:effectExtent b="0" l="0" r="0" t="0"/>
                  <wp:docPr descr="" title="" id="91" name="Picture"/>
                  <a:graphic>
                    <a:graphicData uri="http://schemas.openxmlformats.org/drawingml/2006/picture">
                      <pic:pic>
                        <pic:nvPicPr>
                          <pic:cNvPr descr="index_files/figure-docx/notebooks-c07_alternative_w_matrices-fig-altw-output-1.png" id="92" name="Picture"/>
                          <pic:cNvPicPr>
                            <a:picLocks noChangeArrowheads="1" noChangeAspect="1"/>
                          </pic:cNvPicPr>
                        </pic:nvPicPr>
                        <pic:blipFill>
                          <a:blip r:embed="rId90"/>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4"/>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5"/>
    <w:bookmarkEnd w:id="96"/>
    <w:bookmarkStart w:id="123" w:name="discussion"/>
    <w:p>
      <w:pPr>
        <w:pStyle w:val="Heading2"/>
      </w:pPr>
      <w:r>
        <w:t xml:space="preserve">Discussion</w:t>
      </w:r>
    </w:p>
    <w:bookmarkStart w:id="99"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and roughly 52% of the initial gap.</w:t>
      </w:r>
      <w:r>
        <w:t xml:space="preserve"> </w:t>
      </w:r>
      <w:r>
        <w:t xml:space="preserve">The first figure describes catch-up over a generation, the second catch-up within the horizon over which development programs are designed, funded, and evaluated.</w:t>
      </w:r>
      <w:r>
        <w:t xml:space="preserve"> </w:t>
      </w:r>
      <w:r>
        <w:t xml:space="preserve">Under the faster rate, the returns to well-targeted support should appear within a normal evaluation window.</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visible at the district level and absent at the state level is consistent with the district being the more informative unit of intervention, which the Aspirational Districts Programme of India already assumes.</w:t>
      </w:r>
      <w:r>
        <w:rPr>
          <w:rStyle w:val="FootnoteReference"/>
        </w:rPr>
        <w:footnoteReference w:id="97"/>
      </w:r>
      <w:r>
        <w:t xml:space="preserve"> </w:t>
      </w:r>
      <w:r>
        <w:t xml:space="preserve">The spatial results add a qualification, since a lagging district surrounded by other lagging districts is in a different position from one adjacent to a growing cluster.</w:t>
      </w:r>
      <w:r>
        <w:t xml:space="preserve"> </w:t>
      </w:r>
      <w:r>
        <w:t xml:space="preserve">A targeting rule that ranks districts one at a time will not register that difference.</w:t>
      </w:r>
    </w:p>
    <w:p>
      <w:pPr>
        <w:pStyle w:val="BodyText"/>
      </w:pPr>
      <w:r>
        <w:t xml:space="preserve">Spillovers cut both ways, however, and the Indian evidence on place-based policy is a caution as much as an encouragement.</w:t>
      </w:r>
      <w:r>
        <w:t xml:space="preserve"> </w:t>
      </w:r>
      <w:r>
        <w:t xml:space="preserve">Hasan, Jiang, and Rafols (2021)</w:t>
      </w:r>
      <w:r>
        <w:t xml:space="preserve"> </w:t>
      </w:r>
      <w:r>
        <w:t xml:space="preserve">find that a tax exemption for industrially backward districts raised firm entry and employment partly by displacing activity from neighboring districts that narrowly missed qualifying, with effects that did not outlast the program.</w:t>
      </w:r>
      <w:r>
        <w:t xml:space="preserve"> </w:t>
      </w:r>
      <w:r>
        <w:t xml:space="preserve">Displacement of that kind would appear in our framework as a spatial relationship between neighbors, which is not a spillover on which coordinated regional policy can be built.</w:t>
      </w:r>
      <w:r>
        <w:t xml:space="preserve"> </w:t>
      </w:r>
      <w:r>
        <w:t xml:space="preserve">What the satellite record does support is measurement.</w:t>
      </w:r>
      <w:r>
        <w:rPr>
          <w:rStyle w:val="FootnoteReference"/>
        </w:rPr>
        <w:footnoteReference w:id="98"/>
      </w:r>
      <w:r>
        <w:t xml:space="preserve"> </w:t>
      </w:r>
      <w:r>
        <w:t xml:space="preserve">The readings above therefore hold only if the indirect effects reflect genuine interaction between districts, and the reduced-form evidence is consistent with that but does not establish it.</w:t>
      </w:r>
    </w:p>
    <w:bookmarkEnd w:id="99"/>
    <w:bookmarkStart w:id="103"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convergence evolved within the period, cannot show whether the spatial spillovers were stronger in some years than in others, and cannot separate long-run convergence from what was specific to these fourteen years, which in India included the maturing of the post-1991 reforms.</w:t>
      </w:r>
      <w:r>
        <w:t xml:space="preserve"> </w:t>
      </w:r>
      <w:r>
        <w:t xml:space="preserve">Examining those dynamics lies beyond an article that adds a spatial dimension to an existing cross-sectional result.</w:t>
      </w:r>
      <w:r>
        <w:t xml:space="preserve"> </w:t>
      </w:r>
      <w:r>
        <w:t xml:space="preserve">The immediate obstacle is in any case the data, since district population is observed only at the decennial censuses.</w:t>
      </w:r>
      <w:r>
        <w:rPr>
          <w:rStyle w:val="FootnoteReference"/>
        </w:rPr>
        <w:footnoteReference w:id="100"/>
      </w:r>
      <w:r>
        <w:t xml:space="preserve"> </w:t>
      </w:r>
      <w:r>
        <w:t xml:space="preserve">Interpolated denominators touch only the endpoints of a long difference, whereas in a panel they would enter every observation, and in the time dimension that a panel exists to exploit.</w:t>
      </w:r>
    </w:p>
    <w:p>
      <w:pPr>
        <w:pStyle w:val="BodyText"/>
      </w:pPr>
      <w:r>
        <w:t xml:space="preserve">What such a panel would be worth is the more interesting question, and here two problems compound.</w:t>
      </w:r>
      <w:r>
        <w:t xml:space="preserve"> </w:t>
      </w:r>
      <w:r>
        <w:t xml:space="preserve">The first predates nighttime lights: panel estimates of convergence run far above cross-sectional ones, and</w:t>
      </w:r>
      <w:r>
        <w:t xml:space="preserve"> </w:t>
      </w:r>
      <w:r>
        <w:t xml:space="preserve">Caselli, Esquivel, and Lefort (1996)</w:t>
      </w:r>
      <w:r>
        <w:t xml:space="preserve"> </w:t>
      </w:r>
      <w:r>
        <w:t xml:space="preserve">obtain a rate near 10% per year against the 2% that cross-sections deliver.</w:t>
      </w:r>
      <w:r>
        <w:rPr>
          <w:rStyle w:val="FootnoteReference"/>
        </w:rPr>
        <w:footnoteReference w:id="101"/>
      </w:r>
      <w:r>
        <w:t xml:space="preserve"> </w:t>
      </w:r>
      <w:r>
        <w:t xml:space="preserve">How that gap should be read remains contested, so a panel would give not a better-identified version of our estimate but an estimate of something different.</w:t>
      </w:r>
      <w:r>
        <w:t xml:space="preserve"> </w:t>
      </w:r>
      <w:r>
        <w:t xml:space="preserve">The second problem is specific to the proxy, since luminosity discriminates differences across places far better than changes over time</w:t>
      </w:r>
      <w:r>
        <w:t xml:space="preserve"> </w:t>
      </w:r>
      <w:r>
        <w:t xml:space="preserve">(X. Chen and Nordhaus 2019; Asher et al. 2021)</w:t>
      </w:r>
      <w:r>
        <w:t xml:space="preserve">, and over short intervals the ratio of signal to measurement error falls sharply.</w:t>
      </w:r>
      <w:r>
        <w:rPr>
          <w:rStyle w:val="FootnoteReference"/>
        </w:rPr>
        <w:footnoteReference w:id="102"/>
      </w:r>
      <w:r>
        <w:t xml:space="preserve"> </w:t>
      </w:r>
      <w:r>
        <w:t xml:space="preserve">The periods compared should therefore be long, and harmonized DMSP–VIIRS series now make a sequence of non-overlapping long differences feasible across roughly three decades</w:t>
      </w:r>
      <w:r>
        <w:t xml:space="preserve"> </w:t>
      </w:r>
      <w:r>
        <w:t xml:space="preserve">(Li et al. 2020)</w:t>
      </w:r>
      <w:r>
        <w:t xml:space="preserve">, which is the most promising temporal extension of this work.</w:t>
      </w:r>
    </w:p>
    <w:bookmarkEnd w:id="103"/>
    <w:bookmarkStart w:id="115"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 and nighttime lights for the adjacent year 1992 are available for 32 states and union territories.</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(N = 32) and the leverage that small territories at the extremes of the distribution exert on linear correlation measures, we report Spearman rank correlations throughout.</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is positively associated with luminosity, with a Spearman rank correlation of 0.370 (</w:t>
      </w:r>
      <m:oMath>
        <m:r>
          <m:t>p</m:t>
        </m:r>
      </m:oMath>
      <w:r>
        <w:t xml:space="preserve"> </w:t>
      </w:r>
      <w:r>
        <w:t xml:space="preserve">= 0.037), so more luminous states tend to rank higher on that dimension.</w:t>
      </w:r>
      <w:r>
        <w:t xml:space="preserve"> </w:t>
      </w:r>
      <w:r>
        <w:t xml:space="preserve">Socio-cultural participation, in contrast, is negatively associated, with a Spearman rank correlation of $-</w:t>
      </w:r>
      <m:oMath>
        <m:r>
          <m:t>0.404</m:t>
        </m:r>
        <m:r>
          <m:rPr>
            <m:sty m:val="p"/>
          </m:rPr>
          <m:t>(</m:t>
        </m:r>
      </m:oMath>
      <w:r>
        <w:t xml:space="preserve">p$ = 0.022), so less luminous states tend to rank higher on it.</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maps the spatial distribution of the two cultural variables through the lens of a LISA analysis.</w:t>
      </w:r>
      <w:r>
        <w:t xml:space="preserve"> </w:t>
      </w:r>
      <w:r>
        <w:t xml:space="preserve">The low-low cluster of cultural telecast in the northeast coincides with the low-low cluster in the nighttime lights data, whereas the high-high clusters do not coincide: cultural telecast forms one in the southern states, and community-based participation forms one in the northeast.</w:t>
      </w:r>
      <w:r>
        <w:t xml:space="preserve"> </w:t>
      </w:r>
      <w:r>
        <w:t xml:space="preserve">The remaining four cultural dimensions show no statistically significant association with luminosity, and these findings rest on a small cross-section of 32 states observed at a single point in time, so larger datasets covering more regions and periods would be needed to establish whether the patterns are robust.</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1" w:name="new-research-directions"/>
    <w:p>
      <w:pPr>
        <w:pStyle w:val="Heading3"/>
      </w:pPr>
      <w:r>
        <w:t xml:space="preserve">New research directions</w:t>
      </w:r>
    </w:p>
    <w:p>
      <w:pPr>
        <w:pStyle w:val="FirstParagraph"/>
      </w:pPr>
      <w:r>
        <w:t xml:space="preserve">Three kinds of gap limit what this literature can currently establish: the data themselves, the geography they cover, and the theories they have been used to test.</w:t>
      </w:r>
      <w:r>
        <w:t xml:space="preserve"> </w:t>
      </w:r>
      <w:r>
        <w:t xml:space="preserve">The first is well documented, since the radiance-calibrated DMSP-OLS series we adopt from</w:t>
      </w:r>
      <w:r>
        <w:t xml:space="preserve"> </w:t>
      </w:r>
      <w:r>
        <w:t xml:space="preserve">Chanda and Kabiraj (2020)</w:t>
      </w:r>
      <w:r>
        <w:t xml:space="preserve">, and on which this literature rests</w:t>
      </w:r>
      <w:r>
        <w:t xml:space="preserve"> </w:t>
      </w:r>
      <w:r>
        <w:t xml:space="preserve">(Henderson, Storeygard, and Weil 2012; X. Chen and Nordhaus 2011)</w:t>
      </w:r>
      <w:r>
        <w:t xml:space="preserve">, is top-coded in bright urban cores, uncalibrated on board, and blurred across boundaries by blooming</w:t>
      </w:r>
      <w:r>
        <w:t xml:space="preserve"> </w:t>
      </w:r>
      <w:r>
        <w:t xml:space="preserve">(Gibson et al. 2021; Abrahams, Oram, and Lozano-Gracia 2018)</w:t>
      </w:r>
      <w:r>
        <w:t xml:space="preserve">.</w:t>
      </w:r>
      <w:r>
        <w:t xml:space="preserve"> </w:t>
      </w:r>
      <w:r>
        <w:t xml:space="preserve">Top-coding leaves the net bias in our convergence coefficient ambiguous in sign, while blooming raises the apparent correlation between neighbors and therefore bears directly on the spillover estimates.</w:t>
      </w:r>
      <w:r>
        <w:rPr>
          <w:rStyle w:val="FootnoteReference"/>
        </w:rPr>
        <w:footnoteReference w:id="116"/>
      </w:r>
      <w:r>
        <w:t xml:space="preserve"> </w:t>
      </w:r>
      <w:r>
        <w:t xml:space="preserve">The Visible Infrared Imaging Radiometer Suite (VIIRS) and harmonized DMSP–VIIRS series address all three problems</w:t>
      </w:r>
      <w:r>
        <w:t xml:space="preserve"> </w:t>
      </w:r>
      <w:r>
        <w:t xml:space="preserve">(Elvidge et al. 2017; Li et al. 2020; Chiovelli et al. 2026)</w:t>
      </w:r>
      <w:r>
        <w:t xml:space="preserve">, and multi-source methods improve measurement where lights alone are weak.</w:t>
      </w:r>
      <w:r>
        <w:rPr>
          <w:rStyle w:val="FootnoteReference"/>
        </w:rPr>
        <w:footnoteReference w:id="117"/>
      </w:r>
      <w:r>
        <w:t xml:space="preserve"> </w:t>
      </w:r>
      <w:r>
        <w:t xml:space="preserve">Re-estimating our specification on those data is the most immediate extension of the analysis reported here.</w:t>
      </w:r>
    </w:p>
    <w:p>
      <w:pPr>
        <w:pStyle w:val="BodyText"/>
      </w:pPr>
      <w:r>
        <w:t xml:space="preserve">The second gap concerns geography, and it is not that some regions have gone unstudied.</w:t>
      </w:r>
      <w:r>
        <w:t xml:space="preserve"> </w:t>
      </w:r>
      <w:r>
        <w:t xml:space="preserve">A single instrument observes the whole planet under a common protocol, which makes measurements comparable in a way that national accounts are not</w:t>
      </w:r>
      <w:r>
        <w:t xml:space="preserve"> </w:t>
      </w:r>
      <w:r>
        <w:t xml:space="preserve">(Henderson, Storeygard, and Weil 2012)</w:t>
      </w:r>
      <w:r>
        <w:t xml:space="preserve">, but what it records is light rather than economic activity.</w:t>
      </w:r>
      <w:r>
        <w:t xml:space="preserve"> </w:t>
      </w:r>
      <w:r>
        <w:t xml:space="preserve">Roughly one fifth of the settlement footprint of the planet emits no detectable radiance, and unlit settlements are concentrated in Africa</w:t>
      </w:r>
      <w:r>
        <w:t xml:space="preserve"> </w:t>
      </w:r>
      <w:r>
        <w:t xml:space="preserve">(McCallum et al. 2022)</w:t>
      </w:r>
      <w:r>
        <w:t xml:space="preserve">.</w:t>
      </w:r>
      <w:r>
        <w:t xml:space="preserve"> </w:t>
      </w:r>
      <w:r>
        <w:t xml:space="preserve">Africa is nonetheless well covered by this literature</w:t>
      </w:r>
      <w:r>
        <w:t xml:space="preserve"> </w:t>
      </w:r>
      <w:r>
        <w:t xml:space="preserve">(Kacou 2022)</w:t>
      </w:r>
      <w:r>
        <w:t xml:space="preserve">, as are China</w:t>
      </w:r>
      <w:r>
        <w:t xml:space="preserve"> </w:t>
      </w:r>
      <w:r>
        <w:t xml:space="preserve">(Glawe and Mendez 2024)</w:t>
      </w:r>
      <w:r>
        <w:t xml:space="preserve">, Indonesia</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real gap is that the places where lights carry least information, rural and sparsely electrified areas, are the places where administrative statistics are weakest and a satellite proxy would be most valuable.</w:t>
      </w:r>
      <w:r>
        <w:rPr>
          <w:rStyle w:val="FootnoteReference"/>
        </w:rPr>
        <w:footnoteReference w:id="118"/>
      </w:r>
      <w:r>
        <w:t xml:space="preserve"> </w:t>
      </w:r>
      <w:r>
        <w:t xml:space="preserve">Closing it calls less for further applications of the same proxy than for validation against ground data in those settings.</w:t>
      </w:r>
    </w:p>
    <w:p>
      <w:pPr>
        <w:pStyle w:val="BodyText"/>
      </w:pPr>
      <w:r>
        <w:t xml:space="preserve">The third gap concerns theory, since luminosity is now applied well beyond the question asked here.</w:t>
      </w:r>
      <w:r>
        <w:t xml:space="preserve"> </w:t>
      </w:r>
      <w:r>
        <w:t xml:space="preserve">Within convergence analysis, our framework yields an average effect rather than heterogeneity across the distribution, and it captures spillovers in reduced form, gaps that distribution dynamics and quasi-experimental designs such as that of</w:t>
      </w:r>
      <w:r>
        <w:t xml:space="preserve"> </w:t>
      </w:r>
      <w:r>
        <w:t xml:space="preserve">Asher and Novosad (2020)</w:t>
      </w:r>
      <w:r>
        <w:t xml:space="preserve"> </w:t>
      </w:r>
      <w:r>
        <w:t xml:space="preserve">are built to fill.</w:t>
      </w:r>
      <w:r>
        <w:rPr>
          <w:rStyle w:val="FootnoteReference"/>
        </w:rPr>
        <w:footnoteReference w:id="119"/>
      </w:r>
      <w:r>
        <w:t xml:space="preserve"> </w:t>
      </w:r>
      <w:r>
        <w:t xml:space="preserve">Beyond convergence, lights now serve the study of city size</w:t>
      </w:r>
      <w:r>
        <w:t xml:space="preserve"> </w:t>
      </w:r>
      <w:r>
        <w:t xml:space="preserve">(Ch, Martin, and Vargas 2021)</w:t>
      </w:r>
      <w:r>
        <w:t xml:space="preserve">, electrification and the provision of public goods</w:t>
      </w:r>
      <w:r>
        <w:t xml:space="preserve"> </w:t>
      </w:r>
      <w:r>
        <w:t xml:space="preserve">(Min et al. 2013)</w:t>
      </w:r>
      <w:r>
        <w:t xml:space="preserve">, armed conflict</w:t>
      </w:r>
      <w:r>
        <w:t xml:space="preserve"> </w:t>
      </w:r>
      <w:r>
        <w:t xml:space="preserve">(Witmer and O’Loughlin 2011)</w:t>
      </w:r>
      <w:r>
        <w:t xml:space="preserve">, the cultural participation theorized by</w:t>
      </w:r>
      <w:r>
        <w:t xml:space="preserve"> </w:t>
      </w:r>
      <w:r>
        <w:t xml:space="preserve">Tubadji (2025)</w:t>
      </w:r>
      <w:r>
        <w:t xml:space="preserve">, and the local effect of policies and shocks at fine spatial scales</w:t>
      </w:r>
      <w:r>
        <w:t xml:space="preserve"> </w:t>
      </w:r>
      <w:r>
        <w:t xml:space="preserve">(Bluhm and McCord 2022)</w:t>
      </w:r>
      <w:r>
        <w:t xml:space="preserve">.</w:t>
      </w:r>
      <w:r>
        <w:t xml:space="preserve"> </w:t>
      </w:r>
      <w:r>
        <w:t xml:space="preserve">One caveat governs all of these uses: lights discriminate differences across places far better than changes over time, so evaluations over short horizons require validation against local ground data.</w:t>
      </w:r>
      <w:r>
        <w:rPr>
          <w:rStyle w:val="FootnoteReference"/>
        </w:rPr>
        <w:footnoteReference w:id="120"/>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 so a reader can open the relevant notebook, substitute data from another country or a later period, and re-run it.</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1"/>
    <w:bookmarkStart w:id="122" w:name="Xaf3e12c7d10c533b092c48d5d53066a8fdf921f"/>
    <w:p>
      <w:pPr>
        <w:pStyle w:val="Heading3"/>
      </w:pPr>
      <w:r>
        <w:t xml:space="preserve">Research reproducibility and open science</w:t>
      </w:r>
    </w:p>
    <w:p>
      <w:pPr>
        <w:pStyle w:val="FirstParagraph"/>
      </w:pP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lower the barriers to that kind of verification, and cloud-based notebooks for processing nighttime lights remove the need for specialized local software</w:t>
      </w:r>
      <w:r>
        <w:t xml:space="preserve"> </w:t>
      </w:r>
      <w:r>
        <w:t xml:space="preserve">(Patnaik and Mendez 2024)</w:t>
      </w:r>
      <w:r>
        <w:t xml:space="preserve">.</w:t>
      </w:r>
      <w:r>
        <w:t xml:space="preserve"> </w:t>
      </w:r>
      <w:r>
        <w:t xml:space="preserve">Open data, version-controlled code, and cloud execution together make the full pipeline, from satellite imagery to econometric results, verifiable and extensible by the broader research community.</w:t>
      </w:r>
    </w:p>
    <w:bookmarkEnd w:id="122"/>
    <w:bookmarkEnd w:id="123"/>
    <w:bookmarkStart w:id="125" w:name="concluding-remarks"/>
    <w:p>
      <w:pPr>
        <w:pStyle w:val="Heading2"/>
      </w:pPr>
      <w:r>
        <w:t xml:space="preserve">Concluding remarks</w:t>
      </w:r>
    </w:p>
    <w:p>
      <w:pPr>
        <w:pStyle w:val="FirstParagraph"/>
      </w:pPr>
      <w:r>
        <w:t xml:space="preserve">This article re-examines regional convergence across Indian districts using satellite nighttime lights, interactive visualization, and spatial econometric modeling.</w:t>
      </w:r>
      <w:r>
        <w:t xml:space="preserve"> </w:t>
      </w:r>
      <w:r>
        <w:t xml:space="preserve">Our tests show that spatial dependence characterizes both the satellite data and the convergence process itself.</w:t>
      </w:r>
      <w:r>
        <w:t xml:space="preserve"> </w:t>
      </w:r>
      <w:r>
        <w:t xml:space="preserve">In the fully specified spatial Durbin model, the total convergence effect is about 51% larger than the conventional non-spatial estimate, and the implied half-life of regional disparities falls from roughly 23 years to 13.</w:t>
      </w:r>
      <w:r>
        <w:t xml:space="preserve"> </w:t>
      </w:r>
      <w:r>
        <w:t xml:space="preserve">Non-spatial models therefore understate the speed of convergence in this setting, although comparison with other regional literatures shows that the direction of the adjustment is specific to the setting.</w:t>
      </w:r>
      <w:r>
        <w:t xml:space="preserve"> </w:t>
      </w:r>
      <w:r>
        <w:t xml:space="preserve">The policy reading depends on what the indirect effects represent.</w:t>
      </w:r>
      <w:r>
        <w:t xml:space="preserve"> </w:t>
      </w:r>
      <w:r>
        <w:t xml:space="preserve">Genuine spillovers would mean that place-based interventions reach beyond the districts they target.</w:t>
      </w:r>
      <w:r>
        <w:t xml:space="preserve"> </w:t>
      </w:r>
      <w:r>
        <w:t xml:space="preserve">Displaced activity would mean that the same estimates overstate what those interventions add in aggregate.</w:t>
      </w:r>
    </w:p>
    <w:p>
      <w:pPr>
        <w:pStyle w:val="BodyText"/>
      </w:pPr>
      <w:r>
        <w:t xml:space="preserve">Every step of the analysis is documented in Python notebooks, which run in the cloud and are embedded in the manuscript through the Quarto publishing framework.</w:t>
      </w:r>
      <w:r>
        <w:rPr>
          <w:rStyle w:val="FootnoteReference"/>
        </w:rPr>
        <w:footnoteReference w:id="124"/>
      </w:r>
      <w:r>
        <w:t xml:space="preserve"> </w:t>
      </w:r>
      <w:r>
        <w:t xml:space="preserve">The code and the data are hosted in a public Github repository, and we follow these open-science practices in the hope that other applied studies will adopt them.</w:t>
      </w:r>
      <w:r>
        <w:t xml:space="preserve"> </w:t>
      </w:r>
      <w:r>
        <w:t xml:space="preserve">That same workflow allowed us to extend the analysis beyond economic output.</w:t>
      </w:r>
      <w:r>
        <w:t xml:space="preserve"> </w:t>
      </w:r>
      <w:r>
        <w:t xml:space="preserve">Relating luminosity to cultural participation across Indian states required one additional notebook.</w:t>
      </w:r>
      <w:r>
        <w:t xml:space="preserve"> </w:t>
      </w:r>
      <w:r>
        <w:t xml:space="preserve">Luminosity correlates positively with media-based cultural consumption and negatively with community-based participation.</w:t>
      </w:r>
      <w:r>
        <w:t xml:space="preserve"> </w:t>
      </w:r>
      <w:r>
        <w:t xml:space="preserve">Those exploratory findings are reproducible on the same terms as the convergence estimates.</w:t>
      </w:r>
    </w:p>
    <w:p>
      <w:pPr>
        <w:pStyle w:val="BodyText"/>
      </w:pPr>
      <w:r>
        <w:t xml:space="preserve">The most valuable next steps are concrete: re-estimate this specification on the higher-resolution VIIRS data, validate luminosity against ground measurements in rural and sparsely electrified areas, and carry the same spatial framework to questions beyond convergence.</w:t>
      </w:r>
      <w:r>
        <w:t xml:space="preserve"> </w:t>
      </w:r>
      <w:r>
        <w:t xml:space="preserve">None of that work requires starting from scratch.</w:t>
      </w:r>
      <w:r>
        <w:t xml:space="preserve"> </w:t>
      </w:r>
      <w:r>
        <w:t xml:space="preserve">A reader can open the relevant notebook, substitute data from another country or a later period, and re-run the entire analysis in a browser.</w:t>
      </w:r>
      <w:r>
        <w:t xml:space="preserve"> </w:t>
      </w:r>
      <w:r>
        <w:t xml:space="preserve">The convergence estimates reported here will eventually be superseded, and the workflow that produced them is built to be reused.</w:t>
      </w:r>
    </w:p>
    <w:bookmarkEnd w:id="125"/>
    <w:bookmarkStart w:id="126"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6"/>
    <w:bookmarkStart w:id="127" w:name="conflict-of-interest"/>
    <w:p>
      <w:pPr>
        <w:pStyle w:val="Heading2"/>
      </w:pPr>
      <w:r>
        <w:t xml:space="preserve">Conflict of Interest</w:t>
      </w:r>
    </w:p>
    <w:p>
      <w:pPr>
        <w:pStyle w:val="FirstParagraph"/>
      </w:pPr>
      <w:r>
        <w:t xml:space="preserve">The authors declare no conflict of interest.</w:t>
      </w:r>
    </w:p>
    <w:bookmarkEnd w:id="127"/>
    <w:bookmarkStart w:id="272"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1" w:name="refs"/>
    <w:bookmarkStart w:id="129"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28">
        <w:r>
          <w:rPr>
            <w:rStyle w:val="Hyperlink"/>
          </w:rPr>
          <w:t xml:space="preserve">https://doi.org/10.1016/j.rse.2018.03.018</w:t>
        </w:r>
      </w:hyperlink>
      <w:r>
        <w:t xml:space="preserve">.</w:t>
      </w:r>
    </w:p>
    <w:bookmarkEnd w:id="129"/>
    <w:bookmarkStart w:id="131"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0">
        <w:r>
          <w:rPr>
            <w:rStyle w:val="Hyperlink"/>
          </w:rPr>
          <w:t xml:space="preserve">https://doi.org/10.1111/j.0950-0804.2005.00253.x</w:t>
        </w:r>
      </w:hyperlink>
      <w:r>
        <w:t xml:space="preserve">.</w:t>
      </w:r>
    </w:p>
    <w:bookmarkEnd w:id="131"/>
    <w:bookmarkStart w:id="133"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2">
        <w:r>
          <w:rPr>
            <w:rStyle w:val="Hyperlink"/>
          </w:rPr>
          <w:t xml:space="preserve">https://doi.org/10.1111/ecin.12967</w:t>
        </w:r>
      </w:hyperlink>
      <w:r>
        <w:t xml:space="preserve">.</w:t>
      </w:r>
    </w:p>
    <w:bookmarkEnd w:id="133"/>
    <w:bookmarkStart w:id="135"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4">
        <w:r>
          <w:rPr>
            <w:rStyle w:val="Hyperlink"/>
          </w:rPr>
          <w:t xml:space="preserve">https://quarto.org</w:t>
        </w:r>
      </w:hyperlink>
      <w:r>
        <w:t xml:space="preserve">.</w:t>
      </w:r>
    </w:p>
    <w:bookmarkEnd w:id="135"/>
    <w:bookmarkStart w:id="137"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6">
        <w:r>
          <w:rPr>
            <w:rStyle w:val="Hyperlink"/>
          </w:rPr>
          <w:t xml:space="preserve">https://doi.org/10.1007/978-94-015-7799-1</w:t>
        </w:r>
      </w:hyperlink>
      <w:r>
        <w:t xml:space="preserve">.</w:t>
      </w:r>
    </w:p>
    <w:bookmarkEnd w:id="137"/>
    <w:bookmarkStart w:id="139"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38">
        <w:r>
          <w:rPr>
            <w:rStyle w:val="Hyperlink"/>
          </w:rPr>
          <w:t xml:space="preserve">https://doi.org/10.1111/j.1538-4632.1995.tb00338.x</w:t>
        </w:r>
      </w:hyperlink>
      <w:r>
        <w:t xml:space="preserve">.</w:t>
      </w:r>
    </w:p>
    <w:bookmarkEnd w:id="139"/>
    <w:bookmarkStart w:id="141"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0">
        <w:r>
          <w:rPr>
            <w:rStyle w:val="Hyperlink"/>
          </w:rPr>
          <w:t xml:space="preserve">https://doi.org/10.1093/wber/lhab003</w:t>
        </w:r>
      </w:hyperlink>
      <w:r>
        <w:t xml:space="preserve">.</w:t>
      </w:r>
    </w:p>
    <w:bookmarkEnd w:id="141"/>
    <w:bookmarkStart w:id="14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2">
        <w:r>
          <w:rPr>
            <w:rStyle w:val="Hyperlink"/>
          </w:rPr>
          <w:t xml:space="preserve">https://doi.org/10.1257/aer.20180268</w:t>
        </w:r>
      </w:hyperlink>
      <w:r>
        <w:t xml:space="preserve">.</w:t>
      </w:r>
    </w:p>
    <w:bookmarkEnd w:id="143"/>
    <w:bookmarkStart w:id="145"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4">
        <w:r>
          <w:rPr>
            <w:rStyle w:val="Hyperlink"/>
          </w:rPr>
          <w:t xml:space="preserve">https://doi.org/10.1111/ecoj.12247</w:t>
        </w:r>
      </w:hyperlink>
      <w:r>
        <w:t xml:space="preserve">.</w:t>
      </w:r>
    </w:p>
    <w:bookmarkEnd w:id="145"/>
    <w:bookmarkStart w:id="14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6">
        <w:r>
          <w:rPr>
            <w:rStyle w:val="Hyperlink"/>
          </w:rPr>
          <w:t xml:space="preserve">https://doi.org/10.1086/261816</w:t>
        </w:r>
      </w:hyperlink>
      <w:r>
        <w:t xml:space="preserve">.</w:t>
      </w:r>
    </w:p>
    <w:bookmarkEnd w:id="147"/>
    <w:bookmarkStart w:id="149"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48">
        <w:r>
          <w:rPr>
            <w:rStyle w:val="Hyperlink"/>
          </w:rPr>
          <w:t xml:space="preserve">https://doi.org/10.1080/13504851.2022.2099798</w:t>
        </w:r>
      </w:hyperlink>
      <w:r>
        <w:t xml:space="preserve">.</w:t>
      </w:r>
    </w:p>
    <w:bookmarkEnd w:id="149"/>
    <w:bookmarkStart w:id="151"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0">
        <w:r>
          <w:rPr>
            <w:rStyle w:val="Hyperlink"/>
          </w:rPr>
          <w:t xml:space="preserve">https://doi.org/10.1016/j.asieco.2023.101589</w:t>
        </w:r>
      </w:hyperlink>
      <w:r>
        <w:t xml:space="preserve">.</w:t>
      </w:r>
    </w:p>
    <w:bookmarkEnd w:id="151"/>
    <w:bookmarkStart w:id="153"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2">
        <w:r>
          <w:rPr>
            <w:rStyle w:val="Hyperlink"/>
          </w:rPr>
          <w:t xml:space="preserve">https://doi.org/10.2139/ssrn.3818578</w:t>
        </w:r>
      </w:hyperlink>
      <w:r>
        <w:t xml:space="preserve">.</w:t>
      </w:r>
    </w:p>
    <w:bookmarkEnd w:id="153"/>
    <w:bookmarkStart w:id="155"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4">
        <w:r>
          <w:rPr>
            <w:rStyle w:val="Hyperlink"/>
          </w:rPr>
          <w:t xml:space="preserve">https://doi.org/10.1007/s10290-016-0246-0</w:t>
        </w:r>
      </w:hyperlink>
      <w:r>
        <w:t xml:space="preserve">.</w:t>
      </w:r>
    </w:p>
    <w:bookmarkEnd w:id="155"/>
    <w:bookmarkStart w:id="157"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6">
        <w:r>
          <w:rPr>
            <w:rStyle w:val="Hyperlink"/>
          </w:rPr>
          <w:t xml:space="preserve">https://doi.org/10.3390/rs14051190</w:t>
        </w:r>
      </w:hyperlink>
      <w:r>
        <w:t xml:space="preserve">.</w:t>
      </w:r>
    </w:p>
    <w:bookmarkEnd w:id="157"/>
    <w:bookmarkStart w:id="159"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58">
        <w:r>
          <w:rPr>
            <w:rStyle w:val="Hyperlink"/>
          </w:rPr>
          <w:t xml:space="preserve">https://doi.org/10.1111/rode.12712</w:t>
        </w:r>
      </w:hyperlink>
      <w:r>
        <w:t xml:space="preserve">.</w:t>
      </w:r>
    </w:p>
    <w:bookmarkEnd w:id="159"/>
    <w:bookmarkStart w:id="161"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0">
        <w:r>
          <w:rPr>
            <w:rStyle w:val="Hyperlink"/>
          </w:rPr>
          <w:t xml:space="preserve">https://doi.org/10.1007/BF00141044</w:t>
        </w:r>
      </w:hyperlink>
      <w:r>
        <w:t xml:space="preserve">.</w:t>
      </w:r>
    </w:p>
    <w:bookmarkEnd w:id="161"/>
    <w:bookmarkStart w:id="163"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2">
        <w:r>
          <w:rPr>
            <w:rStyle w:val="Hyperlink"/>
          </w:rPr>
          <w:t xml:space="preserve">https://doi.org/10.1016/j.jue.2020.103254</w:t>
        </w:r>
      </w:hyperlink>
      <w:r>
        <w:t xml:space="preserve">.</w:t>
      </w:r>
    </w:p>
    <w:bookmarkEnd w:id="163"/>
    <w:bookmarkStart w:id="165"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4">
        <w:r>
          <w:rPr>
            <w:rStyle w:val="Hyperlink"/>
          </w:rPr>
          <w:t xml:space="preserve">https://doi.org/10.1108/igdr-11-2021-0152</w:t>
        </w:r>
      </w:hyperlink>
      <w:r>
        <w:t xml:space="preserve">.</w:t>
      </w:r>
    </w:p>
    <w:bookmarkEnd w:id="165"/>
    <w:bookmarkStart w:id="167"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6">
        <w:r>
          <w:rPr>
            <w:rStyle w:val="Hyperlink"/>
          </w:rPr>
          <w:t xml:space="preserve">https://www.epw.in/journal/2017/25-26/notes/will-gst-exacerbate-regional-divergence.html</w:t>
        </w:r>
      </w:hyperlink>
      <w:r>
        <w:t xml:space="preserve">.</w:t>
      </w:r>
    </w:p>
    <w:bookmarkEnd w:id="167"/>
    <w:bookmarkStart w:id="169"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68">
        <w:r>
          <w:rPr>
            <w:rStyle w:val="Hyperlink"/>
          </w:rPr>
          <w:t xml:space="preserve">https://doi.org/10.1016/j.jmacro.2022.103438</w:t>
        </w:r>
      </w:hyperlink>
      <w:r>
        <w:t xml:space="preserve">.</w:t>
      </w:r>
    </w:p>
    <w:bookmarkEnd w:id="169"/>
    <w:bookmarkStart w:id="171"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0">
        <w:r>
          <w:rPr>
            <w:rStyle w:val="Hyperlink"/>
          </w:rPr>
          <w:t xml:space="preserve">https://doi.org/10.1016/j.worlddev.2020.104961</w:t>
        </w:r>
      </w:hyperlink>
      <w:r>
        <w:t xml:space="preserve">.</w:t>
      </w:r>
    </w:p>
    <w:bookmarkEnd w:id="171"/>
    <w:bookmarkStart w:id="173"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2">
        <w:r>
          <w:rPr>
            <w:rStyle w:val="Hyperlink"/>
          </w:rPr>
          <w:t xml:space="preserve">https://doi.org/10.1073/pnas.1017031108</w:t>
        </w:r>
      </w:hyperlink>
      <w:r>
        <w:t xml:space="preserve">.</w:t>
      </w:r>
    </w:p>
    <w:bookmarkEnd w:id="173"/>
    <w:bookmarkStart w:id="175"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4">
        <w:r>
          <w:rPr>
            <w:rStyle w:val="Hyperlink"/>
          </w:rPr>
          <w:t xml:space="preserve">https://doi.org/10.3390/rs11091057</w:t>
        </w:r>
      </w:hyperlink>
      <w:r>
        <w:t xml:space="preserve">.</w:t>
      </w:r>
    </w:p>
    <w:bookmarkEnd w:id="175"/>
    <w:bookmarkStart w:id="177"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76">
        <w:r>
          <w:rPr>
            <w:rStyle w:val="Hyperlink"/>
          </w:rPr>
          <w:t xml:space="preserve">https://doi.org/10.1007/s12076-024-00375-x</w:t>
        </w:r>
      </w:hyperlink>
      <w:r>
        <w:t xml:space="preserve">.</w:t>
      </w:r>
    </w:p>
    <w:bookmarkEnd w:id="177"/>
    <w:bookmarkStart w:id="179"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78">
        <w:r>
          <w:rPr>
            <w:rStyle w:val="Hyperlink"/>
          </w:rPr>
          <w:t xml:space="preserve">https://doi.org/10.1093/ej/ueaf134</w:t>
        </w:r>
      </w:hyperlink>
      <w:r>
        <w:t xml:space="preserve">.</w:t>
      </w:r>
    </w:p>
    <w:bookmarkEnd w:id="179"/>
    <w:bookmarkStart w:id="181"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0">
        <w:r>
          <w:rPr>
            <w:rStyle w:val="Hyperlink"/>
          </w:rPr>
          <w:t xml:space="preserve">https://doi.org/10.1162/rest_a_00993</w:t>
        </w:r>
      </w:hyperlink>
      <w:r>
        <w:t xml:space="preserve">.</w:t>
      </w:r>
    </w:p>
    <w:bookmarkEnd w:id="181"/>
    <w:bookmarkStart w:id="183"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2">
        <w:r>
          <w:rPr>
            <w:rStyle w:val="Hyperlink"/>
          </w:rPr>
          <w:t xml:space="preserve">https://doi.org/10.1093/jae/ejx027</w:t>
        </w:r>
      </w:hyperlink>
      <w:r>
        <w:t xml:space="preserve">.</w:t>
      </w:r>
    </w:p>
    <w:bookmarkEnd w:id="183"/>
    <w:bookmarkStart w:id="185"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4">
        <w:r>
          <w:rPr>
            <w:rStyle w:val="Hyperlink"/>
          </w:rPr>
          <w:t xml:space="preserve">https://doi.org/10.1257/jep.30.4.171</w:t>
        </w:r>
      </w:hyperlink>
      <w:r>
        <w:t xml:space="preserve">.</w:t>
      </w:r>
    </w:p>
    <w:bookmarkEnd w:id="185"/>
    <w:bookmarkStart w:id="187"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86">
        <w:r>
          <w:rPr>
            <w:rStyle w:val="Hyperlink"/>
          </w:rPr>
          <w:t xml:space="preserve">https://doi.org/10.1002/jae.3950100404</w:t>
        </w:r>
      </w:hyperlink>
      <w:r>
        <w:t xml:space="preserve">.</w:t>
      </w:r>
    </w:p>
    <w:bookmarkEnd w:id="187"/>
    <w:bookmarkStart w:id="189"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88">
        <w:r>
          <w:rPr>
            <w:rStyle w:val="Hyperlink"/>
          </w:rPr>
          <w:t xml:space="preserve">https://doi.org/10.1080/01431161.2017.1342050</w:t>
        </w:r>
      </w:hyperlink>
      <w:r>
        <w:t xml:space="preserve">.</w:t>
      </w:r>
    </w:p>
    <w:bookmarkEnd w:id="189"/>
    <w:bookmarkStart w:id="191"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0">
        <w:r>
          <w:rPr>
            <w:rStyle w:val="Hyperlink"/>
          </w:rPr>
          <w:t xml:space="preserve">https://doi.org/10.1002/jae.963</w:t>
        </w:r>
      </w:hyperlink>
      <w:r>
        <w:t xml:space="preserve">.</w:t>
      </w:r>
    </w:p>
    <w:bookmarkEnd w:id="191"/>
    <w:bookmarkStart w:id="193"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2">
        <w:r>
          <w:rPr>
            <w:rStyle w:val="Hyperlink"/>
          </w:rPr>
          <w:t xml:space="preserve">https://doi.org/10.1007/s00168-010-0384-6</w:t>
        </w:r>
      </w:hyperlink>
      <w:r>
        <w:t xml:space="preserve">.</w:t>
      </w:r>
    </w:p>
    <w:bookmarkEnd w:id="193"/>
    <w:bookmarkStart w:id="195"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4">
        <w:r>
          <w:rPr>
            <w:rStyle w:val="Hyperlink"/>
          </w:rPr>
          <w:t xml:space="preserve">https://doi.org/10.1007/s10887-014-9105-9</w:t>
        </w:r>
      </w:hyperlink>
      <w:r>
        <w:t xml:space="preserve">.</w:t>
      </w:r>
    </w:p>
    <w:bookmarkEnd w:id="195"/>
    <w:bookmarkStart w:id="197"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96">
        <w:r>
          <w:rPr>
            <w:rStyle w:val="Hyperlink"/>
          </w:rPr>
          <w:t xml:space="preserve">https://doi.org/10.1016/j.jdeveco.2020.102602</w:t>
        </w:r>
      </w:hyperlink>
      <w:r>
        <w:t xml:space="preserve">.</w:t>
      </w:r>
    </w:p>
    <w:bookmarkEnd w:id="197"/>
    <w:bookmarkStart w:id="199"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198">
        <w:r>
          <w:rPr>
            <w:rStyle w:val="Hyperlink"/>
          </w:rPr>
          <w:t xml:space="preserve">https://doi.org/10.1080/00036846.2024.2439583</w:t>
        </w:r>
      </w:hyperlink>
      <w:r>
        <w:t xml:space="preserve">.</w:t>
      </w:r>
    </w:p>
    <w:bookmarkEnd w:id="199"/>
    <w:bookmarkStart w:id="201"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0">
        <w:r>
          <w:rPr>
            <w:rStyle w:val="Hyperlink"/>
          </w:rPr>
          <w:t xml:space="preserve">https://doi.org/10.1016/j.rse.2017.06.031</w:t>
        </w:r>
      </w:hyperlink>
      <w:r>
        <w:t xml:space="preserve">.</w:t>
      </w:r>
    </w:p>
    <w:bookmarkEnd w:id="201"/>
    <w:bookmarkStart w:id="203"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2">
        <w:r>
          <w:rPr>
            <w:rStyle w:val="Hyperlink"/>
          </w:rPr>
          <w:t xml:space="preserve">https://doi.org/10.1016/j.jdeveco.2020.102621</w:t>
        </w:r>
      </w:hyperlink>
      <w:r>
        <w:t xml:space="preserve">.</w:t>
      </w:r>
    </w:p>
    <w:bookmarkEnd w:id="203"/>
    <w:bookmarkStart w:id="205"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4">
        <w:r>
          <w:rPr>
            <w:rStyle w:val="Hyperlink"/>
          </w:rPr>
          <w:t xml:space="preserve">https://doi.org/10.1257/aer.102.2.994</w:t>
        </w:r>
      </w:hyperlink>
      <w:r>
        <w:t xml:space="preserve">.</w:t>
      </w:r>
    </w:p>
    <w:bookmarkEnd w:id="205"/>
    <w:bookmarkStart w:id="207"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06">
        <w:r>
          <w:rPr>
            <w:rStyle w:val="Hyperlink"/>
          </w:rPr>
          <w:t xml:space="preserve">https://doi.org/10.1016/j.seps.2024.102012</w:t>
        </w:r>
      </w:hyperlink>
      <w:r>
        <w:t xml:space="preserve">.</w:t>
      </w:r>
    </w:p>
    <w:bookmarkEnd w:id="207"/>
    <w:bookmarkStart w:id="209"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08">
        <w:r>
          <w:rPr>
            <w:rStyle w:val="Hyperlink"/>
          </w:rPr>
          <w:t xml:space="preserve">https://doi.org/10.1126/science.aaf7894</w:t>
        </w:r>
      </w:hyperlink>
      <w:r>
        <w:t xml:space="preserve">.</w:t>
      </w:r>
    </w:p>
    <w:bookmarkEnd w:id="209"/>
    <w:bookmarkStart w:id="211"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0">
        <w:r>
          <w:rPr>
            <w:rStyle w:val="Hyperlink"/>
          </w:rPr>
          <w:t xml:space="preserve">https://doi.org/10.1086/725058</w:t>
        </w:r>
      </w:hyperlink>
      <w:r>
        <w:t xml:space="preserve">.</w:t>
      </w:r>
    </w:p>
    <w:bookmarkEnd w:id="211"/>
    <w:bookmarkStart w:id="213"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2">
        <w:r>
          <w:rPr>
            <w:rStyle w:val="Hyperlink"/>
          </w:rPr>
          <w:t xml:space="preserve">https://doi.org/10.1371/journal.pone.0318482</w:t>
        </w:r>
      </w:hyperlink>
      <w:r>
        <w:t xml:space="preserve">.</w:t>
      </w:r>
    </w:p>
    <w:bookmarkEnd w:id="213"/>
    <w:bookmarkStart w:id="215"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4">
        <w:r>
          <w:rPr>
            <w:rStyle w:val="Hyperlink"/>
          </w:rPr>
          <w:t xml:space="preserve">https://doi.org/10.1111/rode.12851</w:t>
        </w:r>
      </w:hyperlink>
      <w:r>
        <w:t xml:space="preserve">.</w:t>
      </w:r>
    </w:p>
    <w:bookmarkEnd w:id="215"/>
    <w:bookmarkStart w:id="217"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16">
        <w:r>
          <w:rPr>
            <w:rStyle w:val="Hyperlink"/>
          </w:rPr>
          <w:t xml:space="preserve">https://doi.org/10.1016/j.worlddev.2014.08.017</w:t>
        </w:r>
      </w:hyperlink>
      <w:r>
        <w:t xml:space="preserve">.</w:t>
      </w:r>
    </w:p>
    <w:bookmarkEnd w:id="217"/>
    <w:bookmarkStart w:id="219"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18">
        <w:r>
          <w:rPr>
            <w:rStyle w:val="Hyperlink"/>
          </w:rPr>
          <w:t xml:space="preserve">https://doi.org/10.1007/s11205-025-03718-3</w:t>
        </w:r>
      </w:hyperlink>
      <w:r>
        <w:t xml:space="preserve">.</w:t>
      </w:r>
    </w:p>
    <w:bookmarkEnd w:id="219"/>
    <w:bookmarkStart w:id="220"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0"/>
    <w:bookmarkStart w:id="222"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1">
        <w:r>
          <w:rPr>
            <w:rStyle w:val="Hyperlink"/>
          </w:rPr>
          <w:t xml:space="preserve">https://doi.org/10.1093/comjnl/27.2.97</w:t>
        </w:r>
      </w:hyperlink>
      <w:r>
        <w:t xml:space="preserve">.</w:t>
      </w:r>
    </w:p>
    <w:bookmarkEnd w:id="222"/>
    <w:bookmarkStart w:id="224"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3">
        <w:r>
          <w:rPr>
            <w:rStyle w:val="Hyperlink"/>
          </w:rPr>
          <w:t xml:space="preserve">https://doi.org/10.1201/9781420064254</w:t>
        </w:r>
      </w:hyperlink>
      <w:r>
        <w:t xml:space="preserve">.</w:t>
      </w:r>
    </w:p>
    <w:bookmarkEnd w:id="224"/>
    <w:bookmarkStart w:id="226"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5">
        <w:r>
          <w:rPr>
            <w:rStyle w:val="Hyperlink"/>
          </w:rPr>
          <w:t xml:space="preserve">https://doi.org/10.1016/j.euroecorev.2016.11.009</w:t>
        </w:r>
      </w:hyperlink>
      <w:r>
        <w:t xml:space="preserve">.</w:t>
      </w:r>
    </w:p>
    <w:bookmarkEnd w:id="226"/>
    <w:bookmarkStart w:id="228"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27">
        <w:r>
          <w:rPr>
            <w:rStyle w:val="Hyperlink"/>
          </w:rPr>
          <w:t xml:space="preserve">https://doi.org/10.1038/s41597-020-0510-y</w:t>
        </w:r>
      </w:hyperlink>
      <w:r>
        <w:t xml:space="preserve">.</w:t>
      </w:r>
    </w:p>
    <w:bookmarkEnd w:id="228"/>
    <w:bookmarkStart w:id="230"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29">
        <w:r>
          <w:rPr>
            <w:rStyle w:val="Hyperlink"/>
          </w:rPr>
          <w:t xml:space="preserve">https://doi.org/10.1007/s10708-018-9893-0</w:t>
        </w:r>
      </w:hyperlink>
      <w:r>
        <w:t xml:space="preserve">.</w:t>
      </w:r>
    </w:p>
    <w:bookmarkEnd w:id="230"/>
    <w:bookmarkStart w:id="232"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1">
        <w:r>
          <w:rPr>
            <w:rStyle w:val="Hyperlink"/>
          </w:rPr>
          <w:t xml:space="preserve">https://doi.org/10.1038/s41467-022-30099-9</w:t>
        </w:r>
      </w:hyperlink>
      <w:r>
        <w:t xml:space="preserve">.</w:t>
      </w:r>
    </w:p>
    <w:bookmarkEnd w:id="232"/>
    <w:bookmarkStart w:id="234"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3">
        <w:r>
          <w:rPr>
            <w:rStyle w:val="Hyperlink"/>
          </w:rPr>
          <w:t xml:space="preserve">https://doi.org/10.1371/journal.pone.0139779</w:t>
        </w:r>
      </w:hyperlink>
      <w:r>
        <w:t xml:space="preserve">.</w:t>
      </w:r>
    </w:p>
    <w:bookmarkEnd w:id="234"/>
    <w:bookmarkStart w:id="236"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5">
        <w:r>
          <w:rPr>
            <w:rStyle w:val="Hyperlink"/>
          </w:rPr>
          <w:t xml:space="preserve">https://doi.org/10.1080/01431161.2013.833358</w:t>
        </w:r>
      </w:hyperlink>
      <w:r>
        <w:t xml:space="preserve">.</w:t>
      </w:r>
    </w:p>
    <w:bookmarkEnd w:id="236"/>
    <w:bookmarkStart w:id="238"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37">
        <w:r>
          <w:rPr>
            <w:rStyle w:val="Hyperlink"/>
          </w:rPr>
          <w:t xml:space="preserve">https://doi.org/10.1080/00074918.2022.2071415</w:t>
        </w:r>
      </w:hyperlink>
      <w:r>
        <w:t xml:space="preserve">.</w:t>
      </w:r>
    </w:p>
    <w:bookmarkEnd w:id="238"/>
    <w:bookmarkStart w:id="240"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39">
        <w:r>
          <w:rPr>
            <w:rStyle w:val="Hyperlink"/>
          </w:rPr>
          <w:t xml:space="preserve">https://doi.org/10.2307/2332142</w:t>
        </w:r>
      </w:hyperlink>
      <w:r>
        <w:t xml:space="preserve">.</w:t>
      </w:r>
    </w:p>
    <w:bookmarkEnd w:id="240"/>
    <w:bookmarkStart w:id="242"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1">
        <w:r>
          <w:rPr>
            <w:rStyle w:val="Hyperlink"/>
          </w:rPr>
          <w:t xml:space="preserve">https://doi.org/10.18335/region.v11i1.493</w:t>
        </w:r>
      </w:hyperlink>
      <w:r>
        <w:t xml:space="preserve">.</w:t>
      </w:r>
    </w:p>
    <w:bookmarkEnd w:id="242"/>
    <w:bookmarkStart w:id="244"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3">
        <w:r>
          <w:rPr>
            <w:rStyle w:val="Hyperlink"/>
          </w:rPr>
          <w:t xml:space="preserve">https://doi.org/10.1126/science.1213847</w:t>
        </w:r>
      </w:hyperlink>
      <w:r>
        <w:t xml:space="preserve">.</w:t>
      </w:r>
    </w:p>
    <w:bookmarkEnd w:id="244"/>
    <w:bookmarkStart w:id="246"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5">
        <w:r>
          <w:rPr>
            <w:rStyle w:val="Hyperlink"/>
          </w:rPr>
          <w:t xml:space="preserve">https://doi.org/10.1093/qje/qjw003</w:t>
        </w:r>
      </w:hyperlink>
      <w:r>
        <w:t xml:space="preserve">.</w:t>
      </w:r>
    </w:p>
    <w:bookmarkEnd w:id="246"/>
    <w:bookmarkStart w:id="248"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47">
        <w:r>
          <w:rPr>
            <w:rStyle w:val="Hyperlink"/>
          </w:rPr>
          <w:t xml:space="preserve">https://doi.org/10.2307/2235377</w:t>
        </w:r>
      </w:hyperlink>
      <w:r>
        <w:t xml:space="preserve">.</w:t>
      </w:r>
    </w:p>
    <w:bookmarkEnd w:id="248"/>
    <w:bookmarkStart w:id="250"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49">
        <w:r>
          <w:rPr>
            <w:rStyle w:val="Hyperlink"/>
          </w:rPr>
          <w:t xml:space="preserve">https://doi.org/10.1080/00343409950122945</w:t>
        </w:r>
      </w:hyperlink>
      <w:r>
        <w:t xml:space="preserve">.</w:t>
      </w:r>
    </w:p>
    <w:bookmarkEnd w:id="250"/>
    <w:bookmarkStart w:id="252"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1">
        <w:r>
          <w:rPr>
            <w:rStyle w:val="Hyperlink"/>
          </w:rPr>
          <w:t xml:space="preserve">https://doi.org/10.1016/0014-2921(95)00029-1</w:t>
        </w:r>
      </w:hyperlink>
      <w:r>
        <w:t xml:space="preserve">.</w:t>
      </w:r>
    </w:p>
    <w:bookmarkEnd w:id="252"/>
    <w:bookmarkStart w:id="254"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53">
        <w:r>
          <w:rPr>
            <w:rStyle w:val="Hyperlink"/>
          </w:rPr>
          <w:t xml:space="preserve">https://doi.org/10.1007/s10708-021-10377-7</w:t>
        </w:r>
      </w:hyperlink>
      <w:r>
        <w:t xml:space="preserve">.</w:t>
      </w:r>
    </w:p>
    <w:bookmarkEnd w:id="254"/>
    <w:bookmarkStart w:id="256"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55">
        <w:r>
          <w:rPr>
            <w:rStyle w:val="Hyperlink"/>
          </w:rPr>
          <w:t xml:space="preserve">https://doi.org/10.1016/j.jdeveco.2017.10.001</w:t>
        </w:r>
      </w:hyperlink>
      <w:r>
        <w:t xml:space="preserve">.</w:t>
      </w:r>
    </w:p>
    <w:bookmarkEnd w:id="256"/>
    <w:bookmarkStart w:id="258"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57">
        <w:r>
          <w:rPr>
            <w:rStyle w:val="Hyperlink"/>
          </w:rPr>
          <w:t xml:space="preserve">https://doi.org/10.2307/1884513</w:t>
        </w:r>
      </w:hyperlink>
      <w:r>
        <w:t xml:space="preserve">.</w:t>
      </w:r>
    </w:p>
    <w:bookmarkEnd w:id="258"/>
    <w:bookmarkStart w:id="260"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59">
        <w:r>
          <w:rPr>
            <w:rStyle w:val="Hyperlink"/>
          </w:rPr>
          <w:t xml:space="preserve">https://doi.org/10.1007/s12076-025-00397-z</w:t>
        </w:r>
      </w:hyperlink>
      <w:r>
        <w:t xml:space="preserve">.</w:t>
      </w:r>
    </w:p>
    <w:bookmarkEnd w:id="260"/>
    <w:bookmarkStart w:id="262"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1">
        <w:r>
          <w:rPr>
            <w:rStyle w:val="Hyperlink"/>
          </w:rPr>
          <w:t xml:space="preserve">https://doi.org/10.1016/j.isprsjprs.2020.04.001</w:t>
        </w:r>
      </w:hyperlink>
      <w:r>
        <w:t xml:space="preserve">.</w:t>
      </w:r>
    </w:p>
    <w:bookmarkEnd w:id="262"/>
    <w:bookmarkStart w:id="264"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63">
        <w:r>
          <w:rPr>
            <w:rStyle w:val="Hyperlink"/>
          </w:rPr>
          <w:t xml:space="preserve">https://doi.org/10.1080/13547860.2022.2041286</w:t>
        </w:r>
      </w:hyperlink>
      <w:r>
        <w:t xml:space="preserve">.</w:t>
      </w:r>
    </w:p>
    <w:bookmarkEnd w:id="264"/>
    <w:bookmarkStart w:id="266"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65">
        <w:r>
          <w:rPr>
            <w:rStyle w:val="Hyperlink"/>
          </w:rPr>
          <w:t xml:space="preserve">https://doi.org/10.1111/polp.70050</w:t>
        </w:r>
      </w:hyperlink>
      <w:r>
        <w:t xml:space="preserve">.</w:t>
      </w:r>
    </w:p>
    <w:bookmarkEnd w:id="266"/>
    <w:bookmarkStart w:id="268"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67">
        <w:r>
          <w:rPr>
            <w:rStyle w:val="Hyperlink"/>
          </w:rPr>
          <w:t xml:space="preserve">https://doi.org/10.1007/s00168-022-01168-0</w:t>
        </w:r>
      </w:hyperlink>
      <w:r>
        <w:t xml:space="preserve">.</w:t>
      </w:r>
    </w:p>
    <w:bookmarkEnd w:id="268"/>
    <w:bookmarkStart w:id="270"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69">
        <w:r>
          <w:rPr>
            <w:rStyle w:val="Hyperlink"/>
          </w:rPr>
          <w:t xml:space="preserve">https://doi.org/10.2747/1548-1603.48.4.478</w:t>
        </w:r>
      </w:hyperlink>
      <w:r>
        <w:t xml:space="preserve">.</w:t>
      </w:r>
    </w:p>
    <w:bookmarkEnd w:id="270"/>
    <w:bookmarkEnd w:id="271"/>
    <w:bookmarkEnd w:id="2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the nine districts of Delhi are collapsed to one, and 28 multiple-origin districts and their parents.</w:t>
      </w:r>
    </w:p>
  </w:footnote>
  <w:footnote w:id="30">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3">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4">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6">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7">
    <w:p>
      <w:pPr>
        <w:pStyle w:val="FootnoteText"/>
      </w:pPr>
      <w:r>
        <w:rPr>
          <w:rStyle w:val="FootnoteReference"/>
        </w:rPr>
        <w:footnoteRef/>
      </w:r>
      <w:r>
        <w:t xml:space="preserve"> </w:t>
      </w:r>
      <w:r>
        <w:t xml:space="preserve">Centroid distances are measured in the geographic coordinates of the source file rather than in a projected metric, and rebuilding the matrix from a metric projection leaves 96.4% of the neighbor links unchanged.</w:t>
      </w:r>
    </w:p>
  </w:footnote>
  <w:footnote w:id="42">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5">
    <w:p>
      <w:pPr>
        <w:pStyle w:val="FootnoteText"/>
      </w:pPr>
      <w:r>
        <w:rPr>
          <w:rStyle w:val="FootnoteReference"/>
        </w:rPr>
        <w:footnoteRef/>
      </w:r>
      <w:r>
        <w:t xml:space="preserve"> </w:t>
      </w:r>
      <w:r>
        <w:t xml:space="preserve">The interactive web application is available at</w:t>
      </w:r>
      <w:r>
        <w:t xml:space="preserve"> </w:t>
      </w:r>
      <w:hyperlink r:id="rId46">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7">
        <w:r>
          <w:rPr>
            <w:rStyle w:val="Hyperlink"/>
          </w:rPr>
          <w:t xml:space="preserve">View from outer space</w:t>
        </w:r>
      </w:hyperlink>
      <w:r>
        <w:t xml:space="preserve"> </w:t>
      </w:r>
      <w:r>
        <w:t xml:space="preserve">notebook.</w:t>
      </w:r>
    </w:p>
  </w:footnote>
  <w:footnote w:id="57">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82">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4">
    <w:p>
      <w:pPr>
        <w:pStyle w:val="FootnoteText"/>
      </w:pPr>
      <w:r>
        <w:rPr>
          <w:rStyle w:val="FootnoteReference"/>
        </w:rPr>
        <w:footnoteRef/>
      </w:r>
      <w:r>
        <w:t xml:space="preserve"> </w:t>
      </w:r>
      <w:r>
        <w:t xml:space="preserve">The unconditional speeds are 2.3% against 2.6% in Model 1 and 2.6% against 2.7% in Model 2.</w:t>
      </w:r>
    </w:p>
  </w:footnote>
  <w:footnote w:id="85">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p>
  </w:footnote>
  <w:footnote w:id="87">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r>
        <w:t xml:space="preserve"> </w:t>
      </w:r>
      <w:r>
        <w:t xml:space="preserve">The meta-analytic objection is that estimates from different specifications are drawn from different populations, so there is no single natural rate to be estimated.</w:t>
      </w:r>
    </w:p>
  </w:footnote>
  <w:footnote w:id="88">
    <w:p>
      <w:pPr>
        <w:pStyle w:val="FootnoteText"/>
      </w:pPr>
      <w:r>
        <w:rPr>
          <w:rStyle w:val="FootnoteReference"/>
        </w:rPr>
        <w:footnoteRef/>
      </w:r>
      <w:r>
        <w:t xml:space="preserve"> </w:t>
      </w:r>
      <w:r>
        <w:t xml:space="preserve">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p>
  </w:footnote>
  <w:footnote w:id="97">
    <w:p>
      <w:pPr>
        <w:pStyle w:val="FootnoteText"/>
      </w:pPr>
      <w:r>
        <w:rPr>
          <w:rStyle w:val="FootnoteReference"/>
        </w:rPr>
        <w:footnoteRef/>
      </w:r>
      <w:r>
        <w:t xml:space="preserve"> </w:t>
      </w:r>
      <w:r>
        <w:t xml:space="preserve">The programme was launched in 2018 to direct additional resources to the least developed districts of the country.</w:t>
      </w:r>
      <w:r>
        <w:t xml:space="preserve"> </w:t>
      </w:r>
      <w:r>
        <w:t xml:space="preserve">The two studies also differ in outcome variable and period, so the contrast between them is suggestive rather than decisive.</w:t>
      </w:r>
    </w:p>
  </w:footnote>
  <w:footnote w:id="98">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0">
    <w:p>
      <w:pPr>
        <w:pStyle w:val="FootnoteText"/>
      </w:pPr>
      <w:r>
        <w:rPr>
          <w:rStyle w:val="FootnoteReference"/>
        </w:rPr>
        <w:footnoteRef/>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so per-capita luminosity at the intermediate dates would rest on interpolated denominators.</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2">
    <w:p>
      <w:pPr>
        <w:pStyle w:val="FootnoteText"/>
      </w:pPr>
      <w:r>
        <w:rPr>
          <w:rStyle w:val="FootnoteReference"/>
        </w:rPr>
        <w:footnoteRef/>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Top-coding compresses variation at the bright end of the distribution, so classical measurement error in initial luminosity attenuates the convergence coefficient toward zero, while the same error entering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that they are not an artifact of any particular neighbor definition, but it does not rule out blooming, for which deblurring methods offer one route</w:t>
      </w:r>
      <w:r>
        <w:t xml:space="preserve"> </w:t>
      </w:r>
      <w:r>
        <w:t xml:space="preserve">(Abrahams, Oram, and Lozano-Gracia 2018)</w:t>
      </w:r>
      <w:r>
        <w:t xml:space="preserve">.</w:t>
      </w:r>
    </w:p>
  </w:footnote>
  <w:footnote w:id="117">
    <w:p>
      <w:pPr>
        <w:pStyle w:val="FootnoteText"/>
      </w:pPr>
      <w:r>
        <w:rPr>
          <w:rStyle w:val="FootnoteReference"/>
        </w:rPr>
        <w:footnoteRef/>
      </w:r>
      <w:r>
        <w:t xml:space="preserve"> </w:t>
      </w:r>
      <w:r>
        <w:t xml:space="preserve">VIIRS, operational since 2012, improves spatial resolution (roughly 750 meters against 2.7 kilometers), adds on-board radiometric calibration, and widens dynamic range, which avoids saturation in bright areas while detecting dim lights in rural settlements</w:t>
      </w:r>
      <w:r>
        <w:t xml:space="preserve"> </w:t>
      </w:r>
      <w:r>
        <w:t xml:space="preserve">(Gibson et al. 2021)</w:t>
      </w:r>
      <w:r>
        <w:t xml:space="preserve">.</w:t>
      </w:r>
      <w:r>
        <w:t xml:space="preserve"> </w:t>
      </w:r>
      <w:r>
        <w:t xml:space="preserve">Lights have also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Africa accounts for 39% of unlit settlements worldwide, rising to 65% when only rural settlement areas are considered</w:t>
      </w:r>
      <w:r>
        <w:t xml:space="preserve"> </w:t>
      </w:r>
      <w:r>
        <w:t xml:space="preserve">(McCallum et al. 2022)</w:t>
      </w:r>
      <w:r>
        <w:t xml:space="preserve">.</w:t>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 which can reveal whether Indian districts converge to a single steady state or form distinct clubs.</w:t>
      </w:r>
      <w:r>
        <w:t xml:space="preserve"> </w:t>
      </w:r>
      <w:r>
        <w:t xml:space="preserve">Combining them with spatial econometrics could expose spatial poverty traps or growth poles that average estimates render invisible</w:t>
      </w:r>
      <w:r>
        <w:t xml:space="preserve"> </w:t>
      </w:r>
      <w:r>
        <w:t xml:space="preserve">(Rey and Montouri 1999)</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 and responsiveness to output varies with baseline income, density, and sector.</w:t>
      </w:r>
      <w:r>
        <w:t xml:space="preserve"> </w:t>
      </w:r>
      <w:r>
        <w:t xml:space="preserve">An evaluation may therefore fail to detect a real effect where lights react weakly, or attribute to a policy what is in fact heterogeneity in the relationship between light and output.</w:t>
      </w:r>
    </w:p>
  </w:footnote>
  <w:footnote w:id="124">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2026-08-27T06:11:25Z</dcterms:created>
  <dcterms:modified xsi:type="dcterms:W3CDTF">2026-08-27T06:11:25Z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spillovers raise the convergence speed from about 3.0% to about 5.2% per year, which shortens the half-life of regional disparities from roughly 23 to 13 years. We close by illustrating how the same reproducible workflow extends beyond economic output, with an exploratory analysis of how luminosity relates to cultural participation across Indian states.</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