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Also, this article adopts a reproducible open-science approach by leveraging Jupyter notebooks and the Quarto publishing system.</w:t>
      </w:r>
      <w:r>
        <w:t xml:space="preserve"> </w:t>
      </w:r>
      <w:r>
        <w:t xml:space="preserve">Jupyter notebooks allow researchers to integrate executable code, narrative text, and computational outputs within a single document.</w:t>
      </w:r>
      <w:r>
        <w:t xml:space="preserve"> </w:t>
      </w:r>
      <w:r>
        <w:t xml:space="preserve">They also support multiple programming languages such as Python, R, Stata, among others.</w:t>
      </w:r>
      <w:r>
        <w:t xml:space="preserve"> </w:t>
      </w:r>
      <w:r>
        <w:t xml:space="preserve">Quarto is an open-source publishing system that generates multiple output formats—including HTML, PDF, and Word—from a single source file.</w:t>
      </w:r>
      <w:r>
        <w:t xml:space="preserve"> </w:t>
      </w:r>
      <w:r>
        <w:t xml:space="preserve">This system ensures consistency across all versions of a document and lowers the technical barriers to multiformat publishing.</w:t>
      </w:r>
      <w:r>
        <w:t xml:space="preserve"> </w:t>
      </w:r>
      <w:r>
        <w:t xml:space="preserve">The combined use of Jupyter and Quarto fosters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income inequality globally.</w:t>
      </w:r>
      <w:r>
        <w:t xml:space="preserve"> </w:t>
      </w:r>
      <w:r>
        <w:t xml:space="preserve">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variable of interest.</w:t>
      </w:r>
      <w:r>
        <w:t xml:space="preserve"> </w:t>
      </w:r>
      <w:r>
        <w:t xml:space="preserve">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and reviewers to trace each result back to the code that produced it.</w:t>
      </w:r>
      <w:r>
        <w:t xml:space="preserve"> </w:t>
      </w:r>
      <w:r>
        <w:t xml:space="preserve">The Python and R notebooks can be executed in the cloud using Google Colab, further lowering the barriers to replication by eliminating the need for local software installation.</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paradigm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reproducible, publication-quality research.</w:t>
      </w:r>
    </w:p>
    <w:p>
      <w:pPr>
        <w:pStyle w:val="BodyText"/>
      </w:pPr>
      <w:r>
        <w:t xml:space="preserve">The combination of Jupyter notebooks and Quarto’s manuscript framework creates an effective infrastructure for reproducible research.</w:t>
      </w:r>
      <w:r>
        <w:t xml:space="preserve"> </w:t>
      </w:r>
      <w:r>
        <w:t xml:space="preserve">In this article, all computational analyses are embedded in Jupyter notebooks that are directly linked to the main text, allowing readers to inspect the code alongside the results it produces.</w:t>
      </w:r>
      <w:r>
        <w:t xml:space="preserve"> </w:t>
      </w:r>
      <w:r>
        <w:t xml:space="preserve">Quarto’s embed functionality enables us to pull specific figures, tables, and results from these notebooks into the manuscript.</w:t>
      </w:r>
      <w:r>
        <w:t xml:space="preserve"> </w:t>
      </w:r>
      <w:r>
        <w:t xml:space="preserve">This ensures that every empirical finding presented in the text is traceable to its underlying computation.</w:t>
      </w:r>
      <w:r>
        <w:t xml:space="preserve"> </w:t>
      </w:r>
      <w:r>
        <w:t xml:space="preserve">All data processing and analysis steps are documented in the notebooks, and we provide access to the raw data and code through a public repository.</w:t>
      </w:r>
      <w:r>
        <w:t xml:space="preserve"> </w:t>
      </w:r>
      <w:r>
        <w:t xml:space="preserve">By adopting this integrated reproducible research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This interactivity is especially valuable when investigating economic phenomena that exhibit significant spatial and temporal variation, such as urbanization patterns, economic shocks, or regional development disparities.</w:t>
      </w:r>
      <w:r>
        <w:t xml:space="preserve"> </w:t>
      </w:r>
      <w:r>
        <w:t xml:space="preserve">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economic research with nighttime lights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 or stakeholders.</w:t>
      </w:r>
      <w:r>
        <w:t xml:space="preserve"> </w:t>
      </w:r>
      <w:r>
        <w:t xml:space="preserve">These applications allow users to interact with the data and verify findings independently.</w:t>
      </w:r>
      <w:r>
        <w:t xml:space="preserve"> </w:t>
      </w:r>
      <w:r>
        <w:t xml:space="preserve">The platform’s ability to handle large-scale geospatial computations server-side significantly streamlines the workflow from raw data to interactive visualization.</w:t>
      </w:r>
      <w:r>
        <w:t xml:space="preserve"> </w:t>
      </w:r>
      <w:r>
        <w:t xml:space="preserve">Its extensive catalog of pre-processed nighttime lights datasets, including the DMSP-OLS and VIIRS collections, further reduces the processing burden</w:t>
      </w:r>
      <w:r>
        <w:t xml:space="preserve"> </w:t>
      </w:r>
      <w:r>
        <w:t xml:space="preserve">(Tamiminia et al. 2020)</w:t>
      </w:r>
      <w:r>
        <w:t xml:space="preserve">.</w:t>
      </w:r>
      <w:r>
        <w:t xml:space="preserve"> </w:t>
      </w:r>
      <w:r>
        <w:t xml:space="preserve">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the per capita growth rate is predicted to be negatively correlated with a region’s initial endowment, primarily due to diminishing returns to capital</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Consequently, over the long run, regions with similar characteristics should converge to a common steady state.</w:t>
      </w:r>
      <w:r>
        <w:t xml:space="preserve"> </w:t>
      </w:r>
      <w:r>
        <w:t xml:space="preserve">We examine such convergence (denoted by</w:t>
      </w:r>
      <w:r>
        <w:t xml:space="preserve"> </w:t>
      </w:r>
      <m:oMath>
        <m:r>
          <m:t>β</m:t>
        </m:r>
      </m:oMath>
      <w:r>
        <w:t xml:space="preserve">-convergence)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w:t>
      </w:r>
      <w:r>
        <w:t xml:space="preserve"> </w:t>
      </w:r>
      <w:r>
        <w:t xml:space="preserve">To account for these differences, we include state fixed effects in our analysis to examine whether heterogeneity in state-specific institutions and policies influences the rate of convergence.</w:t>
      </w:r>
      <w:r>
        <w:t xml:space="preserve"> </w:t>
      </w:r>
      <w:r>
        <w:t xml:space="preserve">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w:t>
      </w:r>
      <w:r>
        <w:t xml:space="preserve"> </w:t>
      </w:r>
      <w:r>
        <w:t xml:space="preserve">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w:t>
      </w:r>
      <w:r>
        <w:t xml:space="preserve"> </w:t>
      </w:r>
      <w:r>
        <w:t xml:space="preserve">This scatterplot depicts the relationship between per capita growth rates in nighttime lights (1996–2010) and the initial per capita nighttime light levels (1996) at the district level.</w:t>
      </w:r>
      <w:r>
        <w:t xml:space="preserve"> </w:t>
      </w:r>
      <w:r>
        <w:t xml:space="preserve">Finally, we use case studies to illustrate the nighttime light growth that occurred during our study period.</w:t>
      </w:r>
      <w:r>
        <w:t xml:space="preserve"> </w:t>
      </w:r>
      <w:r>
        <w:t xml:space="preserve">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maps) of luminosity for our boundary years (1996 and 2010), using the same index scale for comparison.</w:t>
      </w:r>
      <w:r>
        <w:t xml:space="preserve"> </w:t>
      </w:r>
      <w:r>
        <w:t xml:space="preserve">The maps show a noticeable increase in brightness across most parts of the country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 capita growth in nighttime lights and initial per capita nighttime light levels.</w:t>
      </w:r>
      <w:r>
        <w:t xml:space="preserve"> </w:t>
      </w:r>
      <w:r>
        <w:t xml:space="preserve">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 capita income at 39.2% of the national average, while Uttar Pradesh and Chhattisgarh have per 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both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w:t>
      </w:r>
      <w:r>
        <w:t xml:space="preserve"> </w:t>
      </w:r>
      <w:r>
        <w:t xml:space="preserve">To address this, we employ Local Indicators of Spatial Association (LISA), which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initially red regions in the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(-0.001 in both cases),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spatial channels of convergence—through which the economic conditions of neighboring districts influence local growth—become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validated as a proxy for economic activity</w:t>
      </w:r>
      <w:r>
        <w:t xml:space="preserve"> </w:t>
      </w:r>
      <w:r>
        <w:t xml:space="preserve">(Henderson, Storeygard, and Weil 2012; X. Chen and Nordhaus 2011)</w:t>
      </w:r>
      <w:r>
        <w:t xml:space="preserve">.</w:t>
      </w:r>
      <w:r>
        <w:t xml:space="preserve"> </w:t>
      </w:r>
      <w:r>
        <w:t xml:space="preserve">Nevertheless,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Comparative evaluations have shown that VIIRS explains 10 to 15 percentage points more variation in subnational economic activity than DMSP-OLS</w:t>
      </w:r>
      <w:r>
        <w:t xml:space="preserve"> </w:t>
      </w:r>
      <w:r>
        <w:t xml:space="preserve">(X. Chen and Nordhaus 2015)</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Indeed, satellite nighttime light data have already been used to document convergence clubs and spatial dependence across subnational regions in ASEAN</w:t>
      </w:r>
      <w:r>
        <w:t xml:space="preserve"> </w:t>
      </w:r>
      <w:r>
        <w:t xml:space="preserve">(Mendez and Santos-Marquez 2021)</w:t>
      </w:r>
      <w:r>
        <w:t xml:space="preserve">.</w:t>
      </w:r>
      <w:r>
        <w:t xml:space="preserve"> </w:t>
      </w:r>
      <w:r>
        <w:t xml:space="preserve">Convergence club methods have also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r>
        <w:t xml:space="preserve"> </w:t>
      </w: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new measurement possibilities.</w:t>
      </w:r>
      <w:r>
        <w:t xml:space="preserve"> </w:t>
      </w:r>
      <w:r>
        <w:t xml:space="preserve">These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w:t>
      </w:r>
      <w:r>
        <w:t xml:space="preserve"> </w:t>
      </w:r>
      <w:r>
        <w:t xml:space="preserve">All computational analyses are documented in embedded notebooks that readers can inspect alongside the results they produce, creating a complete chain from raw data to published findings.</w:t>
      </w:r>
      <w:r>
        <w:t xml:space="preserve"> </w:t>
      </w:r>
      <w:r>
        <w:t xml:space="preserve">The interactive web-based visualization tool, built on Google Earth Engine, allows researchers to independently explore the spatial and temporal patterns in the nighttime light data.</w:t>
      </w:r>
      <w:r>
        <w:t xml:space="preserve"> </w:t>
      </w:r>
      <w:r>
        <w:t xml:space="preserve">This supports verification of our visual findings and enables further exploration beyond what static representations can convey.</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illustrates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interactive HTML version is particulary useful as it allows readers to engage with interactive visualizations, easily inspect the code of multiple computational notebooks, reevaluate the results in light of their source code.</w:t>
      </w:r>
      <w:r>
        <w:t xml:space="preserve"> </w:t>
      </w:r>
      <w:r>
        <w:t xml:space="preserve">By hosting the complete codebase and data in a public Github repository and making the Python and R notebooks executable through Google Colaboratory, we aim to lower the barriers to replication and extensions.</w:t>
      </w:r>
    </w:p>
    <w:bookmarkEnd w:id="79"/>
    <w:bookmarkStart w:id="80" w:name="acknowledgments"/>
    <w:p>
      <w:pPr>
        <w:pStyle w:val="Heading2"/>
      </w:pPr>
      <w:r>
        <w:t xml:space="preserve">Acknowledgments</w:t>
      </w:r>
    </w:p>
    <w:p>
      <w:pPr>
        <w:pStyle w:val="FirstParagraph"/>
      </w:pPr>
      <w:r>
        <w:t xml:space="preserve">This work was supported by JSPS KAKENHI Grant Number 24K04884.</w:t>
      </w:r>
      <w:r>
        <w:t xml:space="preserve"> </w:t>
      </w:r>
      <w:r>
        <w:t xml:space="preserve">During the preparation of this work, the authors used Claude Code (Anthropic) to assist with manuscript editing, computational notebook development, and research infrastructure setup.</w:t>
      </w:r>
      <w:r>
        <w:t xml:space="preserve"> </w:t>
      </w:r>
      <w:r>
        <w:t xml:space="preserve">After using this tool, the authors reviewed and edited all content and take full responsibility for the content of the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8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w:t>
      </w:r>
      <w:r>
        <w:t xml:space="preserve"> </w:t>
      </w:r>
      <w:r>
        <w:t xml:space="preserve">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88">
        <w:r>
          <w:rPr>
            <w:rStyle w:val="Hyperlink"/>
          </w:rPr>
          <w:t xml:space="preserve">https://doi.org/10.1080/13547860.2020.1868107</w:t>
        </w:r>
      </w:hyperlink>
      <w:r>
        <w:t xml:space="preserve">.</w:t>
      </w:r>
    </w:p>
    <w:bookmarkEnd w:id="89"/>
    <w:bookmarkStart w:id="91"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0">
        <w:r>
          <w:rPr>
            <w:rStyle w:val="Hyperlink"/>
          </w:rPr>
          <w:t xml:space="preserve">https://quarto.org</w:t>
        </w:r>
      </w:hyperlink>
      <w:r>
        <w:t xml:space="preserve">.</w:t>
      </w:r>
    </w:p>
    <w:bookmarkEnd w:id="91"/>
    <w:bookmarkStart w:id="93"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2">
        <w:r>
          <w:rPr>
            <w:rStyle w:val="Hyperlink"/>
          </w:rPr>
          <w:t xml:space="preserve">https://doi.org/10.1007/978-94-015-7799-1</w:t>
        </w:r>
      </w:hyperlink>
      <w:r>
        <w:t xml:space="preserve">.</w:t>
      </w:r>
    </w:p>
    <w:bookmarkEnd w:id="93"/>
    <w:bookmarkStart w:id="95"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4">
        <w:r>
          <w:rPr>
            <w:rStyle w:val="Hyperlink"/>
          </w:rPr>
          <w:t xml:space="preserve">https://doi.org/10.1111/j.1538-4632.1995.tb00338.x</w:t>
        </w:r>
      </w:hyperlink>
      <w:r>
        <w:t xml:space="preserve">.</w:t>
      </w:r>
    </w:p>
    <w:bookmarkEnd w:id="95"/>
    <w:bookmarkStart w:id="9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6">
        <w:r>
          <w:rPr>
            <w:rStyle w:val="Hyperlink"/>
          </w:rPr>
          <w:t xml:space="preserve">https://doi.org/10.1257/aer.20180268</w:t>
        </w:r>
      </w:hyperlink>
      <w:r>
        <w:t xml:space="preserve">.</w:t>
      </w:r>
    </w:p>
    <w:bookmarkEnd w:id="97"/>
    <w:bookmarkStart w:id="9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8">
        <w:r>
          <w:rPr>
            <w:rStyle w:val="Hyperlink"/>
          </w:rPr>
          <w:t xml:space="preserve">https://doi.org/10.1086/261816</w:t>
        </w:r>
      </w:hyperlink>
      <w:r>
        <w:t xml:space="preserve">.</w:t>
      </w:r>
    </w:p>
    <w:bookmarkEnd w:id="99"/>
    <w:bookmarkStart w:id="101"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0">
        <w:r>
          <w:rPr>
            <w:rStyle w:val="Hyperlink"/>
          </w:rPr>
          <w:t xml:space="preserve">https://doi.org/10.1016/j.asieco.2021.101318</w:t>
        </w:r>
      </w:hyperlink>
      <w:r>
        <w:t xml:space="preserve">.</w:t>
      </w:r>
    </w:p>
    <w:bookmarkEnd w:id="101"/>
    <w:bookmarkStart w:id="102"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2"/>
    <w:bookmarkStart w:id="104"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3">
        <w:r>
          <w:rPr>
            <w:rStyle w:val="Hyperlink"/>
          </w:rPr>
          <w:t xml:space="preserve">https://doi.org/10.1016/j.jdeveco.2022.102835</w:t>
        </w:r>
      </w:hyperlink>
      <w:r>
        <w:t xml:space="preserve">.</w:t>
      </w:r>
    </w:p>
    <w:bookmarkEnd w:id="104"/>
    <w:bookmarkStart w:id="106"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5">
        <w:r>
          <w:rPr>
            <w:rStyle w:val="Hyperlink"/>
          </w:rPr>
          <w:t xml:space="preserve">https://doi.org/10.1016/j.worlddev.2020.104961</w:t>
        </w:r>
      </w:hyperlink>
      <w:r>
        <w:t xml:space="preserve">.</w:t>
      </w:r>
    </w:p>
    <w:bookmarkEnd w:id="106"/>
    <w:bookmarkStart w:id="10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7">
        <w:r>
          <w:rPr>
            <w:rStyle w:val="Hyperlink"/>
          </w:rPr>
          <w:t xml:space="preserve">https://doi.org/10.1073/pnas.1017031108</w:t>
        </w:r>
      </w:hyperlink>
      <w:r>
        <w:t xml:space="preserve">.</w:t>
      </w:r>
    </w:p>
    <w:bookmarkEnd w:id="108"/>
    <w:bookmarkStart w:id="110"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09">
        <w:r>
          <w:rPr>
            <w:rStyle w:val="Hyperlink"/>
          </w:rPr>
          <w:t xml:space="preserve">https://doi.org/10.3390/rs70404937</w:t>
        </w:r>
      </w:hyperlink>
      <w:r>
        <w:t xml:space="preserve">.</w:t>
      </w:r>
    </w:p>
    <w:bookmarkEnd w:id="110"/>
    <w:bookmarkStart w:id="112"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1">
        <w:r>
          <w:rPr>
            <w:rStyle w:val="Hyperlink"/>
          </w:rPr>
          <w:t xml:space="preserve">https://doi.org/10.1007/s12076-024-00375-x</w:t>
        </w:r>
      </w:hyperlink>
      <w:r>
        <w:t xml:space="preserve">.</w:t>
      </w:r>
    </w:p>
    <w:bookmarkEnd w:id="112"/>
    <w:bookmarkStart w:id="114"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3">
        <w:r>
          <w:rPr>
            <w:rStyle w:val="Hyperlink"/>
          </w:rPr>
          <w:t xml:space="preserve">https://doi.org/10.1162/rest_a_00951</w:t>
        </w:r>
      </w:hyperlink>
      <w:r>
        <w:t xml:space="preserve">.</w:t>
      </w:r>
    </w:p>
    <w:bookmarkEnd w:id="114"/>
    <w:bookmarkStart w:id="116"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 </w:t>
      </w:r>
      <w:r>
        <w:t xml:space="preserve">67: 167–81.</w:t>
      </w:r>
      <w:r>
        <w:t xml:space="preserve"> </w:t>
      </w:r>
      <w:hyperlink r:id="rId115">
        <w:r>
          <w:rPr>
            <w:rStyle w:val="Hyperlink"/>
          </w:rPr>
          <w:t xml:space="preserve">https://doi.org/10.1016/j.strueco.2023.07.009</w:t>
        </w:r>
      </w:hyperlink>
      <w:r>
        <w:t xml:space="preserve">.</w:t>
      </w:r>
    </w:p>
    <w:bookmarkEnd w:id="116"/>
    <w:bookmarkStart w:id="118"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7">
        <w:r>
          <w:rPr>
            <w:rStyle w:val="Hyperlink"/>
          </w:rPr>
          <w:t xml:space="preserve">https://doi.org/10.1257/jep.30.4.171</w:t>
        </w:r>
      </w:hyperlink>
      <w:r>
        <w:t xml:space="preserve">.</w:t>
      </w:r>
    </w:p>
    <w:bookmarkEnd w:id="118"/>
    <w:bookmarkStart w:id="120"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9">
        <w:r>
          <w:rPr>
            <w:rStyle w:val="Hyperlink"/>
          </w:rPr>
          <w:t xml:space="preserve">https://doi.org/10.1002/jae.3950100404</w:t>
        </w:r>
      </w:hyperlink>
      <w:r>
        <w:t xml:space="preserve">.</w:t>
      </w:r>
    </w:p>
    <w:bookmarkEnd w:id="120"/>
    <w:bookmarkStart w:id="122"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1">
        <w:r>
          <w:rPr>
            <w:rStyle w:val="Hyperlink"/>
          </w:rPr>
          <w:t xml:space="preserve">https://doi.org/10.1080/01431161.2017.1342050</w:t>
        </w:r>
      </w:hyperlink>
      <w:r>
        <w:t xml:space="preserve">.</w:t>
      </w:r>
    </w:p>
    <w:bookmarkEnd w:id="122"/>
    <w:bookmarkStart w:id="124"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3">
        <w:r>
          <w:rPr>
            <w:rStyle w:val="Hyperlink"/>
          </w:rPr>
          <w:t xml:space="preserve">https://doi.org/10.1002/jae.963</w:t>
        </w:r>
      </w:hyperlink>
      <w:r>
        <w:t xml:space="preserve">.</w:t>
      </w:r>
    </w:p>
    <w:bookmarkEnd w:id="124"/>
    <w:bookmarkStart w:id="126"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5">
        <w:r>
          <w:rPr>
            <w:rStyle w:val="Hyperlink"/>
          </w:rPr>
          <w:t xml:space="preserve">https://doi.org/10.1007/s00168-010-0384-6</w:t>
        </w:r>
      </w:hyperlink>
      <w:r>
        <w:t xml:space="preserve">.</w:t>
      </w:r>
    </w:p>
    <w:bookmarkEnd w:id="126"/>
    <w:bookmarkStart w:id="128"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27">
        <w:r>
          <w:rPr>
            <w:rStyle w:val="Hyperlink"/>
          </w:rPr>
          <w:t xml:space="preserve">https://doi.org/10.1007/s10887-014-9105-9</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6">
        <w:r>
          <w:rPr>
            <w:rStyle w:val="Hyperlink"/>
          </w:rPr>
          <w:t xml:space="preserve">https://github.com/quarcs-lab/project2022p</w:t>
        </w:r>
      </w:hyperlink>
      <w:r>
        <w:t xml:space="preserve">.</w:t>
      </w:r>
    </w:p>
    <w:bookmarkEnd w:id="157"/>
    <w:bookmarkStart w:id="159" w:name="ref-mendez_santos_asean_lights"/>
    <w:p>
      <w:pPr>
        <w:pStyle w:val="Bibliography"/>
      </w:pPr>
      <w:r>
        <w:t xml:space="preserve">Mendez, Carlos, and Felipe Santos-Marquez. 2021.</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 </w:t>
      </w:r>
      <w:r>
        <w:t xml:space="preserve">13 (6): 1750–77.</w:t>
      </w:r>
      <w:r>
        <w:t xml:space="preserve"> </w:t>
      </w:r>
      <w:hyperlink r:id="rId158">
        <w:r>
          <w:rPr>
            <w:rStyle w:val="Hyperlink"/>
          </w:rPr>
          <w:t xml:space="preserve">https://doi.org/10.1111/rsp3.12335</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8">
        <w:r>
          <w:rPr>
            <w:rStyle w:val="Hyperlink"/>
          </w:rPr>
          <w:t xml:space="preserve">https://doi.org/10.1007/s00168-022-01168-0</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the districts among two census files, we summed up the carved-out districts with their origin districts in the 2011 census files.</w:t>
      </w:r>
      <w:r>
        <w:t xml:space="preserve"> </w:t>
      </w:r>
      <w:r>
        <w:t xml:space="preserve">Eight districts among 47 new districts were created by carving out some areas from multiple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2026-03-04T02:11:12Z</dcterms:created>
  <dcterms:modified xsi:type="dcterms:W3CDTF">2026-03-04T02:11:12Z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