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Based on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that explicitly accounts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(2021)</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 </w:t>
      </w:r>
      <w:r>
        <w:t xml:space="preserve">about convergence.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proposes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(1991–92)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the same period (1992) now available for all 32 Indian states and union territories, we can examine the extent to which luminosity is associated with regional cultural patterns.</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(Pearson</w:t>
      </w:r>
      <w:r>
        <w:t xml:space="preserve"> </w:t>
      </w:r>
      <m:oMath>
        <m:r>
          <m:t>r</m:t>
        </m:r>
      </m:oMath>
      <w:r>
        <w:t xml:space="preserve"> </w:t>
      </w:r>
      <w:r>
        <w:t xml:space="preserve">= $-$0.476,</w:t>
      </w:r>
      <w:r>
        <w:t xml:space="preserve"> </w:t>
      </w:r>
      <m:oMath>
        <m:r>
          <m:t>p</m:t>
        </m:r>
      </m:oMath>
      <w:r>
        <w:t xml:space="preserve"> </w:t>
      </w:r>
      <w:r>
        <w:t xml:space="preserve">= 0.006):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These patterns suggest that economic development does not uniformly increase or decrease cultural participation but rather transforms its character.</w:t>
      </w:r>
      <w:r>
        <w:t xml:space="preserve"> </w:t>
      </w:r>
      <w:r>
        <w:t xml:space="preserve">More luminous regions consume culture through modern media infrastructure, while less luminous regions sustain culture through community and religious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 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 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2"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94">
        <w:r>
          <w:rPr>
            <w:rStyle w:val="Hyperlink"/>
          </w:rPr>
          <w:t xml:space="preserve">https://doi.org/10.1016/j.jdeveco.2020.102467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8"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8"/>
    <w:bookmarkStart w:id="110"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9">
        <w:r>
          <w:rPr>
            <w:rStyle w:val="Hyperlink"/>
          </w:rPr>
          <w:t xml:space="preserve">https://doi.org/10.1016/j.jdeveco.2022.102835</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2026-04-07T12:56:55Z</dcterms:created>
  <dcterms:modified xsi:type="dcterms:W3CDTF">2026-04-07T12:56:55Z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Based on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