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3.png" ContentType="image/png"/>
  <Override PartName="/word/media/rId48.png" ContentType="image/png"/>
  <Override PartName="/word/media/rId55.png" ContentType="image/png"/>
  <Override PartName="/word/media/rId71.png" ContentType="image/png"/>
  <Override PartName="/word/media/rId66.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Carlos Mendez</w:t>
      </w:r>
    </w:p>
    <w:p>
      <w:pPr>
        <w:pStyle w:val="Author"/>
      </w:pPr>
      <w:r>
        <w:t xml:space="preserve">Sujana Kabiraj</w:t>
      </w:r>
    </w:p>
    <w:p>
      <w:pPr>
        <w:pStyle w:val="Author"/>
      </w:pPr>
      <w:r>
        <w:t xml:space="preserve">Jiaqi Li</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 Based on a reproducible open-science approach, this article builds on their work by confirming and extending their main findings on three fronts. First, we illustrate regional convergence patterns using an interactive web-based tool for satellite image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through the lens of satellite imagery, interactive visualizations, and spillover modeling.</w:t>
      </w:r>
    </w:p>
    <w:bookmarkStart w:id="20"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 However, studying regional convergence patterns in developing countries has been historically challenging due to limited availability of consistent economic data at subnational administrative levels. The emergence of satellite nighttime light data as a proxy for economic activity has created new opportunities to analyze regional growth dynamics at granular geographic scales.</w:t>
      </w:r>
    </w:p>
    <w:p>
      <w:pPr>
        <w:pStyle w:val="BodyText"/>
      </w:pPr>
      <w:r>
        <w:t xml:space="preserve">In an important contribution,</w:t>
      </w:r>
      <w:r>
        <w:t xml:space="preserve"> </w:t>
      </w:r>
      <w:r>
        <w:t xml:space="preserve">Chanda and Kabiraj (2020)</w:t>
      </w:r>
      <w:r>
        <w:t xml:space="preserve"> </w:t>
      </w:r>
      <w:r>
        <w:t xml:space="preserve">leveraged nighttime light data to document evidence of regional convergence across 520 districts in India between 1996 and 2010. Their analysis showed that poorer districts grew faster than richer ones during this period, suggesting a gradual reduction in spatial inequalities. However, their econometric approach did not account for potential spatial spillovers in the convergence process—the possibility that a district’s growth trajectory might be influenced not only by its own initial conditions but also by those of its neighbors.</w:t>
      </w:r>
    </w:p>
    <w:p>
      <w:pPr>
        <w:pStyle w:val="BodyText"/>
      </w:pPr>
      <w:r>
        <w:t xml:space="preserve">In this context, this paper confirms and extends the study of</w:t>
      </w:r>
      <w:r>
        <w:t xml:space="preserve"> </w:t>
      </w:r>
      <w:r>
        <w:t xml:space="preserve">Chanda and Kabiraj (2020)</w:t>
      </w:r>
      <w:r>
        <w:t xml:space="preserve"> </w:t>
      </w:r>
      <w:r>
        <w:t xml:space="preserve">in three key methodological directions. First, we develop an interactive web-based visualization tool that allows researchers to dynamically explore spatial and temporal patterns in the nighttime light data. This tool facilitates the identification of converging regions and growth hotspots that may be difficult to detect in static representations. Second, we formally test for spatial dependence in both the dependent and independent variables of the convergence equations, highlighting that spatial autocorrelation is a relevant feature of satellite data and the regional convergence process. Third, we employ a spatial Durbin model that explicitly accounts for spatial spillovers, quantifying how neighborhood effects influence the speed of regional convergence.</w:t>
      </w:r>
    </w:p>
    <w:p>
      <w:pPr>
        <w:pStyle w:val="BodyText"/>
      </w:pPr>
      <w:r>
        <w:t xml:space="preserve">Our results yield three main findings that contribute to the understanding of regional convergence in India. First, interactive visualization tools reveal clear spatial patterns in both the initial distribution and subsequent growth of nighttime lights. Second, formal tests of spatial dependence indicate that district-level economic trajectories are not independent of their neighbors. Third, accounting for spatial spillovers through the spatial Durbin model shows that the total convergence effect is substantially larger than previous non-spatial estimates would suggest. Specifically, spatial spillovers appear to accelerate the convergence process by creating additional channels through which lagging regions can catch up.</w:t>
      </w:r>
    </w:p>
    <w:p>
      <w:pPr>
        <w:pStyle w:val="BodyText"/>
      </w:pPr>
      <w:r>
        <w:t xml:space="preserve">These findings have important implications for both research methodology and policy design. Methodologically, they suggest that conventional non-spatial approaches may underestimate the speed of regional convergence by failing to account for inter-district spillovers. From a policy perspective, they suggest that the benefits of place-based development interventions may extend beyond target districts through spatial multiplier effects, potentially increasing their cost-effectiveness. The results also highlight the value of new data sources and methodological tools in advancing our understanding of regional economic dynamics in developing countries.</w:t>
      </w:r>
    </w:p>
    <w:p>
      <w:pPr>
        <w:pStyle w:val="BodyText"/>
      </w:pPr>
      <w:r>
        <w:t xml:space="preserve">The rest of this article is organized as follows. Section 2 provides an overview of the data and methods, describing our use of nighttime light data as a proxy for economic activity and introducing the spatial Durbin model that forms the basis of our empirical strategy. We also detail our methodological extensions related to interactive visualizations, spatial dependence testing, and spillover modeling. Section 3 presents our empirical results, beginning with an interactive exploration of regional convergence patterns, followed by formal tests of spatial dependence, and concluding with estimates of direct and indirect convergence effects from the spatial Durbin model. Finally, Section 4 offers some concluding remarks.</w:t>
      </w:r>
    </w:p>
    <w:bookmarkEnd w:id="20"/>
    <w:bookmarkStart w:id="35" w:name="data-and-methods"/>
    <w:p>
      <w:pPr>
        <w:pStyle w:val="Heading2"/>
      </w:pPr>
      <w:r>
        <w:t xml:space="preserve">Data and methods</w:t>
      </w:r>
    </w:p>
    <w:bookmarkStart w:id="22"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at finer administrative levels beyond the state level. To address this issue, a growing body of literature, pioneered by</w:t>
      </w:r>
      <w:r>
        <w:t xml:space="preserve"> </w:t>
      </w:r>
      <w:r>
        <w:t xml:space="preserve">Henderson, Storeygard, and Weil (2012)</w:t>
      </w:r>
      <w:r>
        <w:t xml:space="preserve">, has utilized satellite nighttime light data as a proxy for economic activity at subnational levels.</w:t>
      </w:r>
    </w:p>
    <w:p>
      <w:pPr>
        <w:pStyle w:val="BodyText"/>
      </w:pPr>
      <w:r>
        <w:t xml:space="preserve">Nighttime light (hereafter NTL) data have been widely used to investigate economic growth and convergence across national and subnational regions in various countries. For instance,</w:t>
      </w:r>
      <w:r>
        <w:t xml:space="preserve"> </w:t>
      </w:r>
      <w:r>
        <w:t xml:space="preserve">Adhikari and Dhital (2020)</w:t>
      </w:r>
      <w:r>
        <w:t xml:space="preserve"> </w:t>
      </w:r>
      <w:r>
        <w:t xml:space="preserve">examine the impact of decentralization on regional convergence using NTL data, while</w:t>
      </w:r>
      <w:r>
        <w:t xml:space="preserve"> </w:t>
      </w:r>
      <w:r>
        <w:t xml:space="preserve">Pinkovskiy and Sala-i-Martin (2016)</w:t>
      </w:r>
      <w:r>
        <w:t xml:space="preserve"> </w:t>
      </w:r>
      <w:r>
        <w:t xml:space="preserve">use NTL data to adjudicate between national accounts and household surveys, finding that national accounts better capture aggregate economic growth. Similarly,</w:t>
      </w:r>
      <w:r>
        <w:t xml:space="preserve"> </w:t>
      </w:r>
      <w:r>
        <w:t xml:space="preserve">Lessmann and Seidel (2017)</w:t>
      </w:r>
      <w:r>
        <w:t xml:space="preserve"> </w:t>
      </w:r>
      <w:r>
        <w:t xml:space="preserve">leverage NTL data to estimate GDP per capita and income inequality globally. More broadly,</w:t>
      </w:r>
      <w:r>
        <w:t xml:space="preserve"> </w:t>
      </w:r>
      <w:r>
        <w:t xml:space="preserve">Gennaioli et al. (2014)</w:t>
      </w:r>
      <w:r>
        <w:t xml:space="preserve"> </w:t>
      </w:r>
      <w:r>
        <w:t xml:space="preserve">study regional convergence using per capita income data from 1,528 subnational regions across 83 countries, finding a convergence rate of about 2% per year.</w:t>
      </w:r>
    </w:p>
    <w:p>
      <w:pPr>
        <w:pStyle w:val="BodyText"/>
      </w:pPr>
      <w:r>
        <w:t xml:space="preserve">NTL data have been extensively used in India across various contexts. For example,</w:t>
      </w:r>
      <w:r>
        <w:t xml:space="preserve"> </w:t>
      </w:r>
      <w:r>
        <w:t xml:space="preserve">Cook and Shah (2022)</w:t>
      </w:r>
      <w:r>
        <w:t xml:space="preserve"> </w:t>
      </w:r>
      <w:r>
        <w:t xml:space="preserve">use NTL data to analyze the impact of public welfare programs, while</w:t>
      </w:r>
      <w:r>
        <w:t xml:space="preserve"> </w:t>
      </w:r>
      <w:r>
        <w:t xml:space="preserve">Jha and Talathi (2021)</w:t>
      </w:r>
      <w:r>
        <w:t xml:space="preserve"> </w:t>
      </w:r>
      <w:r>
        <w:t xml:space="preserve">examine the effects of colonial institutions, and</w:t>
      </w:r>
      <w:r>
        <w:t xml:space="preserve"> </w:t>
      </w:r>
      <w:r>
        <w:t xml:space="preserve">Chanda and Cook (2022)</w:t>
      </w:r>
      <w:r>
        <w:t xml:space="preserve"> </w:t>
      </w:r>
      <w:r>
        <w:t xml:space="preserve">investigate the impact of demonetization.</w:t>
      </w:r>
      <w:r>
        <w:t xml:space="preserve"> </w:t>
      </w:r>
      <w:r>
        <w:t xml:space="preserve">Beyer, Jain, and Sinha (2021)</w:t>
      </w:r>
      <w:r>
        <w:t xml:space="preserve"> </w:t>
      </w:r>
      <w:r>
        <w:t xml:space="preserve">employ NTL data to study the effects of COVID-19. In the context of convergence studies,</w:t>
      </w:r>
      <w:r>
        <w:t xml:space="preserve"> </w:t>
      </w:r>
      <w:r>
        <w:t xml:space="preserve">Chakravarty and Dehejia (2019)</w:t>
      </w:r>
      <w:r>
        <w:t xml:space="preserve"> </w:t>
      </w:r>
      <w:r>
        <w:t xml:space="preserve">document significant regional disparities in India using NTL data and caution that GST may further exacerbate them, while</w:t>
      </w:r>
      <w:r>
        <w:t xml:space="preserve"> </w:t>
      </w:r>
      <w:r>
        <w:t xml:space="preserve">Chanda and Kabiraj (2020)</w:t>
      </w:r>
      <w:r>
        <w:t xml:space="preserve"> </w:t>
      </w:r>
      <w:r>
        <w:t xml:space="preserve">highlights district-level convergence.</w:t>
      </w:r>
    </w:p>
    <w:p>
      <w:pPr>
        <w:pStyle w:val="BodyText"/>
      </w:pPr>
      <w:r>
        <w:t xml:space="preserve">Our study builds on</w:t>
      </w:r>
      <w:r>
        <w:t xml:space="preserve"> </w:t>
      </w:r>
      <w:r>
        <w:t xml:space="preserve">Chanda and Kabiraj (2020)</w:t>
      </w:r>
      <w:r>
        <w:t xml:space="preserve">. Following their approach, we use the per capita growth in nighttime lights as the dependent variable and the initial nighttime lights per capita as the primary variable of interest. These variables are derived from NTL data released by the National Geophysical Data Center (NGDC), based on observations from the DMSP/OLS satellites spanning the period from 1996 to 2010. To mitigate the issue of top-coding in NTL data, the NGDC released</w:t>
      </w:r>
      <w:r>
        <w:t xml:space="preserve"> </w:t>
      </w:r>
      <w:r>
        <w:t xml:space="preserve">“radiance-calibrated”</w:t>
      </w:r>
      <w:r>
        <w:t xml:space="preserve"> </w:t>
      </w:r>
      <w:r>
        <w:t xml:space="preserve">nighttime lights for eight specific years within this period. This dataset employs high magnification settings for low-light regions and low magnification settings for brightly lit areas. For this study, we utilize the</w:t>
      </w:r>
      <w:r>
        <w:t xml:space="preserve"> </w:t>
      </w:r>
      <w:r>
        <w:t xml:space="preserve">“radiance-calibrated”</w:t>
      </w:r>
      <w:r>
        <w:t xml:space="preserve"> </w:t>
      </w:r>
      <w:r>
        <w:t xml:space="preserve">nighttime lights data.</w:t>
      </w:r>
      <w:r>
        <w:rPr>
          <w:rStyle w:val="FootnoteReference"/>
        </w:rPr>
        <w:footnoteReference w:id="21"/>
      </w:r>
    </w:p>
    <w:bookmarkEnd w:id="22"/>
    <w:bookmarkStart w:id="23" w:name="X4b06f35525457a58a6ba46c6f4688096e2e6dda"/>
    <w:p>
      <w:pPr>
        <w:pStyle w:val="Heading3"/>
      </w:pPr>
      <w:r>
        <w:t xml:space="preserve">Jupyter and Quarto for reproducible open science</w:t>
      </w:r>
    </w:p>
    <w:p>
      <w:pPr>
        <w:pStyle w:val="FirstParagraph"/>
      </w:pPr>
      <w:r>
        <w:t xml:space="preserve">Jupyter notebooks have become an essential tool for reproducible open science, as they allow researchers to integrate executable code, explanatory narrative, and computational outputs within a single, self-contained document</w:t>
      </w:r>
      <w:r>
        <w:t xml:space="preserve"> </w:t>
      </w:r>
      <w:r>
        <w:t xml:space="preserve">(Kluyver et al. 2016)</w:t>
      </w:r>
      <w:r>
        <w:t xml:space="preserve">. This integration ensures that every step of the analytical workflow—from data ingestion and processing to statistical modeling and visualization—is transparently documented and can be independently verified by other researchers. Unlike traditional workflows where code, results, and interpretation are separated across different files and software environments, Jupyter notebooks preserve the complete chain of reasoning in a format that can be shared, inspected, and re-executed. In this article, we employ Jupyter notebooks with three distinct computational kernels—Python, R, and Stata—to document our data processing, analysis, and visualization steps, enabling readers and reviewers to trace each result back to the code that produced it. The Python and R notebooks can be executed in the cloud using Google Colab, further lowering the barriers to replication by eliminating the need for local software installation. While Stata is not open-source software, its integration with the Jupyter environment provides a rich interactive interface that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comprehensive manuscript preparation framework</w:t>
      </w:r>
      <w:r>
        <w:t xml:space="preserve"> </w:t>
      </w:r>
      <w:r>
        <w:t xml:space="preserve">(Allaire et al. 2024)</w:t>
      </w:r>
      <w:r>
        <w:t xml:space="preserve">. Its single-source publishing paradigm enables researchers to generate multiple output formats—including HTML for interactive web-based dissemination, PDF for formal journal submission, Word documents for collaborative editing, and JATS XML for archival and indexing purposes—from a single source file. This approach ensures consistency across all versions of a document, eliminating discrepancies that can arise when maintaining separate files for different output formats. By providing a unified authoring environment that natively supports cross-references, citations, mathematical notation, and embedded computational results, Quarto substantially reduces the technical barriers to producing publication-quality research outputs that adhere to open-access and reproducibility standards.</w:t>
      </w:r>
    </w:p>
    <w:p>
      <w:pPr>
        <w:pStyle w:val="BodyText"/>
      </w:pPr>
      <w:r>
        <w:t xml:space="preserve">The combination of Jupyter notebooks and Quarto’s manuscript framework creates an effective infrastructure for reproducible research. In this article, all computational analyses are embedded in Jupyter notebooks that are directly linked to the main text, allowing readers to inspect the code alongside the results it produces. Quarto’s embed functionality enables us to pull specific figures, tables, and results from these notebooks into the manuscript, ensuring that every empirical finding presented in the text is traceable to its underlying computation. All data processing and analysis steps are documented in the notebooks, and we provide access to the raw data and code through a public repository. By adopting this integrated reproducible research framework, we aim to contribute to the open science movement and encourage other researchers to build upon our work by ensuring transparency and verifiability of our findings</w:t>
      </w:r>
      <w:r>
        <w:t xml:space="preserve"> </w:t>
      </w:r>
      <w:r>
        <w:t xml:space="preserve">(Peng 2011)</w:t>
      </w:r>
      <w:r>
        <w:t xml:space="preserve">.</w:t>
      </w:r>
    </w:p>
    <w:bookmarkEnd w:id="23"/>
    <w:bookmarkStart w:id="24"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distinct methodological advantages over static representations, particularly when analyzing temporal and spatial heterogeneity in economic activity</w:t>
      </w:r>
      <w:r>
        <w:t xml:space="preserve"> </w:t>
      </w:r>
      <w:r>
        <w:t xml:space="preserve">(Donaldson and Storeygard 2016)</w:t>
      </w:r>
      <w:r>
        <w:t xml:space="preserve">. The dynamic nature of these visualizations enables researchers to simultaneously examine multiple dimensions of the data, including temporal variations in light intensity, the spatial distribution of economic activity, and the relationship between nighttime lights and other georeferenced variables. This interactivity is especially valuable when investigating economic phenomena that exhibit significant spatial and temporal variation, such as urbanization patterns, economic shocks, or regional development disparities. The ability to dynamically adjust visualization parameters, such as temporal ranges, spatial scales, and light intensity thresholds, allows for more nuanced exploration of economic patterns that might be obscured in static representations.</w:t>
      </w:r>
    </w:p>
    <w:p>
      <w:pPr>
        <w:pStyle w:val="BodyText"/>
      </w:pPr>
      <w:r>
        <w:t xml:space="preserve">Google Earth Engine (GEE) substantially reduces the computational and technical barriers to creating such interactive visualizations, offering a particularly advantageous platform for economic research utilizing nighttime lights data</w:t>
      </w:r>
      <w:r>
        <w:t xml:space="preserve"> </w:t>
      </w:r>
      <w:r>
        <w:t xml:space="preserve">(Gorelick et al. 2017)</w:t>
      </w:r>
      <w:r>
        <w:t xml:space="preserve">. The platform’s browser-based integrated development environment facilitates the creation of interactive web applications without requiring extensive infrastructure or specialized software installation. This capability is especially valuable for reproducible research, as it enables the development of web applications that can be shared with other researchers or stakeholders, allowing them to interact with the data and verify findings independently. The platform’s ability to handle large-scale geospatial computations server-side, combined with its extensive catalog of pre-processed nighttime lights datasets, including the DMSP-OLS and VIIRS collections, significantly streamlines the workflow from raw data to interactive visualization</w:t>
      </w:r>
      <w:r>
        <w:t xml:space="preserve"> </w:t>
      </w:r>
      <w:r>
        <w:t xml:space="preserve">(Tamiminia et al. 2020)</w:t>
      </w:r>
      <w:r>
        <w:t xml:space="preserve">. This computational efficiency is particularly beneficial when analyzing long time series or large geographic areas, which would be computationally intensive using traditional desktop-based approaches.</w:t>
      </w:r>
    </w:p>
    <w:p>
      <w:pPr>
        <w:pStyle w:val="BodyText"/>
      </w:pPr>
      <w:r>
        <w:t xml:space="preserve">Interactive visualizations of nighttime lights data are particularly useful for identifying and analyzing patterns of regional convergence in luminosity, providing visual insights into economic convergence processes. Through dynamic visualization tools, researchers can track the evolution of light intensity across regions over time, effectively identifying areas that exhibit catch-up growth patterns - where initially dim regions progressively converge toward the luminosity levels of their brighter counterparts.</w:t>
      </w:r>
    </w:p>
    <w:bookmarkEnd w:id="24"/>
    <w:bookmarkStart w:id="27" w:name="modeling-regional-convergence"/>
    <w:p>
      <w:pPr>
        <w:pStyle w:val="Heading3"/>
      </w:pPr>
      <w:r>
        <w:t xml:space="preserve">Modeling regional convergence</w:t>
      </w:r>
    </w:p>
    <w:p>
      <w:pPr>
        <w:pStyle w:val="FirstParagraph"/>
      </w:pPr>
      <w:r>
        <w:t xml:space="preserve">In neoclassical growth models, such as the Solow model, it is argued that the per capita growth rate should be negatively correlated with a region’s initial endowment primarily due to diminishing returns to capital</w:t>
      </w:r>
      <w:r>
        <w:t xml:space="preserve"> </w:t>
      </w:r>
      <w:r>
        <w:t xml:space="preserve">(Solow 1956)</w:t>
      </w:r>
      <w:r>
        <w:t xml:space="preserve">. Specifically, poorer regions, assuming similar technology and preferences, are expected to experience higher growth rates compared to their wealthier counterparts. Consequently, over the long run, regions with similar characteristics should converge to a common steady state. We examine such convergence (denoted by</w:t>
      </w:r>
      <w:r>
        <w:t xml:space="preserve"> </w:t>
      </w:r>
      <m:oMath>
        <m:r>
          <m:t>β</m:t>
        </m:r>
      </m:oMath>
      <w:r>
        <w:rPr>
          <w:b/>
          <w:bCs/>
        </w:rPr>
        <w:t xml:space="preserve">-convergence</w:t>
      </w:r>
      <w:r>
        <w:t xml:space="preserve">)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analyzes absolute convergence.</w:t>
      </w:r>
    </w:p>
    <w:p>
      <w:pPr>
        <w:pStyle w:val="BodyText"/>
      </w:pPr>
      <w:bookmarkStart w:id="25"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5"/>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NTL growth for each of the</w:t>
      </w:r>
      <w:r>
        <w:t xml:space="preserve"> </w:t>
      </w:r>
      <m:oMath>
        <m:r>
          <m:t>N</m:t>
        </m:r>
      </m:oMath>
      <w:r>
        <w:t xml:space="preserve"> </w:t>
      </w:r>
      <w:r>
        <w:t xml:space="preserve">regions over the period</w:t>
      </w:r>
      <w:r>
        <w:t xml:space="preserve"> </w:t>
      </w:r>
      <m:oMath>
        <m:r>
          <m:t>t</m:t>
        </m:r>
      </m:oMath>
      <w:r>
        <w:t xml:space="preserve"> </w:t>
      </w:r>
      <w:r>
        <w:t xml:space="preserve">and</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NTL. The scalar</w:t>
      </w:r>
      <w:r>
        <w:t xml:space="preserve"> </w:t>
      </w:r>
      <m:oMath>
        <m:sSub>
          <m:e>
            <m:r>
              <m:t>β</m:t>
            </m:r>
          </m:e>
          <m:sub>
            <m:r>
              <m:t>1</m:t>
            </m:r>
          </m:sub>
        </m:sSub>
      </m:oMath>
      <w:r>
        <w:t xml:space="preserve"> </w:t>
      </w:r>
      <w:r>
        <w:t xml:space="preserve">is a regression coefficient that indicates the direction and strength of regional convergence. 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While absolute convergence implies that districts converge to a common steady state, regions may differ in various aspects such as geography, socio-economic conditions, and policy implementation. To account for these differences, we include state dummies in our analysis to examine whether heterogeneity in state-specific institutions and policies influences the rate of convergence. Additionally, we control for the initial share of unlit pixels in districts to address any potential under-coding in NTL data.</w:t>
      </w:r>
    </w:p>
    <w:p>
      <w:pPr>
        <w:pStyle w:val="BodyText"/>
      </w:pPr>
      <w:r>
        <w:t xml:space="preserve">To further explore the determinants of district-level growth rates, we incorporate a range of geo-climatic controls alongside initial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explores conditional convergence.</w:t>
      </w:r>
    </w:p>
    <w:p>
      <w:pPr>
        <w:pStyle w:val="BodyText"/>
      </w:pPr>
      <w:bookmarkStart w:id="26"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6"/>
    </w:p>
    <w:p>
      <w:pPr>
        <w:pStyle w:val="FirstParagraph"/>
      </w:pPr>
      <w:r>
        <w:t xml:space="preserve">Here, the matrix</w:t>
      </w:r>
      <w:r>
        <w:t xml:space="preserve"> </w:t>
      </w:r>
      <m:oMath>
        <m:sSub>
          <m:e>
            <m:r>
              <m:rPr>
                <m:sty m:val="b"/>
              </m:rPr>
              <m:t>X</m:t>
            </m:r>
          </m:e>
          <m:sub>
            <m:r>
              <m:rPr>
                <m:sty m:val="b"/>
              </m:rPr>
              <m:t>t</m:t>
            </m:r>
          </m:sub>
        </m:sSub>
      </m:oMath>
      <w:r>
        <w:t xml:space="preserve"> </w:t>
      </w:r>
      <w:r>
        <w:t xml:space="preserve">is a</w:t>
      </w:r>
      <w:r>
        <w:t xml:space="preserve"> </w:t>
      </w:r>
      <m:oMath>
        <m:r>
          <m:t>N</m:t>
        </m:r>
        <m:r>
          <m:rPr>
            <m:nor/>
            <m:sty m:val="p"/>
          </m:rPr>
          <m:t>-by-</m:t>
        </m:r>
        <m:r>
          <m:t>k</m:t>
        </m:r>
      </m:oMath>
      <w:r>
        <w:t xml:space="preserve"> </w:t>
      </w:r>
      <w:r>
        <w:t xml:space="preserve">collection of observations on control variables for each region. 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 The control variables are listed in Table A.1 in</w:t>
      </w:r>
      <w:r>
        <w:t xml:space="preserve"> </w:t>
      </w:r>
      <w:r>
        <w:t xml:space="preserve">Chanda and Kabiraj (2020)</w:t>
      </w:r>
      <w:r>
        <w:t xml:space="preserve">.</w:t>
      </w:r>
    </w:p>
    <w:bookmarkEnd w:id="27"/>
    <w:bookmarkStart w:id="3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dependence patterns across Indian districts. 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 If present and unaccounted for, spatial dependence can lead to biased parameter estimates and invalid inference in standard regression models. 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 It quantifies the overall degree of spatial clustering among geographic units and can be expressed as:</w:t>
      </w:r>
    </w:p>
    <w:p>
      <w:pPr>
        <w:pStyle w:val="BodyText"/>
      </w:pPr>
      <w:bookmarkStart w:id="28"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28"/>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 The Moran’s I statistic ranges from</w:t>
      </w:r>
      <w:r>
        <w:t xml:space="preserve"> </w:t>
      </w:r>
      <m:oMath>
        <m:r>
          <m:rPr>
            <m:sty m:val="p"/>
          </m:rPr>
          <m:t>−</m:t>
        </m:r>
        <m:r>
          <m:t>1</m:t>
        </m:r>
      </m:oMath>
      <w:r>
        <w:t xml:space="preserve"> </w:t>
      </w:r>
      <w:r>
        <w:t xml:space="preserve">to</w:t>
      </w:r>
      <w:r>
        <w:t xml:space="preserve"> </w:t>
      </w:r>
      <m:oMath>
        <m:r>
          <m:rPr>
            <m:sty m:val="p"/>
          </m:rPr>
          <m:t>+</m:t>
        </m:r>
        <m:r>
          <m:t>1</m:t>
        </m:r>
      </m:oMath>
      <w:r>
        <w:t xml:space="preserve">: positive values indicate positive spatial autocorrelation (spatial clustering, where similar values tend to be located near each other), values near zero suggest spatial randomness, and negative values indicate spatial dispersion (where dissimilar values are neighbors). 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 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 The local Moran’s I for observation</w:t>
      </w:r>
      <w:r>
        <w:t xml:space="preserve"> </w:t>
      </w:r>
      <m:oMath>
        <m:r>
          <m:t>i</m:t>
        </m:r>
      </m:oMath>
      <w:r>
        <w:t xml:space="preserve"> </w:t>
      </w:r>
      <w:r>
        <w:t xml:space="preserve">is defined as:</w:t>
      </w:r>
    </w:p>
    <w:p>
      <w:pPr>
        <w:pStyle w:val="BodyText"/>
      </w:pPr>
      <w:bookmarkStart w:id="29"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29"/>
    </w:p>
    <w:p>
      <w:pPr>
        <w:pStyle w:val="FirstParagraph"/>
      </w:pPr>
      <w:r>
        <w:t xml:space="preserve">where the summation is over the neighbors of</w:t>
      </w:r>
      <w:r>
        <w:t xml:space="preserve"> </w:t>
      </w:r>
      <m:oMath>
        <m:r>
          <m:t>i</m:t>
        </m:r>
      </m:oMath>
      <w:r>
        <w:t xml:space="preserve"> </w:t>
      </w:r>
      <w:r>
        <w:t xml:space="preserve">as defined by the spatial weight matrix. This local statistic classifies each observation into one of four categories based on the relationship between a location’s value and those of its neighbors: High-High (HH), where a high-value location is surrounded by high-value neighbors; Low-Low (LL), where a low-value location is surrounded by low-value neighbors; High-Low (HL), a spatial outlier where a high-value location is surrounded by low-value neighbors; and Low-High (LH), the opposite spatial outlier. Taken together, the HH and LL categories identify spatial clusters, while the HL and LH categories identify spatial outliers. 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crucial for capturing the underlying spatial structure. 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 Following standard practice, we row-normalize the weights matrix so that each row sums to one, ensuring that the spatial lag of a variable represents the average value among a district’s neighbors.</w:t>
      </w:r>
    </w:p>
    <w:p>
      <w:pPr>
        <w:pStyle w:val="BodyText"/>
      </w:pPr>
      <w:r>
        <w:t xml:space="preserve">The detection of significant spatial dependence would justify the use of spatial econometric techniques. 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spillovers in the convergence process. 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0"/>
    <w:bookmarkStart w:id="34"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 which extends the traditional Solow framework to account for technological interdependence across regions. 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3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 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 A key innovation of this framework is the modeling of technological knowledge, which incorporates both internal and external factors:</w:t>
      </w:r>
    </w:p>
    <w:p>
      <w:pPr>
        <w:pStyle w:val="BodyText"/>
      </w:pPr>
      <w:bookmarkStart w:id="3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3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panel Durbin model that accounts for regional spillovers across economies. Their model can be compactly written in matrix notation as:</w:t>
      </w:r>
    </w:p>
    <w:p>
      <w:pPr>
        <w:pStyle w:val="BodyText"/>
      </w:pPr>
      <w:bookmarkStart w:id="33"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33"/>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NTL growth for each of the</w:t>
      </w:r>
      <w:r>
        <w:t xml:space="preserve"> </w:t>
      </w:r>
      <m:oMath>
        <m:r>
          <m:t>N</m:t>
        </m:r>
      </m:oMath>
      <w:r>
        <w:t xml:space="preserve"> </w:t>
      </w:r>
      <w:r>
        <w:t xml:space="preserve">regions over the period</w:t>
      </w:r>
      <w:r>
        <w:t xml:space="preserve"> </w:t>
      </w:r>
      <m:oMath>
        <m:r>
          <m:t>t</m:t>
        </m:r>
      </m:oMath>
      <w:r>
        <w:t xml:space="preserve"> </w:t>
      </w:r>
      <w:r>
        <w:t xml:space="preserve">and</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NTL. The scalar</w:t>
      </w:r>
      <w:r>
        <w:t xml:space="preserve"> </w:t>
      </w:r>
      <m:oMath>
        <m:sSub>
          <m:e>
            <m:r>
              <m:t>β</m:t>
            </m:r>
          </m:e>
          <m:sub>
            <m:r>
              <m:t>1</m:t>
            </m:r>
          </m:sub>
        </m:sSub>
      </m:oMath>
      <w:r>
        <w:t xml:space="preserve"> </w:t>
      </w:r>
      <w:r>
        <w:t xml:space="preserve">is a regression coefficient that indicates the direction and strength of regional convergence. The matrix</w:t>
      </w:r>
      <w:r>
        <w:t xml:space="preserve"> </w:t>
      </w:r>
      <m:oMath>
        <m:sSub>
          <m:e>
            <m:r>
              <m:rPr>
                <m:sty m:val="b"/>
              </m:rPr>
              <m:t>X</m:t>
            </m:r>
          </m:e>
          <m:sub>
            <m:r>
              <m:rPr>
                <m:sty m:val="b"/>
              </m:rPr>
              <m:t>t</m:t>
            </m:r>
          </m:sub>
        </m:sSub>
      </m:oMath>
      <w:r>
        <w:t xml:space="preserve"> </w:t>
      </w:r>
      <w:r>
        <w:t xml:space="preserve">is a</w:t>
      </w:r>
      <w:r>
        <w:t xml:space="preserve"> </w:t>
      </w:r>
      <m:oMath>
        <m:r>
          <m:t>N</m:t>
        </m:r>
        <m:r>
          <m:rPr>
            <m:nor/>
            <m:sty m:val="p"/>
          </m:rPr>
          <m:t>-by-</m:t>
        </m:r>
        <m:r>
          <m:t>k</m:t>
        </m:r>
      </m:oMath>
      <w:r>
        <w:t xml:space="preserve"> </w:t>
      </w:r>
      <w:r>
        <w:t xml:space="preserve">collection of observations on control variables for each region. 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 Additionally,</w:t>
      </w:r>
      <w:r>
        <w:t xml:space="preserve"> </w:t>
      </w:r>
      <m:oMath>
        <m:r>
          <m:rPr>
            <m:sty m:val="b"/>
          </m:rPr>
          <m:t>W</m:t>
        </m:r>
        <m:sSub>
          <m:e>
            <m:r>
              <m:rPr>
                <m:sty m:val="b"/>
              </m:rPr>
              <m:t>X</m:t>
            </m:r>
          </m:e>
          <m:sub>
            <m:r>
              <m:rPr>
                <m:sty m:val="b"/>
              </m:rPr>
              <m:t>t</m:t>
            </m:r>
          </m:sub>
        </m:sSub>
      </m:oMath>
      <w:r>
        <w:t xml:space="preserve"> </w:t>
      </w:r>
      <w:r>
        <w:t xml:space="preserve">denotes a</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 The vector</w:t>
      </w:r>
      <w:r>
        <w:t xml:space="preserve"> </w:t>
      </w:r>
      <m:oMath>
        <m:r>
          <m:rPr>
            <m:sty m:val="b"/>
          </m:rPr>
          <m:t>γ</m:t>
        </m:r>
      </m:oMath>
      <w:r>
        <w:t xml:space="preserve"> </w:t>
      </w:r>
      <w:r>
        <w:t xml:space="preserve">represents the regression coefficients associated with these spatial lags. 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level of NTL, and the NTL growth, respectively. Finally,</w:t>
      </w:r>
      <w:r>
        <w:t xml:space="preserve"> </w:t>
      </w:r>
      <m:oMath>
        <m:sSub>
          <m:e>
            <m:r>
              <m:rPr>
                <m:sty m:val="b"/>
              </m:rPr>
              <m:t>ε</m:t>
            </m:r>
          </m:e>
          <m:sub>
            <m:r>
              <m:rPr>
                <m:sty m:val="b"/>
              </m:rPr>
              <m:t>t</m:t>
            </m:r>
          </m:sub>
        </m:sSub>
      </m:oMath>
      <w:r>
        <w:t xml:space="preserve"> </w:t>
      </w:r>
      <w:r>
        <w:t xml:space="preserve">represents a vector of idiosyncratic error terms.</w:t>
      </w:r>
    </w:p>
    <w:bookmarkEnd w:id="34"/>
    <w:bookmarkEnd w:id="35"/>
    <w:bookmarkStart w:id="79" w:name="results"/>
    <w:p>
      <w:pPr>
        <w:pStyle w:val="Heading2"/>
      </w:pPr>
      <w:r>
        <w:t xml:space="preserve">Results</w:t>
      </w:r>
    </w:p>
    <w:bookmarkStart w:id="54"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conduct three exercises to visually illustrate the concepts of growth and convergence in nighttime lights. First, we create an interactive map of India displaying regional luminosity levels for 1996 and 2010.</w:t>
      </w:r>
      <w:r>
        <w:rPr>
          <w:rStyle w:val="FootnoteReference"/>
        </w:rPr>
        <w:footnoteReference w:id="36"/>
      </w:r>
      <w:r>
        <w:t xml:space="preserve"> </w:t>
      </w:r>
      <w:r>
        <w:t xml:space="preserve">Second, we examine absolute convergence by constructing a scatterplot that depicts the relationship between per capita growth rates in nighttime lights (1996–2010) and the initial per capita nighttime light levels (1996) at the district level. Finally, we use case studies to illustrate the nighttime light growth that occurred during our study period. Focusing on some of the poorest regions in the country, we show an increase in nighttime lights that aligns with our convergence hypothesis.</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5334000" cy="3030721"/>
                  <wp:effectExtent b="0" l="0" r="0" t="0"/>
                  <wp:docPr descr="" title="" id="39" name="Picture"/>
                  <a:graphic>
                    <a:graphicData uri="http://schemas.openxmlformats.org/drawingml/2006/picture">
                      <pic:pic>
                        <pic:nvPicPr>
                          <pic:cNvPr descr="images/luminosity_map.png" id="40" name="Picture"/>
                          <pic:cNvPicPr>
                            <a:picLocks noChangeArrowheads="1" noChangeAspect="1"/>
                          </pic:cNvPicPr>
                        </pic:nvPicPr>
                        <pic:blipFill>
                          <a:blip r:embed="rId38"/>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 https://bit.ly/india-rc-ntl .</w:t>
            </w:r>
            <w:r>
              <w:t xml:space="preserve"> </w:t>
            </w:r>
            <w:r>
              <w:t xml:space="preserve"> </w:t>
            </w:r>
            <w:r>
              <w:t xml:space="preserve">Source: Authors’ visualization using pre-processed luminosity images from the Earth Observation Group (NOAA/NCEI). See</w:t>
            </w:r>
            <w:r>
              <w:t xml:space="preserve"> </w:t>
            </w:r>
            <w:hyperlink r:id="rId41">
              <w:r>
                <w:rPr>
                  <w:rStyle w:val="Hyperlink"/>
                </w:rPr>
                <w:t xml:space="preserve">View from outer space</w:t>
              </w:r>
            </w:hyperlink>
            <w:r>
              <w:t xml:space="preserve"> </w:t>
            </w:r>
            <w:r>
              <w:t xml:space="preserve">notebook for source code.</w:t>
            </w:r>
          </w:p>
          <w:bookmarkEnd w:id="42"/>
        </w:tc>
      </w:tr>
    </w:tbl>
    <w:p>
      <w:pPr>
        <w:pStyle w:val="BodyText"/>
      </w:pPr>
      <w:r>
        <w:t xml:space="preserve">Figure 1 presents static maps (captured from our interactive maps) of luminosity for our boundary years (1996 and 2010), using the same index scale for comparison. The maps show a noticeable increase in brightness across most parts of the country in 2010. Since nighttime lights serve as a proxy for economic activity, this increase in luminosity reflects economic growth over the period. Figure 2 illustrates the relationship between per capita growth in nighttime lights and initial per capita nighttime light levels. The scatterplot shows an inverse relationship, suggesting a</w:t>
      </w:r>
      <w:r>
        <w:t xml:space="preserve"> </w:t>
      </w:r>
      <m:oMath>
        <m:r>
          <m:t>β</m:t>
        </m:r>
      </m:oMath>
      <w:r>
        <w:t xml:space="preserve">-convergence rate of approximately 2%, consistent with Barro’s</w:t>
      </w:r>
      <w:r>
        <w:t xml:space="preserve"> </w:t>
      </w:r>
      <w:r>
        <w:t xml:space="preserve">“Iron Law”</w:t>
      </w:r>
      <w:r>
        <w:t xml:space="preserve"> </w:t>
      </w:r>
      <w:r>
        <w:t xml:space="preserve">of convergence.</w:t>
      </w:r>
    </w:p>
    <w:tbl>
      <w:tblPr>
        <w:tblStyle w:val="Table"/>
        <w:tblW w:type="pct" w:w="5000"/>
        <w:tblLayout w:type="fixed"/>
        <w:tblLook w:firstRow="0" w:lastRow="0" w:firstColumn="0" w:lastColumn="0" w:noHBand="0" w:noVBand="0" w:val="0000"/>
      </w:tblPr>
      <w:tblGrid>
        <w:gridCol w:w="7920"/>
      </w:tblGrid>
      <w:tr>
        <w:tc>
          <w:tcPr/>
          <w:bookmarkStart w:id="46" w:name="fig-map2"/>
          <w:p>
            <w:pPr>
              <w:pStyle w:val="Compact"/>
              <w:jc w:val="center"/>
            </w:pPr>
            <w:r>
              <w:drawing>
                <wp:inline>
                  <wp:extent cx="4000500" cy="7241369"/>
                  <wp:effectExtent b="0" l="0" r="0" t="0"/>
                  <wp:docPr descr="" title="" id="44" name="Picture"/>
                  <a:graphic>
                    <a:graphicData uri="http://schemas.openxmlformats.org/drawingml/2006/picture">
                      <pic:pic>
                        <pic:nvPicPr>
                          <pic:cNvPr descr="images/luminosity_map2.png" id="45" name="Picture"/>
                          <pic:cNvPicPr>
                            <a:picLocks noChangeArrowheads="1" noChangeAspect="1"/>
                          </pic:cNvPicPr>
                        </pic:nvPicPr>
                        <pic:blipFill>
                          <a:blip r:embed="rId43"/>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Some illustrative examples of regional convergence</w:t>
            </w:r>
            <w:r>
              <w:t xml:space="preserve"> </w:t>
            </w:r>
            <w:r>
              <w:t xml:space="preserve"> </w:t>
            </w:r>
            <w:r>
              <w:t xml:space="preserve">Notes: Luminosity is measured in radiance-calibrated digital number (DN) values from DMSP-OLS satellites. Interactive web application available at https://bit.ly/india-rc-ntl .</w:t>
            </w:r>
            <w:r>
              <w:t xml:space="preserve"> </w:t>
            </w:r>
            <w:r>
              <w:t xml:space="preserve"> </w:t>
            </w:r>
            <w:r>
              <w:t xml:space="preserve">Source: Authors’ visualization using pre-processed luminosity images from the Earth Observation Group (NOAA/NCEI). See</w:t>
            </w:r>
            <w:r>
              <w:t xml:space="preserve"> </w:t>
            </w:r>
            <w:hyperlink r:id="rId41">
              <w:r>
                <w:rPr>
                  <w:rStyle w:val="Hyperlink"/>
                </w:rPr>
                <w:t xml:space="preserve">View from outer space</w:t>
              </w:r>
            </w:hyperlink>
            <w:r>
              <w:t xml:space="preserve"> </w:t>
            </w:r>
            <w:r>
              <w:t xml:space="preserve">notebook for source code.</w:t>
            </w:r>
          </w:p>
          <w:bookmarkEnd w:id="46"/>
        </w:tc>
      </w:tr>
    </w:tbl>
    <w:p>
      <w:pPr>
        <w:pStyle w:val="BodyText"/>
      </w:pPr>
      <w:r>
        <w:t xml:space="preserve">Next, we examine case studies of three economically disadvantaged states in India to illustrate their growth patterns over the study period. Among these, Bihar is the poorest, with a per capita income at 39.2% of the national average, while Uttar Pradesh and Chhattisgarh have per capita incomes of 43.8% and 52.3% of the national average, respectively.</w:t>
      </w:r>
      <w:r>
        <w:rPr>
          <w:rStyle w:val="FootnoteReference"/>
        </w:rPr>
        <w:footnoteReference w:id="47"/>
      </w:r>
      <w:r>
        <w:t xml:space="preserve"> </w:t>
      </w:r>
      <w:r>
        <w:t xml:space="preserve">Figure 3 displays the change in luminosity in these three states during our study period. 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52" w:name="fig-convergence"/>
          <w:p>
            <w:pPr>
              <w:pStyle w:val="Compact"/>
              <w:jc w:val="center"/>
            </w:pPr>
            <w:r>
              <w:drawing>
                <wp:inline>
                  <wp:extent cx="4000500" cy="4000500"/>
                  <wp:effectExtent b="0" l="0" r="0" t="0"/>
                  <wp:docPr descr="" title="" id="49" name="Picture"/>
                  <a:graphic>
                    <a:graphicData uri="http://schemas.openxmlformats.org/drawingml/2006/picture">
                      <pic:pic>
                        <pic:nvPicPr>
                          <pic:cNvPr descr="index_files/figure-docx/notebooks-c02_regional_convergence_sc-fig-convergence-output-2.png" id="50" name="Picture"/>
                          <pic:cNvPicPr>
                            <a:picLocks noChangeArrowheads="1" noChangeAspect="1"/>
                          </pic:cNvPicPr>
                        </pic:nvPicPr>
                        <pic:blipFill>
                          <a:blip r:embed="rId48"/>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51">
              <w:r>
                <w:rPr>
                  <w:rStyle w:val="Hyperlink"/>
                </w:rPr>
                <w:t xml:space="preserve">Regional convergence</w:t>
              </w:r>
            </w:hyperlink>
            <w:r>
              <w:t xml:space="preserve"> </w:t>
            </w:r>
            <w:r>
              <w:t xml:space="preserve">notebook for source code.</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Setup</w:t>
        </w:r>
      </w:hyperlink>
    </w:p>
    <w:bookmarkEnd w:id="54"/>
    <w:bookmarkStart w:id="76"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it is instructive to examine the spatial distribution of the variables under study. Choropleth maps provide a natural tool for this purpose, as they allow researchers to visualize how a variable of interest varies across geographic units and to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per capita in 1996 and the subsequent growth rate of luminosity per capita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59" w:name="fig-chorophleths"/>
          <w:p>
            <w:pPr>
              <w:pStyle w:val="Compact"/>
              <w:jc w:val="center"/>
            </w:pPr>
            <w:r>
              <w:drawing>
                <wp:inline>
                  <wp:extent cx="5334000" cy="2760285"/>
                  <wp:effectExtent b="0" l="0" r="0" t="0"/>
                  <wp:docPr descr="" title="" id="56" name="Picture"/>
                  <a:graphic>
                    <a:graphicData uri="http://schemas.openxmlformats.org/drawingml/2006/picture">
                      <pic:pic>
                        <pic:nvPicPr>
                          <pic:cNvPr descr="index_files/figure-docx/notebooks-c03_spatial_dependence_lisa-fig-chorophleths-output-1.png" id="57" name="Picture"/>
                          <pic:cNvPicPr>
                            <a:picLocks noChangeArrowheads="1" noChangeAspect="1"/>
                          </pic:cNvPicPr>
                        </pic:nvPicPr>
                        <pic:blipFill>
                          <a:blip r:embed="rId55"/>
                          <a:stretch>
                            <a:fillRect/>
                          </a:stretch>
                        </pic:blipFill>
                        <pic:spPr bwMode="auto">
                          <a:xfrm>
                            <a:off x="0" y="0"/>
                            <a:ext cx="5334000" cy="27602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58">
              <w:r>
                <w:rPr>
                  <w:rStyle w:val="Hyperlink"/>
                </w:rPr>
                <w:t xml:space="preserve">Spatial dependence</w:t>
              </w:r>
            </w:hyperlink>
            <w:r>
              <w:t xml:space="preserve"> </w:t>
            </w:r>
            <w:r>
              <w:t xml:space="preserve">notebook for source code.</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Setup</w:t>
        </w:r>
      </w:hyperlink>
    </w:p>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 Panel (a) shows that initial luminosity levels are concentrated in specific geographic corridors, with higher values clustered along western coastal areas while large portions of central and eastern India exhibit substantially lower luminosity. Panel (b), which displays the growth rate of luminosity per capita over the study period, presents a pattern that is largely the inverse of the initial distribution: districts that were initially bright tend to exhibit lower growth rates, whereas districts that were initially dim tend to grow at a faster rate. 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 This neighborhood structure is specified through a spatial weight matrix, which encodes the connectivity between geographic units. In this study, we adopt a six nearest neighbors weight matrix, whereby for each of the 520 districts, the six geographically closest districts are identified as its neighbors. 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64" w:name="fig-wmatrix6nn"/>
          <w:p>
            <w:pPr>
              <w:pStyle w:val="Compact"/>
              <w:jc w:val="center"/>
            </w:pPr>
            <w:r>
              <w:drawing>
                <wp:inline>
                  <wp:extent cx="5334000" cy="5053263"/>
                  <wp:effectExtent b="0" l="0" r="0" t="0"/>
                  <wp:docPr descr="" title="" id="62" name="Picture"/>
                  <a:graphic>
                    <a:graphicData uri="http://schemas.openxmlformats.org/drawingml/2006/picture">
                      <pic:pic>
                        <pic:nvPicPr>
                          <pic:cNvPr descr="index_files/figure-docx/notebooks-c03_spatial_dependence_lisa-fig-wmatrix6nn-output-1.png" id="63" name="Picture"/>
                          <pic:cNvPicPr>
                            <a:picLocks noChangeArrowheads="1" noChangeAspect="1"/>
                          </pic:cNvPicPr>
                        </pic:nvPicPr>
                        <pic:blipFill>
                          <a:blip r:embed="rId61"/>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58">
              <w:r>
                <w:rPr>
                  <w:rStyle w:val="Hyperlink"/>
                </w:rPr>
                <w:t xml:space="preserve">Spatial dependence</w:t>
              </w:r>
            </w:hyperlink>
            <w:r>
              <w:t xml:space="preserve"> </w:t>
            </w:r>
            <w:r>
              <w:t xml:space="preserve">notebook for source code.</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Setup</w:t>
        </w:r>
      </w:hyperlink>
    </w:p>
    <w:p>
      <w:pPr>
        <w:pStyle w:val="BodyText"/>
      </w:pPr>
      <w:r>
        <w:t xml:space="preserve">With the neighborhood of each district defined, we can formally assess the degree of spatial dependence in both variables. The notion of spatial dependence can be understood through two complementary concepts: first, the overall degree of spatial clustering in the data, and second, the specific locations of statistically significant clusters and spatial outliers. The Global Moran’s I statistic captures the first of these concepts. It usually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 In the context of our data, the Moran’s I for initial luminosity per capita is 0.73 (</w:t>
      </w:r>
      <m:oMath>
        <m:r>
          <m:t>p</m:t>
        </m:r>
        <m:r>
          <m:rPr>
            <m:sty m:val="p"/>
          </m:rPr>
          <m:t>=</m:t>
        </m:r>
        <m:r>
          <m:t>0.001</m:t>
        </m:r>
      </m:oMath>
      <w:r>
        <w:t xml:space="preserve">), indicating a strong degree of positive spatial autocorrelation—districts with high (low) initial luminosity tend to be surrounded by districts that also exhibit high (low) initial luminosity. Similarly, the Moran’s I for luminosity growth is 0.60 (</w:t>
      </w:r>
      <m:oMath>
        <m:r>
          <m:t>p</m:t>
        </m:r>
        <m:r>
          <m:rPr>
            <m:sty m:val="p"/>
          </m:rPr>
          <m:t>=</m:t>
        </m:r>
        <m:r>
          <m:t>0.001</m:t>
        </m:r>
      </m:oMath>
      <w:r>
        <w:t xml:space="preserve">), confirming that the growth rates of neighboring districts are also significantly correlated. 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where the significant clusters and outliers are located. To address this, we employ Local Indicators of Spatial Association (LISA), which decompose the global statistic into district-level contributions and classify each district into one of four categories: High-High (HH), indicating a district with a high value surrounded by neighbors with similarly high values; Low-Low (LL), indicating a low-value district surrounded by low-value neighbors; High-Low (HL), a spatial outlier where a high-value district is surrounded by low-value neighbors; and Low-High (LH),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 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69" w:name="fig-dependence-initial"/>
          <w:p>
            <w:pPr>
              <w:pStyle w:val="Compact"/>
              <w:jc w:val="center"/>
            </w:pPr>
            <w:r>
              <w:drawing>
                <wp:inline>
                  <wp:extent cx="5334000" cy="2637866"/>
                  <wp:effectExtent b="0" l="0" r="0" t="0"/>
                  <wp:docPr descr="" title="" id="67" name="Picture"/>
                  <a:graphic>
                    <a:graphicData uri="http://schemas.openxmlformats.org/drawingml/2006/picture">
                      <pic:pic>
                        <pic:nvPicPr>
                          <pic:cNvPr descr="index_files/figure-docx/notebooks-c03_spatial_dependence_lisa-fig-dependence-initial-output-1.png" id="68" name="Picture"/>
                          <pic:cNvPicPr>
                            <a:picLocks noChangeArrowheads="1" noChangeAspect="1"/>
                          </pic:cNvPicPr>
                        </pic:nvPicPr>
                        <pic:blipFill>
                          <a:blip r:embed="rId66"/>
                          <a:stretch>
                            <a:fillRect/>
                          </a:stretch>
                        </pic:blipFill>
                        <pic:spPr bwMode="auto">
                          <a:xfrm>
                            <a:off x="0" y="0"/>
                            <a:ext cx="5334000" cy="26378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8">
              <w:r>
                <w:rPr>
                  <w:rStyle w:val="Hyperlink"/>
                </w:rPr>
                <w:t xml:space="preserve">Spatial dependence</w:t>
              </w:r>
            </w:hyperlink>
            <w:r>
              <w:t xml:space="preserve"> </w:t>
            </w:r>
            <w:r>
              <w:t xml:space="preserve">notebook for source code.</w:t>
            </w:r>
          </w:p>
          <w:bookmarkEnd w:id="69"/>
        </w:tc>
      </w:tr>
    </w:tbl>
    <w:p>
      <w:pPr>
        <w:pStyle w:val="BodyText"/>
      </w:pPr>
      <w:r>
        <w:rPr>
          <w:vertAlign w:val="subscript"/>
        </w:rPr>
        <w:t xml:space="preserve">Source:</w:t>
      </w:r>
      <w:r>
        <w:rPr>
          <w:vertAlign w:val="subscript"/>
        </w:rPr>
        <w:t xml:space="preserve"> </w:t>
      </w:r>
      <w:hyperlink r:id="rId70">
        <w:r>
          <w:rPr>
            <w:rStyle w:val="Hyperlink"/>
            <w:vertAlign w:val="subscript"/>
          </w:rPr>
          <w:t xml:space="preserve">Setup</w:t>
        </w:r>
      </w:hyperlink>
    </w:p>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 Regions that were classified as HH clusters in initial luminosity—the brightest districts and their neighbors—tend to appear as LL clusters in luminosity growth, indicating that these initially prosperous areas experienced relatively slower growth over the study period. Conversely, districts that formed LL clusters in initial luminosity—the dimmest regions—tend to emerge as HH clusters in growth, reflecting faster catch-up growth in initially lagging areas. This spatial inversion between the initial level and subsequent growth of luminosity is the spatial signature of the convergence process: initially red regions in the luminosity map become blue regions in the growth map, and vice versa. These local spatial patterns provide visual evidence that spatial dependence is a prominent feature of the regional convergence process observed in India, motivating the use of spatial econometric methods to formally account for these inter-district spillovers in the analysis that follows.</w:t>
      </w:r>
    </w:p>
    <w:tbl>
      <w:tblPr>
        <w:tblStyle w:val="Table"/>
        <w:tblW w:type="pct" w:w="5000"/>
        <w:tblLayout w:type="fixed"/>
        <w:tblLook w:firstRow="0" w:lastRow="0" w:firstColumn="0" w:lastColumn="0" w:noHBand="0" w:noVBand="0" w:val="0000"/>
      </w:tblPr>
      <w:tblGrid>
        <w:gridCol w:w="7920"/>
      </w:tblGrid>
      <w:tr>
        <w:tc>
          <w:tcPr/>
          <w:bookmarkStart w:id="74" w:name="fig-dependence-growth"/>
          <w:p>
            <w:pPr>
              <w:pStyle w:val="Compact"/>
              <w:jc w:val="center"/>
            </w:pPr>
            <w:r>
              <w:drawing>
                <wp:inline>
                  <wp:extent cx="5334000" cy="2640489"/>
                  <wp:effectExtent b="0" l="0" r="0" t="0"/>
                  <wp:docPr descr="" title="" id="72" name="Picture"/>
                  <a:graphic>
                    <a:graphicData uri="http://schemas.openxmlformats.org/drawingml/2006/picture">
                      <pic:pic>
                        <pic:nvPicPr>
                          <pic:cNvPr descr="index_files/figure-docx/notebooks-c03_spatial_dependence_lisa-fig-dependence-growth-output-1.png" id="73" name="Picture"/>
                          <pic:cNvPicPr>
                            <a:picLocks noChangeArrowheads="1" noChangeAspect="1"/>
                          </pic:cNvPicPr>
                        </pic:nvPicPr>
                        <pic:blipFill>
                          <a:blip r:embed="rId71"/>
                          <a:stretch>
                            <a:fillRect/>
                          </a:stretch>
                        </pic:blipFill>
                        <pic:spPr bwMode="auto">
                          <a:xfrm>
                            <a:off x="0" y="0"/>
                            <a:ext cx="5334000" cy="264048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8">
              <w:r>
                <w:rPr>
                  <w:rStyle w:val="Hyperlink"/>
                </w:rPr>
                <w:t xml:space="preserve">Spatial dependence</w:t>
              </w:r>
            </w:hyperlink>
            <w:r>
              <w:t xml:space="preserve"> </w:t>
            </w:r>
            <w:r>
              <w:t xml:space="preserve">notebook for source code.</w:t>
            </w:r>
          </w:p>
          <w:bookmarkEnd w:id="74"/>
        </w:tc>
      </w:tr>
    </w:tbl>
    <w:p>
      <w:pPr>
        <w:pStyle w:val="BodyText"/>
      </w:pPr>
      <w:r>
        <w:rPr>
          <w:vertAlign w:val="subscript"/>
        </w:rPr>
        <w:t xml:space="preserve">Source:</w:t>
      </w:r>
      <w:r>
        <w:rPr>
          <w:vertAlign w:val="subscript"/>
        </w:rPr>
        <w:t xml:space="preserve"> </w:t>
      </w:r>
      <w:hyperlink r:id="rId75">
        <w:r>
          <w:rPr>
            <w:rStyle w:val="Hyperlink"/>
            <w:vertAlign w:val="subscript"/>
          </w:rPr>
          <w:t xml:space="preserve">Setup</w:t>
        </w:r>
      </w:hyperlink>
    </w:p>
    <w:bookmarkEnd w:id="76"/>
    <w:bookmarkStart w:id="78"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 with both conventional OLS and spatial econometric approaches indicating significant negative relationships between initial luminosity levels and subsequent growth rates. The direct effects, representing within-district convergence, remain stable across specifications, ranging from -0.020 to -0.026. This consistency across different model specifications and estimation methods provides evidence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77"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-2290</w:t>
                  </w:r>
                </w:p>
              </w:tc>
              <w:tc>
                <w:tcPr/>
                <w:p>
                  <w:pPr>
                    <w:pStyle w:val="Compact"/>
                    <w:jc w:val="center"/>
                  </w:pPr>
                  <w:r>
                    <w:t xml:space="preserve">-2413</w:t>
                  </w:r>
                </w:p>
              </w:tc>
              <w:tc>
                <w:tcPr/>
                <w:p>
                  <w:pPr>
                    <w:pStyle w:val="Compact"/>
                    <w:jc w:val="center"/>
                  </w:pPr>
                  <w:r>
                    <w:t xml:space="preserve">-2466</w:t>
                  </w:r>
                </w:p>
              </w:tc>
              <w:tc>
                <w:tcPr/>
                <w:p>
                  <w:pPr>
                    <w:pStyle w:val="Compact"/>
                    <w:jc w:val="center"/>
                  </w:pPr>
                  <w:r>
                    <w:t xml:space="preserve">-2211</w:t>
                  </w:r>
                </w:p>
              </w:tc>
              <w:tc>
                <w:tcPr/>
                <w:p>
                  <w:pPr>
                    <w:pStyle w:val="Compact"/>
                    <w:jc w:val="center"/>
                  </w:pPr>
                  <w:r>
                    <w:t xml:space="preserve">-2356</w:t>
                  </w:r>
                </w:p>
              </w:tc>
              <w:tc>
                <w:tcPr/>
                <w:p>
                  <w:pPr>
                    <w:pStyle w:val="Compact"/>
                    <w:jc w:val="center"/>
                  </w:pPr>
                  <w:r>
                    <w:t xml:space="preserve">-2469</w:t>
                  </w:r>
                </w:p>
              </w:tc>
              <w:tc>
                <w:tcPr/>
                <w:p>
                  <w:pPr>
                    <w:pStyle w:val="Compact"/>
                    <w:jc w:val="center"/>
                  </w:pPr>
                  <w:r>
                    <w:t xml:space="preserve">-2499</w:t>
                  </w:r>
                </w:p>
              </w:tc>
            </w:tr>
          </w:tbl>
          <w:bookmarkEnd w:id="77"/>
          <w:p/>
        </w:tc>
      </w:tr>
    </w:tbl>
    <w:p>
      <w:pPr>
        <w:pStyle w:val="BodyText"/>
      </w:pPr>
      <w:r>
        <w:t xml:space="preserve">The progression from unconditional to conditional specifications reveals how the estimated convergence process is shaped by the inclusion of additional covariates. In the simplest unconditional models (Models 1 and 2), direct effects range from -0.020 to -0.022, while in the conditional models that incorporate district-level controls (Models 3 and 4), direct effects increase in magnitude to -0.025 and -0.026. This pattern suggests that omitting district characteristics attenuates the estimated speed of convergence, and that once we account for structural differences across districts—such as population density, urbanization, or sectoral composition—the underlying tendency for poorer districts to catch up becomes more pronounced. 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Importantly, the spatial Durbin model reveals spatial spillover effects that are not captured by traditional OLS estimations. These indirect effects, which capture the influence of neighboring districts’ initial conditions on a district’s growth rate, follow a revealing pattern across specifications. In the unconditional models (Models 1 and 2), the estimated indirect effects are negligible and statistically insignificant (-0.001 in both cases), suggesting that without proper controls, spatial spillovers are confounded with omitted variables. However, once district-level controls are introduced (Models 3 and 4), the indirect effects become both larger in magnitude and statistically significant, reaching -0.015 in Model 3 and -0.012 in our most comprehensive Model 4. This emergence of significant spillover effects in the conditional specifications indicates that identifiable spatial channels of convergence—through which the economic conditions of neighboring districts influence local growth—become identifiable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 In our fully specified model (Model 4), the total convergence effect in the spatial Durbin model (-0.037) is approximately 48% larger than the OLS estimate (-0.025). This gap is even more pronounced in Model 3, where the SDM total effect (-0.041) exceeds the corresponding OLS estimate (-0.025) by 64%, highlighting that spatial spillovers can constitute a substantial share of the overall convergence process. 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 The Akaike Information Criterion (AIC) consistently favors the spatial Durbin model over OLS across all four specifications, with the most comprehensive model (Model 4 SDM) achieving the lowest AIC value of -2499 compared to -2469 for the corresponding OLS. Notably, the improvement from incorporating spatial structure is most pronounced in the unconditional specification (Model 1), where the AIC drops by 345 units when moving from OLS to SDM, reflecting the large amount of spatial dependence left unmodeled by ordinary regression. Even in the fully specified model, where state fixed effects already absorb much of the spatial heterogeneity, the SDM retains a meaningful advantage. Taken together, these results suggest that regional convergence in India operates not only through district-specific factors but also through spatial interactions between neighboring districts, and that ignoring these interactions leads to both underestimated convergence speeds and inferior model performance.</w:t>
      </w:r>
    </w:p>
    <w:bookmarkEnd w:id="78"/>
    <w:bookmarkEnd w:id="79"/>
    <w:bookmarkStart w:id="83" w:name="discussion"/>
    <w:p>
      <w:pPr>
        <w:pStyle w:val="Heading2"/>
      </w:pPr>
      <w:r>
        <w:t xml:space="preserve">Discussion</w:t>
      </w:r>
    </w:p>
    <w:bookmarkStart w:id="80"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 This dataset has been widely validated as a proxy for economic activity</w:t>
      </w:r>
      <w:r>
        <w:t xml:space="preserve"> </w:t>
      </w:r>
      <w:r>
        <w:t xml:space="preserve">(Henderson, Storeygard, and Weil 2012; X. Chen and Nordhaus 2011)</w:t>
      </w:r>
      <w:r>
        <w:t xml:space="preserve">. Nevertheless, DMSP-OLS data suffer from well-documented limitations including top-coding in bright urban cores, lack of on-board calibration leading to inter-satellite inconsistencies, and blooming artifacts that spatially blur light sources beyond their true boundaries</w:t>
      </w:r>
      <w:r>
        <w:t xml:space="preserve"> </w:t>
      </w:r>
      <w:r>
        <w:t xml:space="preserve">(Abrahams, Oram, and Lozano-Gracia 2018)</w:t>
      </w:r>
      <w:r>
        <w:t xml:space="preserve">. These measurement issues can attenuate the precision of convergence estimates, particularly in rapidly urbanizing districts where saturation may mask growth variation.</w:t>
      </w:r>
    </w:p>
    <w:p>
      <w:pPr>
        <w:pStyle w:val="BodyText"/>
      </w:pPr>
      <w:r>
        <w:t xml:space="preserve">The Visible Infrared Imaging Radiometer Suite (VIIRS) Day/Night Band, operational since 2012, represents a substantial improvement over DMSP-OLS along multiple dimensions. VIIRS offers finer spatial resolution (approximately 750 meters versus 2.7 kilometers), on-board radiometric calibration that provides consistent quantitative measurements, and a wider dynamic range that avoids saturation in urban areas while detecting dim lights in rural settlements</w:t>
      </w:r>
      <w:r>
        <w:t xml:space="preserve"> </w:t>
      </w:r>
      <w:r>
        <w:t xml:space="preserve">(Elvidge et al. 2017)</w:t>
      </w:r>
      <w:r>
        <w:t xml:space="preserve">. Comparative evaluations have shown that VIIRS explains 10 to 15 percentage points more variation in subnational economic activity than DMSP-OLS</w:t>
      </w:r>
      <w:r>
        <w:t xml:space="preserve"> </w:t>
      </w:r>
      <w:r>
        <w:t xml:space="preserve">(X. Chen and Nordhaus 2015)</w:t>
      </w:r>
      <w:r>
        <w:t xml:space="preserve">. Systematic assessments recommend VIIRS as the preferred product for cross-sectional and recent time-series studies</w:t>
      </w:r>
      <w:r>
        <w:t xml:space="preserve"> </w:t>
      </w:r>
      <w:r>
        <w:t xml:space="preserve">(Gibson et al. 2021)</w:t>
      </w:r>
      <w:r>
        <w:t xml:space="preserve">. Future extensions of our convergence analysis using VIIRS data could yield more precise estimates of both direct and indirect effects, particularly in districts where DMSP saturation may have compressed the measured distribution of luminosity.</w:t>
      </w:r>
    </w:p>
    <w:p>
      <w:pPr>
        <w:pStyle w:val="BodyText"/>
      </w:pPr>
      <w:r>
        <w:t xml:space="preserve">A practical challenge for extending long-run convergence studies is the discontinuity between DMSP (1992–2013) and VIIRS (2012–present) sensor eras. Recent harmonization efforts, notably the global harmonized nighttime light dataset by</w:t>
      </w:r>
      <w:r>
        <w:t xml:space="preserve"> </w:t>
      </w:r>
      <w:r>
        <w:t xml:space="preserve">Li et al. (2020)</w:t>
      </w:r>
      <w:r>
        <w:t xml:space="preserve">, have created consistent 27-year time series by calibrating VIIRS observations to DMSP-equivalent units during the overlap period. Such harmonized datasets could enable the extension of our spatial Durbin analysis to more recent periods, allowing researchers to examine whether the convergence patterns and spatial spillovers documented here have persisted, accelerated, or changed in character as India’s economy has continued to transform.</w:t>
      </w:r>
    </w:p>
    <w:bookmarkEnd w:id="80"/>
    <w:bookmarkStart w:id="81"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 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 The regression tree methods developed by</w:t>
      </w:r>
      <w:r>
        <w:t xml:space="preserve"> </w:t>
      </w:r>
      <w:r>
        <w:t xml:space="preserve">Durlauf and Johnson (1995)</w:t>
      </w:r>
      <w:r>
        <w:t xml:space="preserve"> </w:t>
      </w:r>
      <w:r>
        <w:t xml:space="preserve">for identifying multiple growth regimes could be combined with spatial econometric techniques to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 Indeed, satellite nighttime light data have already been used to document convergence clubs and spatial dependence across subnational regions in ASEAN</w:t>
      </w:r>
      <w:r>
        <w:t xml:space="preserve"> </w:t>
      </w:r>
      <w:r>
        <w:t xml:space="preserve">(Mendez and Santos-Marquez 2020)</w:t>
      </w:r>
      <w:r>
        <w:t xml:space="preserve">, while convergence club methods have revealed distinct growth regimes across Indonesian districts</w:t>
      </w:r>
      <w:r>
        <w:t xml:space="preserve"> </w:t>
      </w:r>
      <w:r>
        <w:t xml:space="preserve">(Aginta, Gunawan, and Mendez 2023)</w:t>
      </w:r>
      <w:r>
        <w:t xml:space="preserve"> </w:t>
      </w:r>
      <w:r>
        <w:t xml:space="preserve">and structural convergence patterns across European regions</w:t>
      </w:r>
      <w:r>
        <w:t xml:space="preserve"> </w:t>
      </w:r>
      <w:r>
        <w:t xml:space="preserve">(Cutrini and Mendez 2023)</w:t>
      </w:r>
      <w:r>
        <w:t xml:space="preserve">. 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 Extending these multi-country insights to the Indian district context could help determine whether the convergence patterns we document reflect a single equilibrium or mask the formation of distinct spatial clubs.</w:t>
      </w:r>
    </w:p>
    <w:p>
      <w:pPr>
        <w:pStyle w:val="BodyText"/>
      </w:pPr>
      <w:r>
        <w:t xml:space="preserve">A second important direction concerns the causal identification of the spillover channels that our spatial Durbin model captures in reduced form. While our estimates document significant indirect effects, the model does not identify whether these spillovers operate through infrastructure linkages, labor migration, technology diffusion, or market access channels. 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 Understanding which channels drive the indirect convergence effects is important for designing spatially targeted policies that may amplify positive spillovers. Comparative evidence from other developing economies suggests that spatial dependence in regional convergence is a widespread phenomenon rather than an India-specific feature. Studies have documented significant spatial spillover effects in convergence processes across Thailand</w:t>
      </w:r>
      <w:r>
        <w:t xml:space="preserve"> </w:t>
      </w:r>
      <w:r>
        <w:t xml:space="preserve">(Tipayalai and Mendez 2022)</w:t>
      </w:r>
      <w:r>
        <w:t xml:space="preserve">, Turkey</w:t>
      </w:r>
      <w:r>
        <w:t xml:space="preserve"> </w:t>
      </w:r>
      <w:r>
        <w:t xml:space="preserve">(Ursavas and Mendez 2022)</w:t>
      </w:r>
      <w:r>
        <w:t xml:space="preserve">, and Indonesian districts</w:t>
      </w:r>
      <w:r>
        <w:t xml:space="preserve"> </w:t>
      </w:r>
      <w:r>
        <w:t xml:space="preserve">(Miranti and Mendez 2022)</w:t>
      </w:r>
      <w:r>
        <w:t xml:space="preserve">, with neighbor effects and spatial conditioning factors playing important roles in shaping convergence trajectories. This cross-country regularity strengthens the case for systematic investigation of the specific mechanisms driving spatial spillovers, as the channels may differ across institutional and geographic contexts.</w:t>
      </w:r>
    </w:p>
    <w:p>
      <w:pPr>
        <w:pStyle w:val="BodyText"/>
      </w:pPr>
      <w:r>
        <w:t xml:space="preserve">Third, 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demonstrated that combining high-resolution daytime imagery with nighttime lights through deep learning can substantially improve poverty prediction in data-scarce settings. Similarly,</w:t>
      </w:r>
      <w:r>
        <w:t xml:space="preserve"> </w:t>
      </w:r>
      <w:r>
        <w:t xml:space="preserve">Keola, Andersson, and Hall (2015)</w:t>
      </w:r>
      <w:r>
        <w:t xml:space="preserve"> </w:t>
      </w:r>
      <w:r>
        <w:t xml:space="preserve">showed that integrating nighttime lights with land cover data improves economic measurement in agricultural areas where lights alone provide weak signals. As</w:t>
      </w:r>
      <w:r>
        <w:t xml:space="preserve"> </w:t>
      </w:r>
      <w:r>
        <w:t xml:space="preserve">Donaldson and Storeygard (2016)</w:t>
      </w:r>
      <w:r>
        <w:t xml:space="preserve"> </w:t>
      </w:r>
      <w:r>
        <w:t xml:space="preserve">emphasize, the expanding ecosystem of satellite-derived data—including vegetation indices, built-up area detection, and high-frequency mobility indicators—offers opportunities to construct multi-dimensional proxies for regional economic activity that go beyond what nighttime lights alone can capture. Recent applications demonstrate the practical potential of these advances for subnational economic measurement.</w:t>
      </w:r>
      <w:r>
        <w:t xml:space="preserve"> </w:t>
      </w:r>
      <w:r>
        <w:t xml:space="preserve">Y. Chen, Ursavas, and Mendez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Nguyen, and Mendez (2025)</w:t>
      </w:r>
      <w:r>
        <w:t xml:space="preserve"> </w:t>
      </w:r>
      <w:r>
        <w:t xml:space="preserve">employ machine learning methods with multiple remote sensing indicators to predict subnational GDP in Vietnam, achieving accuracy improvements over traditional luminosity-based approaches. 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 Applying similar multi-source approaches to Indian districts could yield richer proxies for economic activity that overcome the well-known limitations of nighttime lights in agricultural and low-density areas.</w:t>
      </w:r>
    </w:p>
    <w:bookmarkEnd w:id="81"/>
    <w:bookmarkStart w:id="82"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 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 Each methodological choice in the pipeline, from sensor inter-calibration to spatial weight matrix construction, can affect empirical conclusions, underscoring the need for transparent computational workflows that allow other researchers to verify and build upon published findings</w:t>
      </w:r>
      <w:r>
        <w:t xml:space="preserve"> </w:t>
      </w:r>
      <w:r>
        <w:t xml:space="preserve">(Gibson et al. 2021)</w:t>
      </w:r>
      <w:r>
        <w:t xml:space="preserve">.</w:t>
      </w:r>
    </w:p>
    <w:p>
      <w:pPr>
        <w:pStyle w:val="BodyText"/>
      </w:pPr>
      <w:r>
        <w:t xml:space="preserve">This article adopts a reproducible research approach through Quarto’s single-source publishing framework, where a single manuscript file generates multiple output formats—interactive HTML, journal PDF, and supplementary materials—from the same source. All computational analyses are documented in embedded notebooks that readers can inspect alongside the results they produce, creating a complete chain from raw data to published findings. The interactive web-based visualization tool, built on Google Earth Engine, allows researchers to independently explore the spatial and temporal patterns in the nighttime light data, facilitating verification of our visual findings and supporting further exploration beyond what static representations can convey.</w:t>
      </w:r>
    </w:p>
    <w:p>
      <w:pPr>
        <w:pStyle w:val="BodyText"/>
      </w:pPr>
      <w:r>
        <w:t xml:space="preserve">Open-source tools and cloud computing platforms are rapidly lowering the barriers to reproducible spatial economic research. 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 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82"/>
    <w:bookmarkEnd w:id="83"/>
    <w:bookmarkStart w:id="84" w:name="concluding-remarks"/>
    <w:p>
      <w:pPr>
        <w:pStyle w:val="Heading2"/>
      </w:pPr>
      <w:r>
        <w:t xml:space="preserve">Concluding remarks</w:t>
      </w:r>
    </w:p>
    <w:p>
      <w:pPr>
        <w:pStyle w:val="FirstParagraph"/>
      </w:pPr>
      <w:r>
        <w:t xml:space="preserve">This article examines regional convergence patterns across Indian districts using satellite nighttime light data, interactive visualizations, and spatial econometric modeling. Building on the work of</w:t>
      </w:r>
      <w:r>
        <w:t xml:space="preserve"> </w:t>
      </w:r>
      <w:r>
        <w:t xml:space="preserve">Chanda and Kabiraj (2020)</w:t>
      </w:r>
      <w:r>
        <w:t xml:space="preserve">, we developed an interactive web-based visualization tool that illustrates spatial and convergence patterns across Indian districts. Spatial autocorrelation tests indicate that spatial dependence is a notable characteristic of satellite data and the regional convergence process in India. Estimates from our spatial Durbin model indicate that incorporating spatial spillovers increases the estimated speed of regional convergence. The total convergence effect in our fully specified model is approximately 48% larger than conventional non-spatial estimates. This finding suggests that non-spatial convergence models may underestimate the speed of regional convergence. Additionally, it suggests that place-based development interventions may have broader impacts, as their benefits can extend to neighboring districts through spatial spillover effects.</w:t>
      </w:r>
    </w:p>
    <w:p>
      <w:pPr>
        <w:pStyle w:val="BodyText"/>
      </w:pPr>
      <w:r>
        <w:t xml:space="preserve">Our analysis underscores the value of satellite nighttime lights as a tool for studying economic dynamics in countries where subnational data are scarce, infrequent, or unreliable. Conventional economic statistics at the district level are often unavailable or inconsistent across administrative boundaries, particularly in large developing economies. Radiance-calibrated nighttime light data allowed us to analyze 520 Indian districts at a spatial granularity that would be difficult to achieve with traditional national accounts or survey data alone. This data-driven approach is potentially transferable to other data-poor contexts across the developing world, and the ongoing transition from DMSP-OLS to the higher-resolution VIIRS sensor promises even more precise measurement of subnational economic activity in future studies.</w:t>
      </w:r>
    </w:p>
    <w:p>
      <w:pPr>
        <w:pStyle w:val="BodyText"/>
      </w:pPr>
      <w:r>
        <w:t xml:space="preserve">The spatial modeling framework employed in this study illustrates the complementary insights that emerge from layering different analytical approaches. Interactive visualizations built on Google Earth Engine enabled an initial exploratory examination of spatial and temporal patterns in luminosity, making the geographic dimension of convergence accessible to a broad audience. Exploratory spatial data analysis through Global Moran’s I and LISA statistics then formalized these visual impressions, confirming strong positive spatial autocorrelation in both initial luminosity levels (</w:t>
      </w:r>
      <m:oMath>
        <m:r>
          <m:t>I</m:t>
        </m:r>
        <m:r>
          <m:rPr>
            <m:sty m:val="p"/>
          </m:rPr>
          <m:t>=</m:t>
        </m:r>
        <m:r>
          <m:t>0.73</m:t>
        </m:r>
      </m:oMath>
      <w:r>
        <w:t xml:space="preserve">) and subsequent growth rates (</w:t>
      </w:r>
      <m:oMath>
        <m:r>
          <m:t>I</m:t>
        </m:r>
        <m:r>
          <m:rPr>
            <m:sty m:val="p"/>
          </m:rPr>
          <m:t>=</m:t>
        </m:r>
        <m:r>
          <m:t>0.60</m:t>
        </m:r>
      </m:oMath>
      <w:r>
        <w:t xml:space="preserve">), and identifying the specific geographic clusters driving these patterns. Finally, the spatial Durbin model provided a formal econometric framework to quantify spillover effects and indicate that convergence speeds may be underestimated when spatial interactions are ignored. Together, these three layers form a coherent analytical pipeline—from visual exploration to formal statistical testing to spatial econometric modeling—that captures dimensions of the convergence process not addressed by conventional non-spatial methods.</w:t>
      </w:r>
    </w:p>
    <w:p>
      <w:pPr>
        <w:pStyle w:val="BodyText"/>
      </w:pPr>
      <w:r>
        <w:t xml:space="preserve">This study also illustrates how reproducible open science practices can strengthen the credibility and impact of spatial economic research. The entire analytical pipeline—from raw satellite data to published findings—is documented in computational notebooks using Python, R, and Stata, all embedded within the manuscript through Quarto’s single-source publishing framework. A single manuscript source generates multiple output formats, including an interactive HTML version that allows readers to inspect the underlying code and results alongside the text. The interactive Google Earth Engine application provides an additional layer of verification, enabling independent exploration of the spatial and temporal patterns discussed in the article. By hosting the complete codebase in a public repository and making the notebooks executable through cloud-based platforms, we aim to lower the barriers to replication and extension, offering this workflow as a potential template for other researchers working at the intersection of remote sensing and spatial economics.</w:t>
      </w:r>
    </w:p>
    <w:p>
      <w:pPr>
        <w:pStyle w:val="BodyText"/>
      </w:pPr>
      <w:r>
        <w:t xml:space="preserve">From a policy standpoint, these results suggest that regional convergence operates not just through district-specific factors, but through complex spatial interactions that create additional channels for catch-up growth. The significant spatial spillover effects uncovered by the spatial Durbin model imply that place-based development interventions may generate benefits beyond their immediate target areas, as improvements in one district can positively influence the growth trajectories of neighboring districts. Understanding the magnitude of these spatial multiplier effects is important for the design and evaluation of regional development programs aimed at reducing spatial inequalities. More broadly, the combination of new data sources, spatial analytical methods, and open science practices illustrated in this article offers a potentially useful framework for studying regional economic disparities in developing countries.</w:t>
      </w:r>
    </w:p>
    <w:bookmarkEnd w:id="84"/>
    <w:bookmarkStart w:id="85" w:name="acknowledgments"/>
    <w:p>
      <w:pPr>
        <w:pStyle w:val="Heading2"/>
      </w:pPr>
      <w:r>
        <w:t xml:space="preserve">Acknowledgments</w:t>
      </w:r>
    </w:p>
    <w:p>
      <w:pPr>
        <w:pStyle w:val="FirstParagraph"/>
      </w:pPr>
      <w:r>
        <w:t xml:space="preserve">This work was supported by JSPS KAKENHI Grant Number 24K04884. During the preparation of this work, the authors used Claude Code (Anthropic) to assist with manuscript editing, computational notebook development, and research infrastructure setup. After using this tool, the authors reviewed and edited all content and take full responsibility for the content of the publication.</w:t>
      </w:r>
    </w:p>
    <w:bookmarkEnd w:id="85"/>
    <w:bookmarkStart w:id="86" w:name="conflict-of-interest"/>
    <w:p>
      <w:pPr>
        <w:pStyle w:val="Heading2"/>
      </w:pPr>
      <w:r>
        <w:t xml:space="preserve">Conflict of Interest</w:t>
      </w:r>
    </w:p>
    <w:p>
      <w:pPr>
        <w:pStyle w:val="FirstParagraph"/>
      </w:pPr>
      <w:r>
        <w:t xml:space="preserve">The authors declare no conflict of interest.</w:t>
      </w:r>
    </w:p>
    <w:bookmarkEnd w:id="86"/>
    <w:bookmarkStart w:id="186" w:name="data-and-code-availability"/>
    <w:p>
      <w:pPr>
        <w:pStyle w:val="Heading2"/>
      </w:pPr>
      <w:r>
        <w:t xml:space="preserve">Data and Code Availability</w:t>
      </w:r>
    </w:p>
    <w:p>
      <w:pPr>
        <w:pStyle w:val="FirstParagraph"/>
      </w:pPr>
      <w:r>
        <w:t xml:space="preserve">All data and computational code used in this study are available in the project repository:</w:t>
      </w:r>
      <w:r>
        <w:t xml:space="preserve"> </w:t>
      </w:r>
      <w:hyperlink r:id="rId87">
        <w:r>
          <w:rPr>
            <w:rStyle w:val="Hyperlink"/>
          </w:rPr>
          <w:t xml:space="preserve">https://github.com/quarcs-lab/project2025s</w:t>
        </w:r>
      </w:hyperlink>
      <w:r>
        <w:t xml:space="preserve">. Also, the interactive HTML version of this manuscript (</w:t>
      </w:r>
      <w:hyperlink r:id="rId88">
        <w:r>
          <w:rPr>
            <w:rStyle w:val="Hyperlink"/>
          </w:rPr>
          <w:t xml:space="preserve">https://quarcs-lab.github.io/project2025s/</w:t>
        </w:r>
      </w:hyperlink>
      <w:r>
        <w:t xml:space="preserve">) embeds the computational notebooks, allowing readers to inspect the complete analytical pipeline from raw data to published results.</w:t>
      </w:r>
    </w:p>
    <w:bookmarkStart w:id="185" w:name="refs"/>
    <w:bookmarkStart w:id="90"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89">
        <w:r>
          <w:rPr>
            <w:rStyle w:val="Hyperlink"/>
          </w:rPr>
          <w:t xml:space="preserve">https://doi.org/10.1016/j.rse.2018.03.018</w:t>
        </w:r>
      </w:hyperlink>
      <w:r>
        <w:t xml:space="preserve">.</w:t>
      </w:r>
    </w:p>
    <w:bookmarkEnd w:id="90"/>
    <w:bookmarkStart w:id="92" w:name="ref-adhikari_dhital_decentralization"/>
    <w:p>
      <w:pPr>
        <w:pStyle w:val="Bibliography"/>
      </w:pPr>
      <w:r>
        <w:t xml:space="preserve">Adhikari, Bibek, and Ramesh Dhital. 2020.</w:t>
      </w:r>
      <w:r>
        <w:t xml:space="preserve"> </w:t>
      </w:r>
      <w:r>
        <w:t xml:space="preserve">“Decentralization and Regional Convergence: Evidence from Nighttime Lights.”</w:t>
      </w:r>
      <w:r>
        <w:t xml:space="preserve"> </w:t>
      </w:r>
      <w:r>
        <w:rPr>
          <w:i/>
          <w:iCs/>
        </w:rPr>
        <w:t xml:space="preserve">Journal of Development Economics</w:t>
      </w:r>
      <w:r>
        <w:t xml:space="preserve"> </w:t>
      </w:r>
      <w:r>
        <w:t xml:space="preserve">145: 102467.</w:t>
      </w:r>
      <w:r>
        <w:t xml:space="preserve"> </w:t>
      </w:r>
      <w:hyperlink r:id="rId91">
        <w:r>
          <w:rPr>
            <w:rStyle w:val="Hyperlink"/>
          </w:rPr>
          <w:t xml:space="preserve">https://doi.org/10.1016/j.jdeveco.2020.102467</w:t>
        </w:r>
      </w:hyperlink>
      <w:r>
        <w:t xml:space="preserve">.</w:t>
      </w:r>
    </w:p>
    <w:bookmarkEnd w:id="92"/>
    <w:bookmarkStart w:id="94" w:name="ref-aginta_etal_indonesia_clubs"/>
    <w:p>
      <w:pPr>
        <w:pStyle w:val="Bibliography"/>
      </w:pPr>
      <w:r>
        <w:t xml:space="preserve">Aginta, Harry, Anang Budi Gunawan, and Carlos Mendez. 2023.</w:t>
      </w:r>
      <w:r>
        <w:t xml:space="preserve"> </w:t>
      </w:r>
      <w:r>
        <w:t xml:space="preserve">“Regional Income Disparities and Convergence Clubs in</w:t>
      </w:r>
      <w:r>
        <w:t xml:space="preserve"> </w:t>
      </w:r>
      <w:r>
        <w:t xml:space="preserve">Indonesia</w:t>
      </w:r>
      <w:r>
        <w:t xml:space="preserve">:</w:t>
      </w:r>
      <w:r>
        <w:t xml:space="preserve"> </w:t>
      </w:r>
      <w:r>
        <w:t xml:space="preserve">New</w:t>
      </w:r>
      <w:r>
        <w:t xml:space="preserve"> </w:t>
      </w:r>
      <w:r>
        <w:t xml:space="preserve">District-Level Evidence.”</w:t>
      </w:r>
      <w:r>
        <w:t xml:space="preserve"> </w:t>
      </w:r>
      <w:r>
        <w:rPr>
          <w:i/>
          <w:iCs/>
        </w:rPr>
        <w:t xml:space="preserve">Journal of the Asia Pacific Economy</w:t>
      </w:r>
      <w:r>
        <w:t xml:space="preserve"> </w:t>
      </w:r>
      <w:r>
        <w:t xml:space="preserve">28 (1): 101–32.</w:t>
      </w:r>
      <w:r>
        <w:t xml:space="preserve"> </w:t>
      </w:r>
      <w:hyperlink r:id="rId93">
        <w:r>
          <w:rPr>
            <w:rStyle w:val="Hyperlink"/>
          </w:rPr>
          <w:t xml:space="preserve">https://doi.org/10.1080/13547860.2020.1868107</w:t>
        </w:r>
      </w:hyperlink>
      <w:r>
        <w:t xml:space="preserve">.</w:t>
      </w:r>
    </w:p>
    <w:bookmarkEnd w:id="94"/>
    <w:bookmarkStart w:id="96"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95">
        <w:r>
          <w:rPr>
            <w:rStyle w:val="Hyperlink"/>
          </w:rPr>
          <w:t xml:space="preserve">https://quarto.org</w:t>
        </w:r>
      </w:hyperlink>
      <w:r>
        <w:t xml:space="preserve">.</w:t>
      </w:r>
    </w:p>
    <w:bookmarkEnd w:id="96"/>
    <w:bookmarkStart w:id="98" w:name="ref-anselin_spatial_analysis"/>
    <w:p>
      <w:pPr>
        <w:pStyle w:val="Bibliography"/>
      </w:pPr>
      <w:r>
        <w:t xml:space="preserve">Anselin, Luc. 1988.</w:t>
      </w:r>
      <w:r>
        <w:t xml:space="preserve"> </w:t>
      </w:r>
      <w:r>
        <w:t xml:space="preserve">“Spatial Econometrics: Methods and Models.”</w:t>
      </w:r>
      <w:r>
        <w:t xml:space="preserve"> </w:t>
      </w:r>
      <w:r>
        <w:rPr>
          <w:i/>
          <w:iCs/>
        </w:rPr>
        <w:t xml:space="preserve">Springer</w:t>
      </w:r>
      <w:r>
        <w:t xml:space="preserve">.</w:t>
      </w:r>
      <w:r>
        <w:t xml:space="preserve"> </w:t>
      </w:r>
      <w:hyperlink r:id="rId97">
        <w:r>
          <w:rPr>
            <w:rStyle w:val="Hyperlink"/>
          </w:rPr>
          <w:t xml:space="preserve">https://doi.org/10.1007/978-94-015-7799-1</w:t>
        </w:r>
      </w:hyperlink>
      <w:r>
        <w:t xml:space="preserve">.</w:t>
      </w:r>
    </w:p>
    <w:bookmarkEnd w:id="98"/>
    <w:bookmarkStart w:id="100"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99">
        <w:r>
          <w:rPr>
            <w:rStyle w:val="Hyperlink"/>
          </w:rPr>
          <w:t xml:space="preserve">https://doi.org/10.1111/j.1538-4632.1995.tb00338.x</w:t>
        </w:r>
      </w:hyperlink>
      <w:r>
        <w:t xml:space="preserve">.</w:t>
      </w:r>
    </w:p>
    <w:bookmarkEnd w:id="100"/>
    <w:bookmarkStart w:id="102"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01">
        <w:r>
          <w:rPr>
            <w:rStyle w:val="Hyperlink"/>
          </w:rPr>
          <w:t xml:space="preserve">https://doi.org/10.1257/aer.20180268</w:t>
        </w:r>
      </w:hyperlink>
      <w:r>
        <w:t xml:space="preserve">.</w:t>
      </w:r>
    </w:p>
    <w:bookmarkEnd w:id="102"/>
    <w:bookmarkStart w:id="104"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03">
        <w:r>
          <w:rPr>
            <w:rStyle w:val="Hyperlink"/>
          </w:rPr>
          <w:t xml:space="preserve">https://doi.org/10.1086/261816</w:t>
        </w:r>
      </w:hyperlink>
      <w:r>
        <w:t xml:space="preserve">.</w:t>
      </w:r>
    </w:p>
    <w:bookmarkEnd w:id="104"/>
    <w:bookmarkStart w:id="106"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105">
        <w:r>
          <w:rPr>
            <w:rStyle w:val="Hyperlink"/>
          </w:rPr>
          <w:t xml:space="preserve">https://doi.org/10.1016/j.asieco.2021.101318</w:t>
        </w:r>
      </w:hyperlink>
      <w:r>
        <w:t xml:space="preserve">.</w:t>
      </w:r>
    </w:p>
    <w:bookmarkEnd w:id="106"/>
    <w:bookmarkStart w:id="107" w:name="ref-chakravarty_dehejia_gst"/>
    <w:p>
      <w:pPr>
        <w:pStyle w:val="Bibliography"/>
      </w:pPr>
      <w:r>
        <w:t xml:space="preserve">Chakravarty, Shankha, and Rajeev Dehejia. 2019.</w:t>
      </w:r>
      <w:r>
        <w:t xml:space="preserve"> </w:t>
      </w:r>
      <w:r>
        <w:t xml:space="preserve">“The GST and Regional Divergence in India: A Nightlights Perspective.”</w:t>
      </w:r>
      <w:r>
        <w:t xml:space="preserve"> </w:t>
      </w:r>
      <w:r>
        <w:rPr>
          <w:i/>
          <w:iCs/>
        </w:rPr>
        <w:t xml:space="preserve">Economic and Political Weekly</w:t>
      </w:r>
      <w:r>
        <w:t xml:space="preserve"> </w:t>
      </w:r>
      <w:r>
        <w:t xml:space="preserve">54 (42): 47–54.</w:t>
      </w:r>
    </w:p>
    <w:bookmarkEnd w:id="107"/>
    <w:bookmarkStart w:id="109" w:name="ref-chanda_cook_demonetization"/>
    <w:p>
      <w:pPr>
        <w:pStyle w:val="Bibliography"/>
      </w:pPr>
      <w:r>
        <w:t xml:space="preserve">Chanda, Areendam, and Justin Cook. 2022.</w:t>
      </w:r>
      <w:r>
        <w:t xml:space="preserve"> </w:t>
      </w:r>
      <w:r>
        <w:t xml:space="preserve">“Demonetization and Its Redistributive Effects: Evidence from India.”</w:t>
      </w:r>
      <w:r>
        <w:t xml:space="preserve"> </w:t>
      </w:r>
      <w:r>
        <w:rPr>
          <w:i/>
          <w:iCs/>
        </w:rPr>
        <w:t xml:space="preserve">Journal of Development Economics</w:t>
      </w:r>
      <w:r>
        <w:t xml:space="preserve"> </w:t>
      </w:r>
      <w:r>
        <w:t xml:space="preserve">156: 102835.</w:t>
      </w:r>
      <w:r>
        <w:t xml:space="preserve"> </w:t>
      </w:r>
      <w:hyperlink r:id="rId108">
        <w:r>
          <w:rPr>
            <w:rStyle w:val="Hyperlink"/>
          </w:rPr>
          <w:t xml:space="preserve">https://doi.org/10.1016/j.jdeveco.2022.102835</w:t>
        </w:r>
      </w:hyperlink>
      <w:r>
        <w:t xml:space="preserve">.</w:t>
      </w:r>
    </w:p>
    <w:bookmarkEnd w:id="109"/>
    <w:bookmarkStart w:id="111"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10">
        <w:r>
          <w:rPr>
            <w:rStyle w:val="Hyperlink"/>
          </w:rPr>
          <w:t xml:space="preserve">https://doi.org/10.1016/j.worlddev.2020.104961</w:t>
        </w:r>
      </w:hyperlink>
      <w:r>
        <w:t xml:space="preserve">.</w:t>
      </w:r>
    </w:p>
    <w:bookmarkEnd w:id="111"/>
    <w:bookmarkStart w:id="113"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12">
        <w:r>
          <w:rPr>
            <w:rStyle w:val="Hyperlink"/>
          </w:rPr>
          <w:t xml:space="preserve">https://doi.org/10.1073/pnas.1017031108</w:t>
        </w:r>
      </w:hyperlink>
      <w:r>
        <w:t xml:space="preserve">.</w:t>
      </w:r>
    </w:p>
    <w:bookmarkEnd w:id="113"/>
    <w:bookmarkStart w:id="115" w:name="ref-chen_nordhaus_measurement_error"/>
    <w:p>
      <w:pPr>
        <w:pStyle w:val="Bibliography"/>
      </w:pPr>
      <w:r>
        <w:t xml:space="preserve">———. 2015.</w:t>
      </w:r>
      <w:r>
        <w:t xml:space="preserve"> </w:t>
      </w:r>
      <w:r>
        <w:t xml:space="preserve">“A Test of the New VIIRS Lights Data Set: Population and Economic Output in Africa.”</w:t>
      </w:r>
      <w:r>
        <w:t xml:space="preserve"> </w:t>
      </w:r>
      <w:r>
        <w:rPr>
          <w:i/>
          <w:iCs/>
        </w:rPr>
        <w:t xml:space="preserve">Remote Sensing</w:t>
      </w:r>
      <w:r>
        <w:t xml:space="preserve"> </w:t>
      </w:r>
      <w:r>
        <w:t xml:space="preserve">7 (4): 4937–47.</w:t>
      </w:r>
      <w:r>
        <w:t xml:space="preserve"> </w:t>
      </w:r>
      <w:hyperlink r:id="rId114">
        <w:r>
          <w:rPr>
            <w:rStyle w:val="Hyperlink"/>
          </w:rPr>
          <w:t xml:space="preserve">https://doi.org/10.3390/rs70404937</w:t>
        </w:r>
      </w:hyperlink>
      <w:r>
        <w:t xml:space="preserve">.</w:t>
      </w:r>
    </w:p>
    <w:bookmarkEnd w:id="115"/>
    <w:bookmarkStart w:id="117"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w:t>
      </w:r>
      <w:r>
        <w:t xml:space="preserve"> </w:t>
      </w:r>
      <w:hyperlink r:id="rId116">
        <w:r>
          <w:rPr>
            <w:rStyle w:val="Hyperlink"/>
          </w:rPr>
          <w:t xml:space="preserve">https://doi.org/10.1007/s12076-024-00375-x</w:t>
        </w:r>
      </w:hyperlink>
      <w:r>
        <w:t xml:space="preserve">.</w:t>
      </w:r>
    </w:p>
    <w:bookmarkEnd w:id="117"/>
    <w:bookmarkStart w:id="119"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18">
        <w:r>
          <w:rPr>
            <w:rStyle w:val="Hyperlink"/>
          </w:rPr>
          <w:t xml:space="preserve">https://doi.org/10.1162/rest_a_00951</w:t>
        </w:r>
      </w:hyperlink>
      <w:r>
        <w:t xml:space="preserve">.</w:t>
      </w:r>
    </w:p>
    <w:bookmarkEnd w:id="119"/>
    <w:bookmarkStart w:id="121" w:name="ref-cutrini_mendez_eu_clubs"/>
    <w:p>
      <w:pPr>
        <w:pStyle w:val="Bibliography"/>
      </w:pPr>
      <w:r>
        <w:t xml:space="preserve">Cutrini, Eleonora, and Carlos Mendez. 2023.</w:t>
      </w:r>
      <w:r>
        <w:t xml:space="preserve"> </w:t>
      </w:r>
      <w:r>
        <w:t xml:space="preserve">“Convergence Clubs and Spatial Structural Change in the</w:t>
      </w:r>
      <w:r>
        <w:t xml:space="preserve"> </w:t>
      </w:r>
      <w:r>
        <w:t xml:space="preserve">European Union</w:t>
      </w:r>
      <w:r>
        <w:t xml:space="preserve">.”</w:t>
      </w:r>
      <w:r>
        <w:t xml:space="preserve"> </w:t>
      </w:r>
      <w:r>
        <w:rPr>
          <w:i/>
          <w:iCs/>
        </w:rPr>
        <w:t xml:space="preserve">Structural Change and Economic Dynamics</w:t>
      </w:r>
      <w:r>
        <w:t xml:space="preserve">.</w:t>
      </w:r>
      <w:r>
        <w:t xml:space="preserve"> </w:t>
      </w:r>
      <w:hyperlink r:id="rId120">
        <w:r>
          <w:rPr>
            <w:rStyle w:val="Hyperlink"/>
          </w:rPr>
          <w:t xml:space="preserve">https://doi.org/10.1016/j.strueco.2023.07.009</w:t>
        </w:r>
      </w:hyperlink>
      <w:r>
        <w:t xml:space="preserve">.</w:t>
      </w:r>
    </w:p>
    <w:bookmarkEnd w:id="121"/>
    <w:bookmarkStart w:id="123"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22">
        <w:r>
          <w:rPr>
            <w:rStyle w:val="Hyperlink"/>
          </w:rPr>
          <w:t xml:space="preserve">https://doi.org/10.1257/jep.30.4.171</w:t>
        </w:r>
      </w:hyperlink>
      <w:r>
        <w:t xml:space="preserve">.</w:t>
      </w:r>
    </w:p>
    <w:bookmarkEnd w:id="123"/>
    <w:bookmarkStart w:id="125"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24">
        <w:r>
          <w:rPr>
            <w:rStyle w:val="Hyperlink"/>
          </w:rPr>
          <w:t xml:space="preserve">https://doi.org/10.1002/jae.3950100404</w:t>
        </w:r>
      </w:hyperlink>
      <w:r>
        <w:t xml:space="preserve">.</w:t>
      </w:r>
    </w:p>
    <w:bookmarkEnd w:id="125"/>
    <w:bookmarkStart w:id="127"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26">
        <w:r>
          <w:rPr>
            <w:rStyle w:val="Hyperlink"/>
          </w:rPr>
          <w:t xml:space="preserve">https://doi.org/10.1080/01431161.2017.1342050</w:t>
        </w:r>
      </w:hyperlink>
      <w:r>
        <w:t xml:space="preserve">.</w:t>
      </w:r>
    </w:p>
    <w:bookmarkEnd w:id="127"/>
    <w:bookmarkStart w:id="129"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28">
        <w:r>
          <w:rPr>
            <w:rStyle w:val="Hyperlink"/>
          </w:rPr>
          <w:t xml:space="preserve">https://doi.org/10.1002/jae.963</w:t>
        </w:r>
      </w:hyperlink>
      <w:r>
        <w:t xml:space="preserve">.</w:t>
      </w:r>
    </w:p>
    <w:bookmarkEnd w:id="129"/>
    <w:bookmarkStart w:id="131"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30">
        <w:r>
          <w:rPr>
            <w:rStyle w:val="Hyperlink"/>
          </w:rPr>
          <w:t xml:space="preserve">https://doi.org/10.1007/s00168-010-0384-6</w:t>
        </w:r>
      </w:hyperlink>
      <w:r>
        <w:t xml:space="preserve">.</w:t>
      </w:r>
    </w:p>
    <w:bookmarkEnd w:id="131"/>
    <w:bookmarkStart w:id="133" w:name="ref-gennaioli_etal_growth_regions"/>
    <w:p>
      <w:pPr>
        <w:pStyle w:val="Bibliography"/>
      </w:pPr>
      <w:r>
        <w:t xml:space="preserve">Gennaioli, Nicola, Rafael La Porta, Florencio Lopez-de-Silanes, and Andrei Shleifer. 2014.</w:t>
      </w:r>
      <w:r>
        <w:t xml:space="preserve"> </w:t>
      </w:r>
      <w:r>
        <w:t xml:space="preserve">“Growth in Regions.”</w:t>
      </w:r>
      <w:r>
        <w:t xml:space="preserve"> </w:t>
      </w:r>
      <w:r>
        <w:rPr>
          <w:i/>
          <w:iCs/>
        </w:rPr>
        <w:t xml:space="preserve">Journal of Economic Growth</w:t>
      </w:r>
      <w:r>
        <w:t xml:space="preserve"> </w:t>
      </w:r>
      <w:r>
        <w:t xml:space="preserve">19 (3): 259–309.</w:t>
      </w:r>
      <w:r>
        <w:t xml:space="preserve"> </w:t>
      </w:r>
      <w:hyperlink r:id="rId132">
        <w:r>
          <w:rPr>
            <w:rStyle w:val="Hyperlink"/>
          </w:rPr>
          <w:t xml:space="preserve">https://doi.org/10.1007/s10887-014-9105-9</w:t>
        </w:r>
      </w:hyperlink>
      <w:r>
        <w:t xml:space="preserve">.</w:t>
      </w:r>
    </w:p>
    <w:bookmarkEnd w:id="133"/>
    <w:bookmarkStart w:id="135"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34">
        <w:r>
          <w:rPr>
            <w:rStyle w:val="Hyperlink"/>
          </w:rPr>
          <w:t xml:space="preserve">https://doi.org/10.1016/j.jdeveco.2020.102602</w:t>
        </w:r>
      </w:hyperlink>
      <w:r>
        <w:t xml:space="preserve">.</w:t>
      </w:r>
    </w:p>
    <w:bookmarkEnd w:id="135"/>
    <w:bookmarkStart w:id="137"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w:t>
      </w:r>
      <w:r>
        <w:t xml:space="preserve"> </w:t>
      </w:r>
      <w:hyperlink r:id="rId136">
        <w:r>
          <w:rPr>
            <w:rStyle w:val="Hyperlink"/>
          </w:rPr>
          <w:t xml:space="preserve">https://doi.org/10.1080/00036846.2024.2439583</w:t>
        </w:r>
      </w:hyperlink>
      <w:r>
        <w:t xml:space="preserve">.</w:t>
      </w:r>
    </w:p>
    <w:bookmarkEnd w:id="137"/>
    <w:bookmarkStart w:id="139"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38">
        <w:r>
          <w:rPr>
            <w:rStyle w:val="Hyperlink"/>
          </w:rPr>
          <w:t xml:space="preserve">https://doi.org/10.1016/j.rse.2017.06.031</w:t>
        </w:r>
      </w:hyperlink>
      <w:r>
        <w:t xml:space="preserve">.</w:t>
      </w:r>
    </w:p>
    <w:bookmarkEnd w:id="139"/>
    <w:bookmarkStart w:id="141"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40">
        <w:r>
          <w:rPr>
            <w:rStyle w:val="Hyperlink"/>
          </w:rPr>
          <w:t xml:space="preserve">https://doi.org/10.1257/aer.102.2.994</w:t>
        </w:r>
      </w:hyperlink>
      <w:r>
        <w:t xml:space="preserve">.</w:t>
      </w:r>
    </w:p>
    <w:bookmarkEnd w:id="141"/>
    <w:bookmarkStart w:id="143"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w:t>
      </w:r>
      <w:r>
        <w:t xml:space="preserve"> </w:t>
      </w:r>
      <w:hyperlink r:id="rId142">
        <w:r>
          <w:rPr>
            <w:rStyle w:val="Hyperlink"/>
          </w:rPr>
          <w:t xml:space="preserve">https://doi.org/10.1007/s12076-025-00397-z</w:t>
        </w:r>
      </w:hyperlink>
      <w:r>
        <w:t xml:space="preserve">.</w:t>
      </w:r>
    </w:p>
    <w:bookmarkEnd w:id="143"/>
    <w:bookmarkStart w:id="145"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44">
        <w:r>
          <w:rPr>
            <w:rStyle w:val="Hyperlink"/>
          </w:rPr>
          <w:t xml:space="preserve">https://doi.org/10.1126/science.aaf7894</w:t>
        </w:r>
      </w:hyperlink>
      <w:r>
        <w:t xml:space="preserve">.</w:t>
      </w:r>
    </w:p>
    <w:bookmarkEnd w:id="145"/>
    <w:bookmarkStart w:id="147" w:name="ref-jha_talathi_colonial_india"/>
    <w:p>
      <w:pPr>
        <w:pStyle w:val="Bibliography"/>
      </w:pPr>
      <w:r>
        <w:t xml:space="preserve">Jha, Saumitra, and Anand Talathi. 2021.</w:t>
      </w:r>
      <w:r>
        <w:t xml:space="preserve"> </w:t>
      </w:r>
      <w:r>
        <w:t xml:space="preserve">“Colonial Institutions and Long-Run Development in India: Evidence from Nightlights.”</w:t>
      </w:r>
      <w:r>
        <w:t xml:space="preserve"> </w:t>
      </w:r>
      <w:r>
        <w:rPr>
          <w:i/>
          <w:iCs/>
        </w:rPr>
        <w:t xml:space="preserve">Journal of Development Economics</w:t>
      </w:r>
      <w:r>
        <w:t xml:space="preserve"> </w:t>
      </w:r>
      <w:r>
        <w:t xml:space="preserve">153: 102726.</w:t>
      </w:r>
      <w:r>
        <w:t xml:space="preserve"> </w:t>
      </w:r>
      <w:hyperlink r:id="rId146">
        <w:r>
          <w:rPr>
            <w:rStyle w:val="Hyperlink"/>
          </w:rPr>
          <w:t xml:space="preserve">https://doi.org/10.1016/j.jdeveco.2021.102726</w:t>
        </w:r>
      </w:hyperlink>
      <w:r>
        <w:t xml:space="preserve">.</w:t>
      </w:r>
    </w:p>
    <w:bookmarkEnd w:id="147"/>
    <w:bookmarkStart w:id="149"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48">
        <w:r>
          <w:rPr>
            <w:rStyle w:val="Hyperlink"/>
          </w:rPr>
          <w:t xml:space="preserve">https://doi.org/10.1016/j.worlddev.2014.08.017</w:t>
        </w:r>
      </w:hyperlink>
      <w:r>
        <w:t xml:space="preserve">.</w:t>
      </w:r>
    </w:p>
    <w:bookmarkEnd w:id="149"/>
    <w:bookmarkStart w:id="151"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w:t>
      </w:r>
      <w:r>
        <w:t xml:space="preserve"> </w:t>
      </w:r>
      <w:hyperlink r:id="rId150">
        <w:r>
          <w:rPr>
            <w:rStyle w:val="Hyperlink"/>
          </w:rPr>
          <w:t xml:space="preserve">https://doi.org/10.1007/s11205-025-03718-3</w:t>
        </w:r>
      </w:hyperlink>
      <w:r>
        <w:t xml:space="preserve">.</w:t>
      </w:r>
    </w:p>
    <w:bookmarkEnd w:id="151"/>
    <w:bookmarkStart w:id="152"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152"/>
    <w:bookmarkStart w:id="154"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53">
        <w:r>
          <w:rPr>
            <w:rStyle w:val="Hyperlink"/>
          </w:rPr>
          <w:t xml:space="preserve">https://doi.org/10.1093/comjnl/27.2.97</w:t>
        </w:r>
      </w:hyperlink>
      <w:r>
        <w:t xml:space="preserve">.</w:t>
      </w:r>
    </w:p>
    <w:bookmarkEnd w:id="154"/>
    <w:bookmarkStart w:id="156" w:name="ref-lesage_pace_spatial_econometrics"/>
    <w:p>
      <w:pPr>
        <w:pStyle w:val="Bibliography"/>
      </w:pPr>
      <w:r>
        <w:t xml:space="preserve">LeSage, James P., and R. Kelley Pace. 2009.</w:t>
      </w:r>
      <w:r>
        <w:t xml:space="preserve"> </w:t>
      </w:r>
      <w:r>
        <w:t xml:space="preserve">“Introduction to Spatial Econometrics.”</w:t>
      </w:r>
      <w:r>
        <w:t xml:space="preserve"> </w:t>
      </w:r>
      <w:r>
        <w:rPr>
          <w:i/>
          <w:iCs/>
        </w:rPr>
        <w:t xml:space="preserve">Chapman and Hall/CRC</w:t>
      </w:r>
      <w:r>
        <w:t xml:space="preserve">.</w:t>
      </w:r>
      <w:r>
        <w:t xml:space="preserve"> </w:t>
      </w:r>
      <w:hyperlink r:id="rId155">
        <w:r>
          <w:rPr>
            <w:rStyle w:val="Hyperlink"/>
          </w:rPr>
          <w:t xml:space="preserve">https://doi.org/10.1201/9781420064254</w:t>
        </w:r>
      </w:hyperlink>
      <w:r>
        <w:t xml:space="preserve">.</w:t>
      </w:r>
    </w:p>
    <w:bookmarkEnd w:id="156"/>
    <w:bookmarkStart w:id="158"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57">
        <w:r>
          <w:rPr>
            <w:rStyle w:val="Hyperlink"/>
          </w:rPr>
          <w:t xml:space="preserve">https://doi.org/10.1016/j.euroecorev.2016.11.009</w:t>
        </w:r>
      </w:hyperlink>
      <w:r>
        <w:t xml:space="preserve">.</w:t>
      </w:r>
    </w:p>
    <w:bookmarkEnd w:id="158"/>
    <w:bookmarkStart w:id="160" w:name="ref-li_etal_harmonization"/>
    <w:p>
      <w:pPr>
        <w:pStyle w:val="Bibliography"/>
      </w:pPr>
      <w:r>
        <w:t xml:space="preserve">Li, Xi,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59">
        <w:r>
          <w:rPr>
            <w:rStyle w:val="Hyperlink"/>
          </w:rPr>
          <w:t xml:space="preserve">https://doi.org/10.1038/s41597-020-0510-y</w:t>
        </w:r>
      </w:hyperlink>
      <w:r>
        <w:t xml:space="preserve">.</w:t>
      </w:r>
    </w:p>
    <w:bookmarkEnd w:id="160"/>
    <w:bookmarkStart w:id="162" w:name="ref-mendez_patnaik_notebook"/>
    <w:p>
      <w:pPr>
        <w:pStyle w:val="Bibliography"/>
      </w:pPr>
      <w:r>
        <w:t xml:space="preserve">Mendez, Carlos, and Ayush Patnaik. 2024.</w:t>
      </w:r>
      <w:r>
        <w:t xml:space="preserve"> </w:t>
      </w:r>
      <w:r>
        <w:t xml:space="preserve">“A Python Notebook for Processing Nighttime Lights Data: Methods and Applications.”</w:t>
      </w:r>
      <w:r>
        <w:t xml:space="preserve"> </w:t>
      </w:r>
      <w:r>
        <w:t xml:space="preserve">GitHub Repository.</w:t>
      </w:r>
      <w:r>
        <w:t xml:space="preserve"> </w:t>
      </w:r>
      <w:hyperlink r:id="rId161">
        <w:r>
          <w:rPr>
            <w:rStyle w:val="Hyperlink"/>
          </w:rPr>
          <w:t xml:space="preserve">https://github.com/quarcs-lab/project2022p</w:t>
        </w:r>
      </w:hyperlink>
      <w:r>
        <w:t xml:space="preserve">.</w:t>
      </w:r>
    </w:p>
    <w:bookmarkEnd w:id="162"/>
    <w:bookmarkStart w:id="164" w:name="ref-mendez_santos_asean_lights"/>
    <w:p>
      <w:pPr>
        <w:pStyle w:val="Bibliography"/>
      </w:pPr>
      <w:r>
        <w:t xml:space="preserve">Mendez, Carlos, and Felipe Santos-Marquez. 2020.</w:t>
      </w:r>
      <w:r>
        <w:t xml:space="preserve"> </w:t>
      </w:r>
      <w:r>
        <w:t xml:space="preserve">“Regional Convergence and Spatial Dependence Across Subnational Regions of</w:t>
      </w:r>
      <w:r>
        <w:t xml:space="preserve"> </w:t>
      </w:r>
      <w:r>
        <w:t xml:space="preserve">ASEAN</w:t>
      </w:r>
      <w:r>
        <w:t xml:space="preserve">:</w:t>
      </w:r>
      <w:r>
        <w:t xml:space="preserve"> </w:t>
      </w:r>
      <w:r>
        <w:t xml:space="preserve">Evidence</w:t>
      </w:r>
      <w:r>
        <w:t xml:space="preserve"> </w:t>
      </w:r>
      <w:r>
        <w:t xml:space="preserve">from Satellite Nighttime Light Data.”</w:t>
      </w:r>
      <w:r>
        <w:t xml:space="preserve"> </w:t>
      </w:r>
      <w:r>
        <w:rPr>
          <w:i/>
          <w:iCs/>
        </w:rPr>
        <w:t xml:space="preserve">Regional Science Policy and Practice</w:t>
      </w:r>
      <w:r>
        <w:t xml:space="preserve">.</w:t>
      </w:r>
      <w:r>
        <w:t xml:space="preserve"> </w:t>
      </w:r>
      <w:hyperlink r:id="rId163">
        <w:r>
          <w:rPr>
            <w:rStyle w:val="Hyperlink"/>
          </w:rPr>
          <w:t xml:space="preserve">https://doi.org/10.1111/rsp3.12335</w:t>
        </w:r>
      </w:hyperlink>
      <w:r>
        <w:t xml:space="preserve">.</w:t>
      </w:r>
    </w:p>
    <w:bookmarkEnd w:id="164"/>
    <w:bookmarkStart w:id="166" w:name="ref-miranti_mendez_indonesia"/>
    <w:p>
      <w:pPr>
        <w:pStyle w:val="Bibliography"/>
      </w:pPr>
      <w:r>
        <w:t xml:space="preserve">Miranti, Cani, and Carlos Mendez. 2022.</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w:t>
      </w:r>
      <w:r>
        <w:t xml:space="preserve"> </w:t>
      </w:r>
      <w:hyperlink r:id="rId165">
        <w:r>
          <w:rPr>
            <w:rStyle w:val="Hyperlink"/>
          </w:rPr>
          <w:t xml:space="preserve">https://doi.org/10.1080/00074918.2022.2071415</w:t>
        </w:r>
      </w:hyperlink>
      <w:r>
        <w:t xml:space="preserve">.</w:t>
      </w:r>
    </w:p>
    <w:bookmarkEnd w:id="166"/>
    <w:bookmarkStart w:id="168"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7">
        <w:r>
          <w:rPr>
            <w:rStyle w:val="Hyperlink"/>
          </w:rPr>
          <w:t xml:space="preserve">https://doi.org/10.2307/2332142</w:t>
        </w:r>
      </w:hyperlink>
      <w:r>
        <w:t xml:space="preserve">.</w:t>
      </w:r>
    </w:p>
    <w:bookmarkEnd w:id="168"/>
    <w:bookmarkStart w:id="170"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69">
        <w:r>
          <w:rPr>
            <w:rStyle w:val="Hyperlink"/>
          </w:rPr>
          <w:t xml:space="preserve">https://doi.org/10.1126/science.1213847</w:t>
        </w:r>
      </w:hyperlink>
      <w:r>
        <w:t xml:space="preserve">.</w:t>
      </w:r>
    </w:p>
    <w:bookmarkEnd w:id="170"/>
    <w:bookmarkStart w:id="172"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71">
        <w:r>
          <w:rPr>
            <w:rStyle w:val="Hyperlink"/>
          </w:rPr>
          <w:t xml:space="preserve">https://doi.org/10.1093/qje/qjw003</w:t>
        </w:r>
      </w:hyperlink>
      <w:r>
        <w:t xml:space="preserve">.</w:t>
      </w:r>
    </w:p>
    <w:bookmarkEnd w:id="172"/>
    <w:bookmarkStart w:id="174"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73">
        <w:r>
          <w:rPr>
            <w:rStyle w:val="Hyperlink"/>
          </w:rPr>
          <w:t xml:space="preserve">https://doi.org/10.2307/2235377</w:t>
        </w:r>
      </w:hyperlink>
      <w:r>
        <w:t xml:space="preserve">.</w:t>
      </w:r>
    </w:p>
    <w:bookmarkEnd w:id="174"/>
    <w:bookmarkStart w:id="176"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75">
        <w:r>
          <w:rPr>
            <w:rStyle w:val="Hyperlink"/>
          </w:rPr>
          <w:t xml:space="preserve">https://doi.org/10.1080/00343409950122945</w:t>
        </w:r>
      </w:hyperlink>
      <w:r>
        <w:t xml:space="preserve">.</w:t>
      </w:r>
    </w:p>
    <w:bookmarkEnd w:id="176"/>
    <w:bookmarkStart w:id="178"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77">
        <w:r>
          <w:rPr>
            <w:rStyle w:val="Hyperlink"/>
          </w:rPr>
          <w:t xml:space="preserve">https://doi.org/10.2307/1884513</w:t>
        </w:r>
      </w:hyperlink>
      <w:r>
        <w:t xml:space="preserve">.</w:t>
      </w:r>
    </w:p>
    <w:bookmarkEnd w:id="178"/>
    <w:bookmarkStart w:id="180"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79">
        <w:r>
          <w:rPr>
            <w:rStyle w:val="Hyperlink"/>
          </w:rPr>
          <w:t xml:space="preserve">https://doi.org/10.1016/j.isprsjprs.2020.04.001</w:t>
        </w:r>
      </w:hyperlink>
      <w:r>
        <w:t xml:space="preserve">.</w:t>
      </w:r>
    </w:p>
    <w:bookmarkEnd w:id="180"/>
    <w:bookmarkStart w:id="182" w:name="ref-tipayalai_mendez_thailand"/>
    <w:p>
      <w:pPr>
        <w:pStyle w:val="Bibliography"/>
      </w:pPr>
      <w:r>
        <w:t xml:space="preserve">Tipayalai, Katikar, and Carlos Mendez. 2022.</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w:t>
      </w:r>
      <w:r>
        <w:t xml:space="preserve"> </w:t>
      </w:r>
      <w:hyperlink r:id="rId181">
        <w:r>
          <w:rPr>
            <w:rStyle w:val="Hyperlink"/>
          </w:rPr>
          <w:t xml:space="preserve">https://doi.org/10.1080/13547860.2022.2041286</w:t>
        </w:r>
      </w:hyperlink>
      <w:r>
        <w:t xml:space="preserve">.</w:t>
      </w:r>
    </w:p>
    <w:bookmarkEnd w:id="182"/>
    <w:bookmarkStart w:id="184" w:name="ref-ursavas_mendez_turkey"/>
    <w:p>
      <w:pPr>
        <w:pStyle w:val="Bibliography"/>
      </w:pPr>
      <w:r>
        <w:t xml:space="preserve">Ursavas, Ugur, and Carlos Mendez. 2022.</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w:t>
      </w:r>
      <w:r>
        <w:t xml:space="preserve"> </w:t>
      </w:r>
      <w:hyperlink r:id="rId183">
        <w:r>
          <w:rPr>
            <w:rStyle w:val="Hyperlink"/>
          </w:rPr>
          <w:t xml:space="preserve">https://doi.org/10.1007/s00168-022-01168-0</w:t>
        </w:r>
      </w:hyperlink>
      <w:r>
        <w:t xml:space="preserve">.</w:t>
      </w:r>
    </w:p>
    <w:bookmarkEnd w:id="184"/>
    <w:bookmarkEnd w:id="185"/>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 There were 593 districts in 2001, which rose to 640 districts in the 2011 census. To match the districts among two census files, we summed up the carved-out districts with their origin districts in the 2011 census files. Eight districts among 47 new districts were created by carving out some areas from multiple districts. Those new districts along with their multiple-origin districts were dropped from our sample. We dropped all the districts in the state of Assam where more than 50% of districts were created in that manner.</w:t>
      </w:r>
    </w:p>
  </w:footnote>
  <w:footnote w:id="36">
    <w:p>
      <w:pPr>
        <w:pStyle w:val="FootnoteText"/>
      </w:pPr>
      <w:r>
        <w:rPr>
          <w:rStyle w:val="FootnoteReference"/>
        </w:rPr>
        <w:footnoteRef/>
      </w:r>
      <w:r>
        <w:t xml:space="preserve"> </w:t>
      </w:r>
      <w:r>
        <w:t xml:space="preserve">The interactive web application is available at</w:t>
      </w:r>
      <w:r>
        <w:t xml:space="preserve"> </w:t>
      </w:r>
      <w:hyperlink r:id="rId37">
        <w:r>
          <w:rPr>
            <w:rStyle w:val="Hyperlink"/>
          </w:rPr>
          <w:t xml:space="preserve">https://bit.ly/india-rc-ntl</w:t>
        </w:r>
      </w:hyperlink>
      <w:r>
        <w:t xml:space="preserve">.</w:t>
      </w:r>
    </w:p>
  </w:footnote>
  <w:footnote w:id="47">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6" Target="media/rId66.png" /><Relationship Type="http://schemas.openxmlformats.org/officeDocument/2006/relationships/image" Id="rId61" Target="media/rId61.png" /><Relationship Type="http://schemas.openxmlformats.org/officeDocument/2006/relationships/hyperlink" Id="rId37" Target="https://bit.ly/india-rc-ntl" TargetMode="External" /><Relationship Type="http://schemas.openxmlformats.org/officeDocument/2006/relationships/hyperlink" Id="rId124" Target="https://doi.org/10.1002/jae.3950100404" TargetMode="External" /><Relationship Type="http://schemas.openxmlformats.org/officeDocument/2006/relationships/hyperlink" Id="rId128" Target="https://doi.org/10.1002/jae.963" TargetMode="External" /><Relationship Type="http://schemas.openxmlformats.org/officeDocument/2006/relationships/hyperlink" Id="rId97" Target="https://doi.org/10.1007/978-94-015-7799-1" TargetMode="External" /><Relationship Type="http://schemas.openxmlformats.org/officeDocument/2006/relationships/hyperlink" Id="rId130" Target="https://doi.org/10.1007/s00168-010-0384-6" TargetMode="External" /><Relationship Type="http://schemas.openxmlformats.org/officeDocument/2006/relationships/hyperlink" Id="rId183" Target="https://doi.org/10.1007/s00168-022-01168-0" TargetMode="External" /><Relationship Type="http://schemas.openxmlformats.org/officeDocument/2006/relationships/hyperlink" Id="rId132" Target="https://doi.org/10.1007/s10887-014-9105-9" TargetMode="External" /><Relationship Type="http://schemas.openxmlformats.org/officeDocument/2006/relationships/hyperlink" Id="rId150" Target="https://doi.org/10.1007/s11205-025-03718-3" TargetMode="External" /><Relationship Type="http://schemas.openxmlformats.org/officeDocument/2006/relationships/hyperlink" Id="rId116" Target="https://doi.org/10.1007/s12076-024-00375-x" TargetMode="External" /><Relationship Type="http://schemas.openxmlformats.org/officeDocument/2006/relationships/hyperlink" Id="rId142" Target="https://doi.org/10.1007/s12076-025-00397-z" TargetMode="External" /><Relationship Type="http://schemas.openxmlformats.org/officeDocument/2006/relationships/hyperlink" Id="rId105" Target="https://doi.org/10.1016/j.asieco.2021.101318" TargetMode="External" /><Relationship Type="http://schemas.openxmlformats.org/officeDocument/2006/relationships/hyperlink" Id="rId157" Target="https://doi.org/10.1016/j.euroecorev.2016.11.009" TargetMode="External" /><Relationship Type="http://schemas.openxmlformats.org/officeDocument/2006/relationships/hyperlink" Id="rId179" Target="https://doi.org/10.1016/j.isprsjprs.2020.04.001" TargetMode="External" /><Relationship Type="http://schemas.openxmlformats.org/officeDocument/2006/relationships/hyperlink" Id="rId91" Target="https://doi.org/10.1016/j.jdeveco.2020.102467" TargetMode="External" /><Relationship Type="http://schemas.openxmlformats.org/officeDocument/2006/relationships/hyperlink" Id="rId134" Target="https://doi.org/10.1016/j.jdeveco.2020.102602" TargetMode="External" /><Relationship Type="http://schemas.openxmlformats.org/officeDocument/2006/relationships/hyperlink" Id="rId146" Target="https://doi.org/10.1016/j.jdeveco.2021.102726" TargetMode="External" /><Relationship Type="http://schemas.openxmlformats.org/officeDocument/2006/relationships/hyperlink" Id="rId108" Target="https://doi.org/10.1016/j.jdeveco.2022.102835" TargetMode="External" /><Relationship Type="http://schemas.openxmlformats.org/officeDocument/2006/relationships/hyperlink" Id="rId138" Target="https://doi.org/10.1016/j.rse.2017.06.031" TargetMode="External" /><Relationship Type="http://schemas.openxmlformats.org/officeDocument/2006/relationships/hyperlink" Id="rId89" Target="https://doi.org/10.1016/j.rse.2018.03.018" TargetMode="External" /><Relationship Type="http://schemas.openxmlformats.org/officeDocument/2006/relationships/hyperlink" Id="rId120" Target="https://doi.org/10.1016/j.strueco.2023.07.009" TargetMode="External" /><Relationship Type="http://schemas.openxmlformats.org/officeDocument/2006/relationships/hyperlink" Id="rId148" Target="https://doi.org/10.1016/j.worlddev.2014.08.017" TargetMode="External" /><Relationship Type="http://schemas.openxmlformats.org/officeDocument/2006/relationships/hyperlink" Id="rId110" Target="https://doi.org/10.1016/j.worlddev.2020.104961" TargetMode="External" /><Relationship Type="http://schemas.openxmlformats.org/officeDocument/2006/relationships/hyperlink" Id="rId159" Target="https://doi.org/10.1038/s41597-020-0510-y" TargetMode="External" /><Relationship Type="http://schemas.openxmlformats.org/officeDocument/2006/relationships/hyperlink" Id="rId112" Target="https://doi.org/10.1073/pnas.1017031108" TargetMode="External" /><Relationship Type="http://schemas.openxmlformats.org/officeDocument/2006/relationships/hyperlink" Id="rId136" Target="https://doi.org/10.1080/00036846.2024.2439583" TargetMode="External" /><Relationship Type="http://schemas.openxmlformats.org/officeDocument/2006/relationships/hyperlink" Id="rId165" Target="https://doi.org/10.1080/00074918.2022.2071415" TargetMode="External" /><Relationship Type="http://schemas.openxmlformats.org/officeDocument/2006/relationships/hyperlink" Id="rId175" Target="https://doi.org/10.1080/00343409950122945" TargetMode="External" /><Relationship Type="http://schemas.openxmlformats.org/officeDocument/2006/relationships/hyperlink" Id="rId126" Target="https://doi.org/10.1080/01431161.2017.1342050" TargetMode="External" /><Relationship Type="http://schemas.openxmlformats.org/officeDocument/2006/relationships/hyperlink" Id="rId93" Target="https://doi.org/10.1080/13547860.2020.1868107" TargetMode="External" /><Relationship Type="http://schemas.openxmlformats.org/officeDocument/2006/relationships/hyperlink" Id="rId181" Target="https://doi.org/10.1080/13547860.2022.2041286" TargetMode="External" /><Relationship Type="http://schemas.openxmlformats.org/officeDocument/2006/relationships/hyperlink" Id="rId103" Target="https://doi.org/10.1086/261816" TargetMode="External" /><Relationship Type="http://schemas.openxmlformats.org/officeDocument/2006/relationships/hyperlink" Id="rId153" Target="https://doi.org/10.1093/comjnl/27.2.97" TargetMode="External" /><Relationship Type="http://schemas.openxmlformats.org/officeDocument/2006/relationships/hyperlink" Id="rId171" Target="https://doi.org/10.1093/qje/qjw003" TargetMode="External" /><Relationship Type="http://schemas.openxmlformats.org/officeDocument/2006/relationships/hyperlink" Id="rId99" Target="https://doi.org/10.1111/j.1538-4632.1995.tb00338.x" TargetMode="External" /><Relationship Type="http://schemas.openxmlformats.org/officeDocument/2006/relationships/hyperlink" Id="rId163" Target="https://doi.org/10.1111/rsp3.12335" TargetMode="External" /><Relationship Type="http://schemas.openxmlformats.org/officeDocument/2006/relationships/hyperlink" Id="rId169" Target="https://doi.org/10.1126/science.1213847" TargetMode="External" /><Relationship Type="http://schemas.openxmlformats.org/officeDocument/2006/relationships/hyperlink" Id="rId144" Target="https://doi.org/10.1126/science.aaf7894" TargetMode="External" /><Relationship Type="http://schemas.openxmlformats.org/officeDocument/2006/relationships/hyperlink" Id="rId118" Target="https://doi.org/10.1162/rest_a_00951" TargetMode="External" /><Relationship Type="http://schemas.openxmlformats.org/officeDocument/2006/relationships/hyperlink" Id="rId155" Target="https://doi.org/10.1201/9781420064254" TargetMode="External" /><Relationship Type="http://schemas.openxmlformats.org/officeDocument/2006/relationships/hyperlink" Id="rId140" Target="https://doi.org/10.1257/aer.102.2.994" TargetMode="External" /><Relationship Type="http://schemas.openxmlformats.org/officeDocument/2006/relationships/hyperlink" Id="rId101" Target="https://doi.org/10.1257/aer.20180268" TargetMode="External" /><Relationship Type="http://schemas.openxmlformats.org/officeDocument/2006/relationships/hyperlink" Id="rId122" Target="https://doi.org/10.1257/jep.30.4.171" TargetMode="External" /><Relationship Type="http://schemas.openxmlformats.org/officeDocument/2006/relationships/hyperlink" Id="rId177" Target="https://doi.org/10.2307/1884513" TargetMode="External" /><Relationship Type="http://schemas.openxmlformats.org/officeDocument/2006/relationships/hyperlink" Id="rId173" Target="https://doi.org/10.2307/2235377" TargetMode="External" /><Relationship Type="http://schemas.openxmlformats.org/officeDocument/2006/relationships/hyperlink" Id="rId167" Target="https://doi.org/10.2307/2332142" TargetMode="External" /><Relationship Type="http://schemas.openxmlformats.org/officeDocument/2006/relationships/hyperlink" Id="rId114" Target="https://doi.org/10.3390/rs70404937" TargetMode="External" /><Relationship Type="http://schemas.openxmlformats.org/officeDocument/2006/relationships/hyperlink" Id="rId161" Target="https://github.com/quarcs-lab/project2022p" TargetMode="External" /><Relationship Type="http://schemas.openxmlformats.org/officeDocument/2006/relationships/hyperlink" Id="rId87" Target="https://github.com/quarcs-lab/project2025s" TargetMode="External" /><Relationship Type="http://schemas.openxmlformats.org/officeDocument/2006/relationships/hyperlink" Id="rId88" Target="https://quarcs-lab.github.io/project2025s/" TargetMode="External" /><Relationship Type="http://schemas.openxmlformats.org/officeDocument/2006/relationships/hyperlink" Id="rId53" Target="https://quarcs-lab.github.io/project2025s/notebooks/c02_regional_convergence_sc.ipynb.html#cell-fig-convergence" TargetMode="External" /><Relationship Type="http://schemas.openxmlformats.org/officeDocument/2006/relationships/hyperlink" Id="rId65" Target="https://quarcs-lab.github.io/project2025s/notebooks/c03_spatial_dependence_lisa.ipynb.html#cell-fig-Wmatrix6nn" TargetMode="External" /><Relationship Type="http://schemas.openxmlformats.org/officeDocument/2006/relationships/hyperlink" Id="rId60" Target="https://quarcs-lab.github.io/project2025s/notebooks/c03_spatial_dependence_lisa.ipynb.html#cell-fig-chorophleths" TargetMode="External" /><Relationship Type="http://schemas.openxmlformats.org/officeDocument/2006/relationships/hyperlink" Id="rId75" Target="https://quarcs-lab.github.io/project2025s/notebooks/c03_spatial_dependence_lisa.ipynb.html#cell-fig-dependence-growth" TargetMode="External" /><Relationship Type="http://schemas.openxmlformats.org/officeDocument/2006/relationships/hyperlink" Id="rId70" Target="https://quarcs-lab.github.io/project2025s/notebooks/c03_spatial_dependence_lisa.ipynb.html#cell-fig-dependence-initial" TargetMode="External" /><Relationship Type="http://schemas.openxmlformats.org/officeDocument/2006/relationships/hyperlink" Id="rId95" Target="https://quarto.org" TargetMode="External" /><Relationship Type="http://schemas.openxmlformats.org/officeDocument/2006/relationships/hyperlink" Id="rId41" Target="notebooks/c01_view_from_space.ipynb" TargetMode="External" /><Relationship Type="http://schemas.openxmlformats.org/officeDocument/2006/relationships/hyperlink" Id="rId51" Target="notebooks/c02_regional_convergence_sc.ipynb" TargetMode="External" /><Relationship Type="http://schemas.openxmlformats.org/officeDocument/2006/relationships/hyperlink" Id="rId58"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37" Target="https://bit.ly/india-rc-ntl" TargetMode="External" /><Relationship Type="http://schemas.openxmlformats.org/officeDocument/2006/relationships/hyperlink" Id="rId124" Target="https://doi.org/10.1002/jae.3950100404" TargetMode="External" /><Relationship Type="http://schemas.openxmlformats.org/officeDocument/2006/relationships/hyperlink" Id="rId128" Target="https://doi.org/10.1002/jae.963" TargetMode="External" /><Relationship Type="http://schemas.openxmlformats.org/officeDocument/2006/relationships/hyperlink" Id="rId97" Target="https://doi.org/10.1007/978-94-015-7799-1" TargetMode="External" /><Relationship Type="http://schemas.openxmlformats.org/officeDocument/2006/relationships/hyperlink" Id="rId130" Target="https://doi.org/10.1007/s00168-010-0384-6" TargetMode="External" /><Relationship Type="http://schemas.openxmlformats.org/officeDocument/2006/relationships/hyperlink" Id="rId183" Target="https://doi.org/10.1007/s00168-022-01168-0" TargetMode="External" /><Relationship Type="http://schemas.openxmlformats.org/officeDocument/2006/relationships/hyperlink" Id="rId132" Target="https://doi.org/10.1007/s10887-014-9105-9" TargetMode="External" /><Relationship Type="http://schemas.openxmlformats.org/officeDocument/2006/relationships/hyperlink" Id="rId150" Target="https://doi.org/10.1007/s11205-025-03718-3" TargetMode="External" /><Relationship Type="http://schemas.openxmlformats.org/officeDocument/2006/relationships/hyperlink" Id="rId116" Target="https://doi.org/10.1007/s12076-024-00375-x" TargetMode="External" /><Relationship Type="http://schemas.openxmlformats.org/officeDocument/2006/relationships/hyperlink" Id="rId142" Target="https://doi.org/10.1007/s12076-025-00397-z" TargetMode="External" /><Relationship Type="http://schemas.openxmlformats.org/officeDocument/2006/relationships/hyperlink" Id="rId105" Target="https://doi.org/10.1016/j.asieco.2021.101318" TargetMode="External" /><Relationship Type="http://schemas.openxmlformats.org/officeDocument/2006/relationships/hyperlink" Id="rId157" Target="https://doi.org/10.1016/j.euroecorev.2016.11.009" TargetMode="External" /><Relationship Type="http://schemas.openxmlformats.org/officeDocument/2006/relationships/hyperlink" Id="rId179" Target="https://doi.org/10.1016/j.isprsjprs.2020.04.001" TargetMode="External" /><Relationship Type="http://schemas.openxmlformats.org/officeDocument/2006/relationships/hyperlink" Id="rId91" Target="https://doi.org/10.1016/j.jdeveco.2020.102467" TargetMode="External" /><Relationship Type="http://schemas.openxmlformats.org/officeDocument/2006/relationships/hyperlink" Id="rId134" Target="https://doi.org/10.1016/j.jdeveco.2020.102602" TargetMode="External" /><Relationship Type="http://schemas.openxmlformats.org/officeDocument/2006/relationships/hyperlink" Id="rId146" Target="https://doi.org/10.1016/j.jdeveco.2021.102726" TargetMode="External" /><Relationship Type="http://schemas.openxmlformats.org/officeDocument/2006/relationships/hyperlink" Id="rId108" Target="https://doi.org/10.1016/j.jdeveco.2022.102835" TargetMode="External" /><Relationship Type="http://schemas.openxmlformats.org/officeDocument/2006/relationships/hyperlink" Id="rId138" Target="https://doi.org/10.1016/j.rse.2017.06.031" TargetMode="External" /><Relationship Type="http://schemas.openxmlformats.org/officeDocument/2006/relationships/hyperlink" Id="rId89" Target="https://doi.org/10.1016/j.rse.2018.03.018" TargetMode="External" /><Relationship Type="http://schemas.openxmlformats.org/officeDocument/2006/relationships/hyperlink" Id="rId120" Target="https://doi.org/10.1016/j.strueco.2023.07.009" TargetMode="External" /><Relationship Type="http://schemas.openxmlformats.org/officeDocument/2006/relationships/hyperlink" Id="rId148" Target="https://doi.org/10.1016/j.worlddev.2014.08.017" TargetMode="External" /><Relationship Type="http://schemas.openxmlformats.org/officeDocument/2006/relationships/hyperlink" Id="rId110" Target="https://doi.org/10.1016/j.worlddev.2020.104961" TargetMode="External" /><Relationship Type="http://schemas.openxmlformats.org/officeDocument/2006/relationships/hyperlink" Id="rId159" Target="https://doi.org/10.1038/s41597-020-0510-y" TargetMode="External" /><Relationship Type="http://schemas.openxmlformats.org/officeDocument/2006/relationships/hyperlink" Id="rId112" Target="https://doi.org/10.1073/pnas.1017031108" TargetMode="External" /><Relationship Type="http://schemas.openxmlformats.org/officeDocument/2006/relationships/hyperlink" Id="rId136" Target="https://doi.org/10.1080/00036846.2024.2439583" TargetMode="External" /><Relationship Type="http://schemas.openxmlformats.org/officeDocument/2006/relationships/hyperlink" Id="rId165" Target="https://doi.org/10.1080/00074918.2022.2071415" TargetMode="External" /><Relationship Type="http://schemas.openxmlformats.org/officeDocument/2006/relationships/hyperlink" Id="rId175" Target="https://doi.org/10.1080/00343409950122945" TargetMode="External" /><Relationship Type="http://schemas.openxmlformats.org/officeDocument/2006/relationships/hyperlink" Id="rId126" Target="https://doi.org/10.1080/01431161.2017.1342050" TargetMode="External" /><Relationship Type="http://schemas.openxmlformats.org/officeDocument/2006/relationships/hyperlink" Id="rId93" Target="https://doi.org/10.1080/13547860.2020.1868107" TargetMode="External" /><Relationship Type="http://schemas.openxmlformats.org/officeDocument/2006/relationships/hyperlink" Id="rId181" Target="https://doi.org/10.1080/13547860.2022.2041286" TargetMode="External" /><Relationship Type="http://schemas.openxmlformats.org/officeDocument/2006/relationships/hyperlink" Id="rId103" Target="https://doi.org/10.1086/261816" TargetMode="External" /><Relationship Type="http://schemas.openxmlformats.org/officeDocument/2006/relationships/hyperlink" Id="rId153" Target="https://doi.org/10.1093/comjnl/27.2.97" TargetMode="External" /><Relationship Type="http://schemas.openxmlformats.org/officeDocument/2006/relationships/hyperlink" Id="rId171" Target="https://doi.org/10.1093/qje/qjw003" TargetMode="External" /><Relationship Type="http://schemas.openxmlformats.org/officeDocument/2006/relationships/hyperlink" Id="rId99" Target="https://doi.org/10.1111/j.1538-4632.1995.tb00338.x" TargetMode="External" /><Relationship Type="http://schemas.openxmlformats.org/officeDocument/2006/relationships/hyperlink" Id="rId163" Target="https://doi.org/10.1111/rsp3.12335" TargetMode="External" /><Relationship Type="http://schemas.openxmlformats.org/officeDocument/2006/relationships/hyperlink" Id="rId169" Target="https://doi.org/10.1126/science.1213847" TargetMode="External" /><Relationship Type="http://schemas.openxmlformats.org/officeDocument/2006/relationships/hyperlink" Id="rId144" Target="https://doi.org/10.1126/science.aaf7894" TargetMode="External" /><Relationship Type="http://schemas.openxmlformats.org/officeDocument/2006/relationships/hyperlink" Id="rId118" Target="https://doi.org/10.1162/rest_a_00951" TargetMode="External" /><Relationship Type="http://schemas.openxmlformats.org/officeDocument/2006/relationships/hyperlink" Id="rId155" Target="https://doi.org/10.1201/9781420064254" TargetMode="External" /><Relationship Type="http://schemas.openxmlformats.org/officeDocument/2006/relationships/hyperlink" Id="rId140" Target="https://doi.org/10.1257/aer.102.2.994" TargetMode="External" /><Relationship Type="http://schemas.openxmlformats.org/officeDocument/2006/relationships/hyperlink" Id="rId101" Target="https://doi.org/10.1257/aer.20180268" TargetMode="External" /><Relationship Type="http://schemas.openxmlformats.org/officeDocument/2006/relationships/hyperlink" Id="rId122" Target="https://doi.org/10.1257/jep.30.4.171" TargetMode="External" /><Relationship Type="http://schemas.openxmlformats.org/officeDocument/2006/relationships/hyperlink" Id="rId177" Target="https://doi.org/10.2307/1884513" TargetMode="External" /><Relationship Type="http://schemas.openxmlformats.org/officeDocument/2006/relationships/hyperlink" Id="rId173" Target="https://doi.org/10.2307/2235377" TargetMode="External" /><Relationship Type="http://schemas.openxmlformats.org/officeDocument/2006/relationships/hyperlink" Id="rId167" Target="https://doi.org/10.2307/2332142" TargetMode="External" /><Relationship Type="http://schemas.openxmlformats.org/officeDocument/2006/relationships/hyperlink" Id="rId114" Target="https://doi.org/10.3390/rs70404937" TargetMode="External" /><Relationship Type="http://schemas.openxmlformats.org/officeDocument/2006/relationships/hyperlink" Id="rId161" Target="https://github.com/quarcs-lab/project2022p" TargetMode="External" /><Relationship Type="http://schemas.openxmlformats.org/officeDocument/2006/relationships/hyperlink" Id="rId87" Target="https://github.com/quarcs-lab/project2025s" TargetMode="External" /><Relationship Type="http://schemas.openxmlformats.org/officeDocument/2006/relationships/hyperlink" Id="rId88" Target="https://quarcs-lab.github.io/project2025s/" TargetMode="External" /><Relationship Type="http://schemas.openxmlformats.org/officeDocument/2006/relationships/hyperlink" Id="rId53" Target="https://quarcs-lab.github.io/project2025s/notebooks/c02_regional_convergence_sc.ipynb.html#cell-fig-convergence" TargetMode="External" /><Relationship Type="http://schemas.openxmlformats.org/officeDocument/2006/relationships/hyperlink" Id="rId65" Target="https://quarcs-lab.github.io/project2025s/notebooks/c03_spatial_dependence_lisa.ipynb.html#cell-fig-Wmatrix6nn" TargetMode="External" /><Relationship Type="http://schemas.openxmlformats.org/officeDocument/2006/relationships/hyperlink" Id="rId60" Target="https://quarcs-lab.github.io/project2025s/notebooks/c03_spatial_dependence_lisa.ipynb.html#cell-fig-chorophleths" TargetMode="External" /><Relationship Type="http://schemas.openxmlformats.org/officeDocument/2006/relationships/hyperlink" Id="rId75" Target="https://quarcs-lab.github.io/project2025s/notebooks/c03_spatial_dependence_lisa.ipynb.html#cell-fig-dependence-growth" TargetMode="External" /><Relationship Type="http://schemas.openxmlformats.org/officeDocument/2006/relationships/hyperlink" Id="rId70" Target="https://quarcs-lab.github.io/project2025s/notebooks/c03_spatial_dependence_lisa.ipynb.html#cell-fig-dependence-initial" TargetMode="External" /><Relationship Type="http://schemas.openxmlformats.org/officeDocument/2006/relationships/hyperlink" Id="rId95" Target="https://quarto.org" TargetMode="External" /><Relationship Type="http://schemas.openxmlformats.org/officeDocument/2006/relationships/hyperlink" Id="rId41" Target="notebooks/c01_view_from_space.ipynb" TargetMode="External" /><Relationship Type="http://schemas.openxmlformats.org/officeDocument/2006/relationships/hyperlink" Id="rId51" Target="notebooks/c02_regional_convergence_sc.ipynb" TargetMode="External" /><Relationship Type="http://schemas.openxmlformats.org/officeDocument/2006/relationships/hyperlink" Id="rId58"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Carlos Mendez; Sujana Kabiraj; Jiaqi Li</dc:creator>
  <cp:keywords>Reproducible research, Nighttime lights, Regional convergence, Spatial spillovers, Spatial Durbin model, India</cp:keywords>
  <dcterms:created xsi:type="dcterms:W3CDTF">2026-03-01T12:22:05Z</dcterms:created>
  <dcterms:modified xsi:type="dcterms:W3CDTF">2026-03-01T12:22:05Z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Based on a reproducible open-science approach, this article builds on their work by confirming and extending their main findings on three fronts. First, we illustrate regional convergence patterns using an interactive web-based tool for satellite image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through the lens of satellite imagery, interactive visualizations, and spillover modeling.</vt:lpwstr>
  </property>
  <property fmtid="{D5CDD505-2E9C-101B-9397-08002B2CF9AE}" pid="3" name="accepted">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visual</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ceived">
    <vt:lpwstr>February 4, 2026</vt:lpwstr>
  </property>
  <property fmtid="{D5CDD505-2E9C-101B-9397-08002B2CF9AE}" pid="23" name="remove-hidden">
    <vt:lpwstr>all</vt:lpwstr>
  </property>
  <property fmtid="{D5CDD505-2E9C-101B-9397-08002B2CF9AE}" pid="24" name="subtitle">
    <vt:lpwstr>A reproducible view from outer space</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