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9.png" ContentType="image/png"/>
  <Override PartName="/word/media/rId43.png" ContentType="image/png"/>
  <Override PartName="/word/media/rId54.png" ContentType="image/png"/>
  <Override PartName="/word/media/rId67.png" ContentType="image/png"/>
  <Override PartName="/word/media/rId6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Based on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highlight that spatial autocorrelation is a relevant feature of satellite data and the regional convergence process.</w:t>
      </w:r>
      <w:r>
        <w:t xml:space="preserve"> </w:t>
      </w:r>
      <w:r>
        <w:t xml:space="preserve">Third, we employ a spatial Durbin model that explicitly accounts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In addition to these methodological contributions, this article adopts a reproducible open-science approach by leveraging Jupyter notebooks and the Quarto publishing system.</w:t>
      </w:r>
      <w:r>
        <w:t xml:space="preserve"> </w:t>
      </w:r>
      <w:r>
        <w:t xml:space="preserve">Jupyter notebooks integrate executable code, narrative text, and computational outputs within a single document, supporting multiple programming languages such as Python, R, and Stata.</w:t>
      </w:r>
      <w:r>
        <w:t xml:space="preserve"> </w:t>
      </w:r>
      <w:r>
        <w:t xml:space="preserve">Quarto is an open-source publishing system that generates multiple output formats—including HTML, PDF, and Word—from a single source file, ensuring consistency across all versions of a document.</w:t>
      </w:r>
      <w:r>
        <w:t xml:space="preserve"> </w:t>
      </w:r>
      <w:r>
        <w:t xml:space="preserve">Together, these tools foster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(2020)</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w:t>
      </w:r>
      <w:r>
        <w:t xml:space="preserve"> </w:t>
      </w:r>
      <w:r>
        <w:t xml:space="preserve">They find that national accounts better capture aggregate economic growth.</w:t>
      </w:r>
      <w:r>
        <w:t xml:space="preserve"> </w:t>
      </w:r>
      <w:r>
        <w:t xml:space="preserve">Similarly,</w:t>
      </w:r>
      <w:r>
        <w:t xml:space="preserve"> </w:t>
      </w:r>
      <w:r>
        <w:t xml:space="preserve">Lessmann and Seidel (2017)</w:t>
      </w:r>
      <w:r>
        <w:t xml:space="preserve"> </w:t>
      </w:r>
      <w:r>
        <w:t xml:space="preserve">leverage NTL data to estimate GDP per capita and spatial inequality globally.</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w:t>
      </w:r>
      <w:r>
        <w:t xml:space="preserve"> </w:t>
      </w:r>
      <w:r>
        <w:t xml:space="preserve">Jha and Talathi (2021)</w:t>
      </w:r>
      <w:r>
        <w:t xml:space="preserve"> </w:t>
      </w:r>
      <w:r>
        <w:t xml:space="preserve">examine the effects of colonial institutions.</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(2019)</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an essential tool for reproducible open science.</w:t>
      </w:r>
      <w:r>
        <w:t xml:space="preserve"> </w:t>
      </w:r>
      <w:r>
        <w:t xml:space="preserve">They allow researchers to integrate executable code, explanatory narrative, and computational outputs within a single self-contained document</w:t>
      </w:r>
      <w:r>
        <w:t xml:space="preserve"> </w:t>
      </w:r>
      <w:r>
        <w:t xml:space="preserve">(Kluyver et al. 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where code, results, and interpretation are separated across different files and software environments,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enables readers to trace each result back to the code that produced it.</w:t>
      </w:r>
      <w:r>
        <w:t xml:space="preserve"> </w:t>
      </w:r>
      <w:r>
        <w:t xml:space="preserve">Moreover, Python and R notebooks can be executed in the cloud using Google Colaboratory.</w:t>
      </w:r>
      <w:r>
        <w:t xml:space="preserve"> </w:t>
      </w:r>
      <w:r>
        <w:t xml:space="preserve">While Stata is not open-source software, its integration with the Jupyter environment provides a rich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comprehensive manuscript preparation framework</w:t>
      </w:r>
      <w:r>
        <w:t xml:space="preserve"> </w:t>
      </w:r>
      <w:r>
        <w:t xml:space="preserve">(Allaire et al. 2024)</w:t>
      </w:r>
      <w:r>
        <w:t xml:space="preserve">.</w:t>
      </w:r>
      <w:r>
        <w:t xml:space="preserve"> </w:t>
      </w:r>
      <w:r>
        <w:t xml:space="preserve">Its single-source publishing approach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publication-quality research.</w:t>
      </w:r>
    </w:p>
    <w:p>
      <w:pPr>
        <w:pStyle w:val="BodyText"/>
      </w:pPr>
      <w:r>
        <w:t xml:space="preserve">The combination of Jupyter notebooks and Quarto’s manuscript framework creates a rich infrastructure for reproducible research.</w:t>
      </w:r>
      <w:r>
        <w:t xml:space="preserve"> </w:t>
      </w:r>
      <w:r>
        <w:t xml:space="preserve">In this article, the figures and tables that appear in the manuscript are programmatically embedded from specific Jupyter notebook cells.</w:t>
      </w:r>
      <w:r>
        <w:t xml:space="preserve"> </w:t>
      </w:r>
      <w:r>
        <w:t xml:space="preserve">This ensures that every empirical finding presented in the text is directly traceable to its underlying computation.</w:t>
      </w:r>
      <w:r>
        <w:t xml:space="preserve"> </w:t>
      </w:r>
      <w:r>
        <w:t xml:space="preserve">All data processing and analysis steps are documented in the notebooks, and we provide access to the raw data and code through a public GitHub repository.</w:t>
      </w:r>
      <w:r>
        <w:t xml:space="preserve"> </w:t>
      </w:r>
      <w:r>
        <w:t xml:space="preserve">By adopting this integrated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methodological advantages over static representations, particularly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enables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The ability to dynamically adjust visualization parameters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analyzing satellite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enables the development of web applications that can be shared with other researchers.</w:t>
      </w:r>
      <w:r>
        <w:t xml:space="preserve"> </w:t>
      </w:r>
      <w:r>
        <w:t xml:space="preserve">The platform’s ability to handle large-scale geospatial computations significantly streamlines the workflow from raw data to interactive visualization.</w:t>
      </w:r>
      <w:r>
        <w:t xml:space="preserve"> </w:t>
      </w:r>
      <w:r>
        <w:t xml:space="preserve">Its extensive catalog of pre-processed nighttime lights datasets, including the DMSP-OLS and VIIRS collections, further reduces the storage and processing burden</w:t>
      </w:r>
      <w:r>
        <w:t xml:space="preserve"> </w:t>
      </w:r>
      <w:r>
        <w:t xml:space="preserve">(Tamiminia et al. 2020)</w:t>
      </w:r>
      <w:r>
        <w:t xml:space="preserve">.</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24"/>
    <w:bookmarkStart w:id="27"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a region’s initial endowment, primarily due to diminishing returns to capital accumulation</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Thus, over the long run, regions with similar characteristics should converge to a common steady state.</w:t>
      </w:r>
      <w:r>
        <w:t xml:space="preserve"> </w:t>
      </w:r>
      <w:r>
        <w:t xml:space="preserve">We examine this convergence hypothesis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presents this convergence process in its simplest (unconditional) form.</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As there are no control variables, this simple convergence framework implies that districts converge to a common steady state.</w:t>
      </w:r>
      <w:r>
        <w:t xml:space="preserve"> </w:t>
      </w:r>
      <w:r>
        <w:t xml:space="preserve">However, regions may differ in various aspects such as geography, socio-economic conditions, and policy implementation.</w:t>
      </w:r>
      <w:r>
        <w:t xml:space="preserve"> </w:t>
      </w:r>
      <w:r>
        <w:t xml:space="preserve">To account for these differences, we include state fixed effects to control for state-specific institutions and policies that influence the rate of convergence.</w:t>
      </w:r>
      <w:r>
        <w:t xml:space="preserve"> </w:t>
      </w:r>
      <w:r>
        <w:t xml:space="preserve">Additionally, we incorporate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full list of control variables and their descriptions are available in Table A.1 of</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Taken together, 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crucial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w:t>
      </w:r>
      <w:r>
        <w:t xml:space="preserve"> </w:t>
      </w:r>
      <m:oMath>
        <m:r>
          <m:rPr>
            <m:sty m:val="b"/>
          </m:rPr>
          <m:t>W</m:t>
        </m:r>
        <m:r>
          <m:rPr>
            <m:sty m:val="b"/>
          </m:rPr>
          <m:t>x</m:t>
        </m:r>
      </m:oMath>
      <w:r>
        <w:t xml:space="preserve">, represents the average value among a district’s neighbors.</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dependence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w:t>
      </w:r>
      <w:r>
        <w:t xml:space="preserve"> </w:t>
      </w:r>
      <w:r>
        <w:t xml:space="preserve">Their model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regional spillovers in the convergence process.</w:t>
      </w:r>
      <w:r>
        <w:t xml:space="preserve"> </w:t>
      </w:r>
      <w:r>
        <w:t xml:space="preserve">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an</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per-capita NTL, and the per-capita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4" w:name="results"/>
    <w:p>
      <w:pPr>
        <w:pStyle w:val="Heading2"/>
      </w:pPr>
      <w:r>
        <w:t xml:space="preserve">Results</w:t>
      </w:r>
    </w:p>
    <w:bookmarkStart w:id="5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36"/>
      </w:r>
      <w:r>
        <w:t xml:space="preserve"> </w:t>
      </w:r>
      <w:r>
        <w:t xml:space="preserve">Second, we examine absolute convergence by constructing a convergence scatterplot.</w:t>
      </w:r>
      <w:r>
        <w:t xml:space="preserve"> </w:t>
      </w:r>
      <w:r>
        <w:t xml:space="preserve">This scatterplot depicts the relationship between per-capita growth rates in nighttime lights (1996–2010) and initial per-capita nighttime light levels (1996) for each district.</w:t>
      </w:r>
      <w:r>
        <w:t xml:space="preserve"> </w:t>
      </w:r>
      <w:r>
        <w:t xml:space="preserve">Finally, we present some case studies to illustrate the nighttime light growth that occurred during our study period.</w:t>
      </w:r>
      <w:r>
        <w:t xml:space="preserve"> </w:t>
      </w:r>
      <w:r>
        <w:t xml:space="preserve">Focusing on some of the poorest regions in the country, we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40" name="Picture"/>
                  <a:graphic>
                    <a:graphicData uri="http://schemas.openxmlformats.org/drawingml/2006/picture">
                      <pic:pic>
                        <pic:nvPicPr>
                          <pic:cNvPr descr="images/luminosity_map.png" id="41" name="Picture"/>
                          <pic:cNvPicPr>
                            <a:picLocks noChangeArrowheads="1" noChangeAspect="1"/>
                          </pic:cNvPicPr>
                        </pic:nvPicPr>
                        <pic:blipFill>
                          <a:blip r:embed="rId39"/>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42"/>
        </w:tc>
      </w:tr>
    </w:tbl>
    <w:p>
      <w:pPr>
        <w:pStyle w:val="BodyText"/>
      </w:pPr>
      <w:hyperlink w:anchor="fig-map">
        <w:r>
          <w:rPr>
            <w:rStyle w:val="Hyperlink"/>
          </w:rPr>
          <w:t xml:space="preserve">Figure 1</w:t>
        </w:r>
      </w:hyperlink>
      <w:r>
        <w:t xml:space="preserve"> </w:t>
      </w:r>
      <w:r>
        <w:t xml:space="preserve">presents static maps (captured from our interactive application) of luminosity for the initial and final years (1996 and 2010).</w:t>
      </w:r>
      <w:r>
        <w:t xml:space="preserve"> </w:t>
      </w:r>
      <w:r>
        <w:t xml:space="preserve">The maps show a noticeable increase in brightness across most parts of India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per-capita growth in nighttime lights and initial per-capita nighttime light.</w:t>
      </w:r>
      <w:r>
        <w:t xml:space="preserve"> </w:t>
      </w:r>
      <w:r>
        <w:t xml:space="preserve">The scatterplot shows an inverse relationship, suggesting a</w:t>
      </w:r>
      <w:r>
        <w:t xml:space="preserve"> </w:t>
      </w:r>
      <m:oMath>
        <m:r>
          <m:t>β</m:t>
        </m:r>
      </m:oMath>
      <w:r>
        <w:t xml:space="preserve">-convergence rate of approximately 2%, consistent with the seminal finding of</w:t>
      </w:r>
      <w:r>
        <w:t xml:space="preserve"> </w:t>
      </w:r>
      <w:r>
        <w:t xml:space="preserve">Barro and Sala-i-Martin (1992)</w:t>
      </w:r>
      <w:r>
        <w:t xml:space="preserve"> </w:t>
      </w:r>
      <w:r>
        <w:t xml:space="preserve">about convergence.</w:t>
      </w:r>
    </w:p>
    <w:tbl>
      <w:tblPr>
        <w:tblStyle w:val="Table"/>
        <w:tblW w:type="pct" w:w="5000"/>
        <w:tblLayout w:type="fixed"/>
        <w:tblLook w:firstRow="0" w:lastRow="0" w:firstColumn="0" w:lastColumn="0" w:noHBand="0" w:noVBand="0" w:val="0000"/>
      </w:tblPr>
      <w:tblGrid>
        <w:gridCol w:w="7920"/>
      </w:tblGrid>
      <w:tr>
        <w:tc>
          <w:tcPr/>
          <w:bookmarkStart w:id="47" w:name="fig-convergence"/>
          <w:p>
            <w:pPr>
              <w:pStyle w:val="Compact"/>
              <w:jc w:val="center"/>
            </w:pPr>
            <w:r>
              <w:drawing>
                <wp:inline>
                  <wp:extent cx="4000500" cy="4000500"/>
                  <wp:effectExtent b="0" l="0" r="0" t="0"/>
                  <wp:docPr descr="" title="" id="44" name="Picture"/>
                  <a:graphic>
                    <a:graphicData uri="http://schemas.openxmlformats.org/drawingml/2006/picture">
                      <pic:pic>
                        <pic:nvPicPr>
                          <pic:cNvPr descr="index_files/figure-docx/notebooks-c02_regional_convergence_sc-fig-convergence-output-2.png" id="45" name="Picture"/>
                          <pic:cNvPicPr>
                            <a:picLocks noChangeArrowheads="1" noChangeAspect="1"/>
                          </pic:cNvPicPr>
                        </pic:nvPicPr>
                        <pic:blipFill>
                          <a:blip r:embed="rId4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6">
              <w:r>
                <w:rPr>
                  <w:rStyle w:val="Hyperlink"/>
                </w:rPr>
                <w:t xml:space="preserve">Regional convergence</w:t>
              </w:r>
            </w:hyperlink>
            <w:r>
              <w:t xml:space="preserve"> </w:t>
            </w:r>
            <w:r>
              <w:t xml:space="preserve">notebook for source code.</w:t>
            </w:r>
          </w:p>
          <w:bookmarkEnd w:id="4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39.2% of the national average, while Uttar Pradesh and Chhattisgarh have per-capita incomes of 43.8% and 52.3% of the national average, respectively.</w:t>
      </w:r>
      <w:r>
        <w:rPr>
          <w:rStyle w:val="FootnoteReference"/>
        </w:rPr>
        <w:footnoteReference w:id="4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map2"/>
          <w:p>
            <w:pPr>
              <w:pStyle w:val="Compact"/>
              <w:jc w:val="center"/>
            </w:pPr>
            <w:r>
              <w:drawing>
                <wp:inline>
                  <wp:extent cx="4000500" cy="7241369"/>
                  <wp:effectExtent b="0" l="0" r="0" t="0"/>
                  <wp:docPr descr="" title="" id="50" name="Picture"/>
                  <a:graphic>
                    <a:graphicData uri="http://schemas.openxmlformats.org/drawingml/2006/picture">
                      <pic:pic>
                        <pic:nvPicPr>
                          <pic:cNvPr descr="images/luminosity_map2.png" id="51" name="Picture"/>
                          <pic:cNvPicPr>
                            <a:picLocks noChangeArrowheads="1" noChangeAspect="1"/>
                          </pic:cNvPicPr>
                        </pic:nvPicPr>
                        <pic:blipFill>
                          <a:blip r:embed="rId4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52"/>
        </w:tc>
      </w:tr>
    </w:tbl>
    <w:bookmarkEnd w:id="53"/>
    <w:bookmarkStart w:id="71"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it is instructive to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8" w:name="fig-chorophleths"/>
          <w:p>
            <w:pPr>
              <w:pStyle w:val="Compact"/>
              <w:jc w:val="center"/>
            </w:pPr>
            <w:r>
              <w:drawing>
                <wp:inline>
                  <wp:extent cx="5334000" cy="2760285"/>
                  <wp:effectExtent b="0" l="0" r="0" t="0"/>
                  <wp:docPr descr="" title="" id="55" name="Picture"/>
                  <a:graphic>
                    <a:graphicData uri="http://schemas.openxmlformats.org/drawingml/2006/picture">
                      <pic:pic>
                        <pic:nvPicPr>
                          <pic:cNvPr descr="index_files/figure-docx/notebooks-c03_spatial_dependence_lisa-fig-chorophleths-output-1.png" id="56" name="Picture"/>
                          <pic:cNvPicPr>
                            <a:picLocks noChangeArrowheads="1" noChangeAspect="1"/>
                          </pic:cNvPicPr>
                        </pic:nvPicPr>
                        <pic:blipFill>
                          <a:blip r:embed="rId54"/>
                          <a:stretch>
                            <a:fillRect/>
                          </a:stretch>
                        </pic:blipFill>
                        <pic:spPr bwMode="auto">
                          <a:xfrm>
                            <a:off x="0" y="0"/>
                            <a:ext cx="5334000" cy="27602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5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2" w:name="fig-wmatrix6nn"/>
          <w:p>
            <w:pPr>
              <w:pStyle w:val="Compact"/>
              <w:jc w:val="center"/>
            </w:pPr>
            <w:r>
              <w:drawing>
                <wp:inline>
                  <wp:extent cx="5334000" cy="5053263"/>
                  <wp:effectExtent b="0" l="0" r="0" t="0"/>
                  <wp:docPr descr="" title="" id="60" name="Picture"/>
                  <a:graphic>
                    <a:graphicData uri="http://schemas.openxmlformats.org/drawingml/2006/picture">
                      <pic:pic>
                        <pic:nvPicPr>
                          <pic:cNvPr descr="index_files/figure-docx/notebooks-c03_spatial_dependence_lisa-fig-wmatrix6nn-output-1.png" id="61" name="Picture"/>
                          <pic:cNvPicPr>
                            <a:picLocks noChangeArrowheads="1" noChangeAspect="1"/>
                          </pic:cNvPicPr>
                        </pic:nvPicPr>
                        <pic:blipFill>
                          <a:blip r:embed="rId59"/>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2"/>
        </w:tc>
      </w:tr>
    </w:tbl>
    <w:p>
      <w:pPr>
        <w:pStyle w:val="BodyText"/>
      </w:pPr>
      <w:r>
        <w:t xml:space="preserve">With the neighborhood of each district defined, we can formally assess the degree of spatial dependence in the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the location of statistically significant clusters and outliers.</w:t>
      </w:r>
      <w:r>
        <w:t xml:space="preserve"> </w:t>
      </w:r>
      <w:r>
        <w:t xml:space="preserve">To address this limitation, we employ Local Indicators of Spatial Association (LISA).</w:t>
      </w:r>
      <w:r>
        <w:t xml:space="preserve"> </w:t>
      </w:r>
      <w:r>
        <w:t xml:space="preserve">These indicators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6" w:name="fig-dependence-initial"/>
          <w:p>
            <w:pPr>
              <w:pStyle w:val="Compact"/>
              <w:jc w:val="center"/>
            </w:pPr>
            <w:r>
              <w:drawing>
                <wp:inline>
                  <wp:extent cx="5334000" cy="2637866"/>
                  <wp:effectExtent b="0" l="0" r="0" t="0"/>
                  <wp:docPr descr="" title="" id="64" name="Picture"/>
                  <a:graphic>
                    <a:graphicData uri="http://schemas.openxmlformats.org/drawingml/2006/picture">
                      <pic:pic>
                        <pic:nvPicPr>
                          <pic:cNvPr descr="index_files/figure-docx/notebooks-c03_spatial_dependence_lisa-fig-dependence-initial-output-1.png" id="65" name="Picture"/>
                          <pic:cNvPicPr>
                            <a:picLocks noChangeArrowheads="1" noChangeAspect="1"/>
                          </pic:cNvPicPr>
                        </pic:nvPicPr>
                        <pic:blipFill>
                          <a:blip r:embed="rId63"/>
                          <a:stretch>
                            <a:fillRect/>
                          </a:stretch>
                        </pic:blipFill>
                        <pic:spPr bwMode="auto">
                          <a:xfrm>
                            <a:off x="0" y="0"/>
                            <a:ext cx="5334000" cy="26378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strong spatial interdependencies.</w:t>
      </w:r>
    </w:p>
    <w:tbl>
      <w:tblPr>
        <w:tblStyle w:val="Table"/>
        <w:tblW w:type="pct" w:w="5000"/>
        <w:tblLayout w:type="fixed"/>
        <w:tblLook w:firstRow="0" w:lastRow="0" w:firstColumn="0" w:lastColumn="0" w:noHBand="0" w:noVBand="0" w:val="0000"/>
      </w:tblPr>
      <w:tblGrid>
        <w:gridCol w:w="7920"/>
      </w:tblGrid>
      <w:tr>
        <w:tc>
          <w:tcPr/>
          <w:bookmarkStart w:id="70" w:name="fig-dependence-growth"/>
          <w:p>
            <w:pPr>
              <w:pStyle w:val="Compact"/>
              <w:jc w:val="center"/>
            </w:pPr>
            <w:r>
              <w:drawing>
                <wp:inline>
                  <wp:extent cx="5334000" cy="2640489"/>
                  <wp:effectExtent b="0" l="0" r="0" t="0"/>
                  <wp:docPr descr="" title="" id="68" name="Picture"/>
                  <a:graphic>
                    <a:graphicData uri="http://schemas.openxmlformats.org/drawingml/2006/picture">
                      <pic:pic>
                        <pic:nvPicPr>
                          <pic:cNvPr descr="index_files/figure-docx/notebooks-c03_spatial_dependence_lisa-fig-dependence-growth-output-1.png" id="69" name="Picture"/>
                          <pic:cNvPicPr>
                            <a:picLocks noChangeArrowheads="1" noChangeAspect="1"/>
                          </pic:cNvPicPr>
                        </pic:nvPicPr>
                        <pic:blipFill>
                          <a:blip r:embed="rId67"/>
                          <a:stretch>
                            <a:fillRect/>
                          </a:stretch>
                        </pic:blipFill>
                        <pic:spPr bwMode="auto">
                          <a:xfrm>
                            <a:off x="0" y="0"/>
                            <a:ext cx="5334000" cy="2640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70"/>
        </w:tc>
      </w:tr>
    </w:tbl>
    <w:bookmarkEnd w:id="71"/>
    <w:bookmarkStart w:id="73"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2"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2"/>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simplest unconditional models (Models 1 and 2), direct effects range from -0.020 to -0.022.</w:t>
      </w:r>
      <w:r>
        <w:t xml:space="preserve"> </w:t>
      </w:r>
      <w:r>
        <w:t xml:space="preserve">In the conditional models that incorporate district-level controls (Models 3 and 4), direct effects increase in magnitude to -0.025 and -0.026.</w:t>
      </w:r>
      <w:r>
        <w:t xml:space="preserve"> </w:t>
      </w:r>
      <w:r>
        <w:t xml:space="preserve">This pattern suggests that omitting district characteristics attenuates the estimated speed of convergence.</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negligible and statistically insignificant, suggesting that without proper controls, spatial spillovers are confounded with omitted variables.</w:t>
      </w:r>
      <w:r>
        <w:t xml:space="preserve"> </w:t>
      </w:r>
      <w:r>
        <w:t xml:space="preserve">However, once district-level controls are introduced (Models 3 and 4), the indirect effects become both larger in magnitude and statistically significant, reaching -0.015 in Model 3 and -0.012 in our most comprehensive Model 4.</w:t>
      </w:r>
      <w:r>
        <w:t xml:space="preserve"> </w:t>
      </w:r>
      <w:r>
        <w:t xml:space="preserve">This emergence of significant spillover effects in the conditional specifications indicates that the spatial channels of convergence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highlighting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-2499 compared to -2469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345 units when moving from OLS to SDM,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73"/>
    <w:bookmarkEnd w:id="74"/>
    <w:bookmarkStart w:id="78" w:name="discussion"/>
    <w:p>
      <w:pPr>
        <w:pStyle w:val="Heading2"/>
      </w:pPr>
      <w:r>
        <w:t xml:space="preserve">Discussion</w:t>
      </w:r>
    </w:p>
    <w:bookmarkStart w:id="75"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used as a proxy for economic activity</w:t>
      </w:r>
      <w:r>
        <w:t xml:space="preserve"> </w:t>
      </w:r>
      <w:r>
        <w:t xml:space="preserve">(Henderson, Storeygard, and Weil 2012; X. Chen and Nordhaus 2011)</w:t>
      </w:r>
      <w:r>
        <w:t xml:space="preserve">.</w:t>
      </w:r>
      <w:r>
        <w:t xml:space="preserve"> </w:t>
      </w:r>
      <w:r>
        <w:t xml:space="preserve">However,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Oram, and Lozano-Gracia 2018)</w:t>
      </w:r>
      <w:r>
        <w:t xml:space="preserve">.</w:t>
      </w:r>
      <w:r>
        <w:t xml:space="preserve"> </w:t>
      </w:r>
      <w:r>
        <w:t xml:space="preserve">These measurement issues can attenuate the precision of convergence estimates, particularly in rapidly urbanizing districts.</w:t>
      </w:r>
    </w:p>
    <w:p>
      <w:pPr>
        <w:pStyle w:val="BodyText"/>
      </w:pPr>
      <w:r>
        <w:t xml:space="preserve">The Visible Infrared Imaging Radiometer Suite (VIIRS),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particularly in districts where blooming effects may have distorted the true spillover effects.</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long-run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75"/>
    <w:bookmarkStart w:id="76"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insights to the Indian district context could help determine whether the convergence patterns we document reflect a single equilibrium or mask the formation of distinct spatial clubs.</w:t>
      </w:r>
    </w:p>
    <w:p>
      <w:pPr>
        <w:pStyle w:val="BodyText"/>
      </w:pPr>
      <w:r>
        <w:t xml:space="preserve">Another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p>
    <w:p>
      <w:pPr>
        <w:pStyle w:val="BodyText"/>
      </w:pP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showed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w:t>
      </w:r>
      <w:r>
        <w:t xml:space="preserve"> </w:t>
      </w:r>
      <w:r>
        <w:t xml:space="preserve">These alternative data sources enable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76"/>
    <w:bookmarkStart w:id="77"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p>
    <w:p>
      <w:pPr>
        <w:pStyle w:val="BodyText"/>
      </w:pPr>
      <w:r>
        <w:t xml:space="preserve">This article adopts a reproducible research approach through Jupyter notebooks and the Quarto publishing framework.</w:t>
      </w:r>
      <w:r>
        <w:t xml:space="preserve"> </w:t>
      </w:r>
      <w:r>
        <w:t xml:space="preserve">All computational analyses are documented in embedded notebooks that readers can inspect alongside the results they produce.</w:t>
      </w:r>
      <w:r>
        <w:t xml:space="preserve"> </w:t>
      </w:r>
      <w:r>
        <w:t xml:space="preserve">The interactive visualization tool, built on Google Earth Engine, allows researchers to explore the spatial and temporal patterns in satellite nighttime light data.</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77"/>
    <w:bookmarkEnd w:id="78"/>
    <w:bookmarkStart w:id="79"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illustrate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particularly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illustrates how reproducible open science practices can strengthen the credibility and extendability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HTML version is particularly useful as it allows readers to engage with interactive visualizations, easily inspect the code of multiple computational notebooks, and reevaluate the results in light of their source code.</w:t>
      </w:r>
      <w:r>
        <w:t xml:space="preserve"> </w:t>
      </w:r>
      <w:r>
        <w:t xml:space="preserve">By hosting the complete codebase and data in a public GitHub repository and making the Python and R notebooks executable in the cloud through Google Colaboratory, we aim to encourage other researchers to further adopt reproducible open science practices that can strengthen the credibility and extendability of scientific research.</w:t>
      </w:r>
    </w:p>
    <w:bookmarkEnd w:id="79"/>
    <w:bookmarkStart w:id="80"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80"/>
    <w:bookmarkStart w:id="81" w:name="conflict-of-interest"/>
    <w:p>
      <w:pPr>
        <w:pStyle w:val="Heading2"/>
      </w:pPr>
      <w:r>
        <w:t xml:space="preserve">Conflict of Interest</w:t>
      </w:r>
    </w:p>
    <w:p>
      <w:pPr>
        <w:pStyle w:val="FirstParagraph"/>
      </w:pPr>
      <w:r>
        <w:t xml:space="preserve">The authors declare no conflict of interest.</w:t>
      </w:r>
    </w:p>
    <w:bookmarkEnd w:id="81"/>
    <w:bookmarkStart w:id="171" w:name="data-and-code-availability"/>
    <w:p>
      <w:pPr>
        <w:pStyle w:val="Heading2"/>
      </w:pPr>
      <w:r>
        <w:t xml:space="preserve">Data and Code Availability</w:t>
      </w:r>
    </w:p>
    <w:p>
      <w:pPr>
        <w:pStyle w:val="FirstParagraph"/>
      </w:pPr>
      <w:r>
        <w:t xml:space="preserve">All data and computational code used in this study are available in the project repository:</w:t>
      </w:r>
      <w:r>
        <w:t xml:space="preserve"> </w:t>
      </w:r>
      <w:hyperlink r:id="rId82">
        <w:r>
          <w:rPr>
            <w:rStyle w:val="Hyperlink"/>
          </w:rPr>
          <w:t xml:space="preserve">https://github.com/quarcs-lab/project2025s</w:t>
        </w:r>
      </w:hyperlink>
      <w:r>
        <w:t xml:space="preserve">.</w:t>
      </w:r>
      <w:r>
        <w:t xml:space="preserve"> </w:t>
      </w:r>
      <w:r>
        <w:t xml:space="preserve">Also, the interactive HTML version of this manuscript (</w:t>
      </w:r>
      <w:hyperlink r:id="rId83">
        <w:r>
          <w:rPr>
            <w:rStyle w:val="Hyperlink"/>
          </w:rPr>
          <w:t xml:space="preserve">https://quarcs-lab.github.io/project2025s/</w:t>
        </w:r>
      </w:hyperlink>
      <w:r>
        <w:t xml:space="preserve">) embeds the computational notebooks, allowing readers to inspect the complete analytical pipeline from raw data to published results.</w:t>
      </w:r>
    </w:p>
    <w:bookmarkStart w:id="170" w:name="refs"/>
    <w:bookmarkStart w:id="85"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84">
        <w:r>
          <w:rPr>
            <w:rStyle w:val="Hyperlink"/>
          </w:rPr>
          <w:t xml:space="preserve">https://doi.org/10.1016/j.rse.2018.03.018</w:t>
        </w:r>
      </w:hyperlink>
      <w:r>
        <w:t xml:space="preserve">.</w:t>
      </w:r>
    </w:p>
    <w:bookmarkEnd w:id="85"/>
    <w:bookmarkStart w:id="87" w:name="ref-adhikari_dhital_decentralization"/>
    <w:p>
      <w:pPr>
        <w:pStyle w:val="Bibliography"/>
      </w:pPr>
      <w:r>
        <w:t xml:space="preserve">Adhikari, Bibek, and Ramesh Dhital. 2020.</w:t>
      </w:r>
      <w:r>
        <w:t xml:space="preserve"> </w:t>
      </w:r>
      <w:r>
        <w:t xml:space="preserve">“Decentralization and Regional Convergence: Evidence from Nighttime Lights.”</w:t>
      </w:r>
      <w:r>
        <w:t xml:space="preserve"> </w:t>
      </w:r>
      <w:r>
        <w:rPr>
          <w:i/>
          <w:iCs/>
        </w:rPr>
        <w:t xml:space="preserve">Journal of Development Economics</w:t>
      </w:r>
      <w:r>
        <w:t xml:space="preserve"> </w:t>
      </w:r>
      <w:r>
        <w:t xml:space="preserve">145: 102467.</w:t>
      </w:r>
      <w:r>
        <w:t xml:space="preserve"> </w:t>
      </w:r>
      <w:hyperlink r:id="rId86">
        <w:r>
          <w:rPr>
            <w:rStyle w:val="Hyperlink"/>
          </w:rPr>
          <w:t xml:space="preserve">https://doi.org/10.1016/j.jdeveco.2020.102467</w:t>
        </w:r>
      </w:hyperlink>
      <w:r>
        <w:t xml:space="preserve">.</w:t>
      </w:r>
    </w:p>
    <w:bookmarkEnd w:id="87"/>
    <w:bookmarkStart w:id="89"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88">
        <w:r>
          <w:rPr>
            <w:rStyle w:val="Hyperlink"/>
          </w:rPr>
          <w:t xml:space="preserve">https://quarto.org</w:t>
        </w:r>
      </w:hyperlink>
      <w:r>
        <w:t xml:space="preserve">.</w:t>
      </w:r>
    </w:p>
    <w:bookmarkEnd w:id="89"/>
    <w:bookmarkStart w:id="91"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0">
        <w:r>
          <w:rPr>
            <w:rStyle w:val="Hyperlink"/>
          </w:rPr>
          <w:t xml:space="preserve">https://doi.org/10.1007/978-94-015-7799-1</w:t>
        </w:r>
      </w:hyperlink>
      <w:r>
        <w:t xml:space="preserve">.</w:t>
      </w:r>
    </w:p>
    <w:bookmarkEnd w:id="91"/>
    <w:bookmarkStart w:id="93"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92">
        <w:r>
          <w:rPr>
            <w:rStyle w:val="Hyperlink"/>
          </w:rPr>
          <w:t xml:space="preserve">https://doi.org/10.1111/j.1538-4632.1995.tb00338.x</w:t>
        </w:r>
      </w:hyperlink>
      <w:r>
        <w:t xml:space="preserve">.</w:t>
      </w:r>
    </w:p>
    <w:bookmarkEnd w:id="93"/>
    <w:bookmarkStart w:id="95"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94">
        <w:r>
          <w:rPr>
            <w:rStyle w:val="Hyperlink"/>
          </w:rPr>
          <w:t xml:space="preserve">https://doi.org/10.1257/aer.20180268</w:t>
        </w:r>
      </w:hyperlink>
      <w:r>
        <w:t xml:space="preserve">.</w:t>
      </w:r>
    </w:p>
    <w:bookmarkEnd w:id="95"/>
    <w:bookmarkStart w:id="97"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96">
        <w:r>
          <w:rPr>
            <w:rStyle w:val="Hyperlink"/>
          </w:rPr>
          <w:t xml:space="preserve">https://doi.org/10.1086/261816</w:t>
        </w:r>
      </w:hyperlink>
      <w:r>
        <w:t xml:space="preserve">.</w:t>
      </w:r>
    </w:p>
    <w:bookmarkEnd w:id="97"/>
    <w:bookmarkStart w:id="99"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98">
        <w:r>
          <w:rPr>
            <w:rStyle w:val="Hyperlink"/>
          </w:rPr>
          <w:t xml:space="preserve">https://doi.org/10.1016/j.asieco.2021.101318</w:t>
        </w:r>
      </w:hyperlink>
      <w:r>
        <w:t xml:space="preserve">.</w:t>
      </w:r>
    </w:p>
    <w:bookmarkEnd w:id="99"/>
    <w:bookmarkStart w:id="100" w:name="ref-chakravarty_dehejia_gst"/>
    <w:p>
      <w:pPr>
        <w:pStyle w:val="Bibliography"/>
      </w:pPr>
      <w:r>
        <w:t xml:space="preserve">Chakravarty, Shankha, and Rajeev Dehejia. 2019.</w:t>
      </w:r>
      <w:r>
        <w:t xml:space="preserve"> </w:t>
      </w:r>
      <w:r>
        <w:t xml:space="preserve">“The GST and Regional Divergence in India: A Nightlights Perspective.”</w:t>
      </w:r>
      <w:r>
        <w:t xml:space="preserve"> </w:t>
      </w:r>
      <w:r>
        <w:rPr>
          <w:i/>
          <w:iCs/>
        </w:rPr>
        <w:t xml:space="preserve">Economic and Political Weekly</w:t>
      </w:r>
      <w:r>
        <w:t xml:space="preserve"> </w:t>
      </w:r>
      <w:r>
        <w:t xml:space="preserve">54 (42): 47–54.</w:t>
      </w:r>
    </w:p>
    <w:bookmarkEnd w:id="100"/>
    <w:bookmarkStart w:id="102" w:name="ref-chanda_cook_demonetization"/>
    <w:p>
      <w:pPr>
        <w:pStyle w:val="Bibliography"/>
      </w:pPr>
      <w:r>
        <w:t xml:space="preserve">Chanda, Areendam, and Justin Cook. 2022.</w:t>
      </w:r>
      <w:r>
        <w:t xml:space="preserve"> </w:t>
      </w:r>
      <w:r>
        <w:t xml:space="preserve">“Demonetization and Its Redistributive Effects: Evidence from India.”</w:t>
      </w:r>
      <w:r>
        <w:t xml:space="preserve"> </w:t>
      </w:r>
      <w:r>
        <w:rPr>
          <w:i/>
          <w:iCs/>
        </w:rPr>
        <w:t xml:space="preserve">Journal of Development Economics</w:t>
      </w:r>
      <w:r>
        <w:t xml:space="preserve"> </w:t>
      </w:r>
      <w:r>
        <w:t xml:space="preserve">156: 102835.</w:t>
      </w:r>
      <w:r>
        <w:t xml:space="preserve"> </w:t>
      </w:r>
      <w:hyperlink r:id="rId101">
        <w:r>
          <w:rPr>
            <w:rStyle w:val="Hyperlink"/>
          </w:rPr>
          <w:t xml:space="preserve">https://doi.org/10.1016/j.jdeveco.2022.102835</w:t>
        </w:r>
      </w:hyperlink>
      <w:r>
        <w:t xml:space="preserve">.</w:t>
      </w:r>
    </w:p>
    <w:bookmarkEnd w:id="102"/>
    <w:bookmarkStart w:id="104"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03">
        <w:r>
          <w:rPr>
            <w:rStyle w:val="Hyperlink"/>
          </w:rPr>
          <w:t xml:space="preserve">https://doi.org/10.1016/j.worlddev.2020.104961</w:t>
        </w:r>
      </w:hyperlink>
      <w:r>
        <w:t xml:space="preserve">.</w:t>
      </w:r>
    </w:p>
    <w:bookmarkEnd w:id="104"/>
    <w:bookmarkStart w:id="106"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05">
        <w:r>
          <w:rPr>
            <w:rStyle w:val="Hyperlink"/>
          </w:rPr>
          <w:t xml:space="preserve">https://doi.org/10.1073/pnas.1017031108</w:t>
        </w:r>
      </w:hyperlink>
      <w:r>
        <w:t xml:space="preserve">.</w:t>
      </w:r>
    </w:p>
    <w:bookmarkEnd w:id="106"/>
    <w:bookmarkStart w:id="108"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07">
        <w:r>
          <w:rPr>
            <w:rStyle w:val="Hyperlink"/>
          </w:rPr>
          <w:t xml:space="preserve">https://doi.org/10.1007/s12076-024-00375-x</w:t>
        </w:r>
      </w:hyperlink>
      <w:r>
        <w:t xml:space="preserve">.</w:t>
      </w:r>
    </w:p>
    <w:bookmarkEnd w:id="108"/>
    <w:bookmarkStart w:id="110"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09">
        <w:r>
          <w:rPr>
            <w:rStyle w:val="Hyperlink"/>
          </w:rPr>
          <w:t xml:space="preserve">https://doi.org/10.1162/rest_a_00951</w:t>
        </w:r>
      </w:hyperlink>
      <w:r>
        <w:t xml:space="preserve">.</w:t>
      </w:r>
    </w:p>
    <w:bookmarkEnd w:id="110"/>
    <w:bookmarkStart w:id="112"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11">
        <w:r>
          <w:rPr>
            <w:rStyle w:val="Hyperlink"/>
          </w:rPr>
          <w:t xml:space="preserve">https://doi.org/10.1257/jep.30.4.171</w:t>
        </w:r>
      </w:hyperlink>
      <w:r>
        <w:t xml:space="preserve">.</w:t>
      </w:r>
    </w:p>
    <w:bookmarkEnd w:id="112"/>
    <w:bookmarkStart w:id="114"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13">
        <w:r>
          <w:rPr>
            <w:rStyle w:val="Hyperlink"/>
          </w:rPr>
          <w:t xml:space="preserve">https://doi.org/10.1002/jae.3950100404</w:t>
        </w:r>
      </w:hyperlink>
      <w:r>
        <w:t xml:space="preserve">.</w:t>
      </w:r>
    </w:p>
    <w:bookmarkEnd w:id="114"/>
    <w:bookmarkStart w:id="116"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15">
        <w:r>
          <w:rPr>
            <w:rStyle w:val="Hyperlink"/>
          </w:rPr>
          <w:t xml:space="preserve">https://doi.org/10.1080/01431161.2017.1342050</w:t>
        </w:r>
      </w:hyperlink>
      <w:r>
        <w:t xml:space="preserve">.</w:t>
      </w:r>
    </w:p>
    <w:bookmarkEnd w:id="116"/>
    <w:bookmarkStart w:id="118"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17">
        <w:r>
          <w:rPr>
            <w:rStyle w:val="Hyperlink"/>
          </w:rPr>
          <w:t xml:space="preserve">https://doi.org/10.1002/jae.963</w:t>
        </w:r>
      </w:hyperlink>
      <w:r>
        <w:t xml:space="preserve">.</w:t>
      </w:r>
    </w:p>
    <w:bookmarkEnd w:id="118"/>
    <w:bookmarkStart w:id="120"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19">
        <w:r>
          <w:rPr>
            <w:rStyle w:val="Hyperlink"/>
          </w:rPr>
          <w:t xml:space="preserve">https://doi.org/10.1007/s00168-010-0384-6</w:t>
        </w:r>
      </w:hyperlink>
      <w:r>
        <w:t xml:space="preserve">.</w:t>
      </w:r>
    </w:p>
    <w:bookmarkEnd w:id="120"/>
    <w:bookmarkStart w:id="122"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21">
        <w:r>
          <w:rPr>
            <w:rStyle w:val="Hyperlink"/>
          </w:rPr>
          <w:t xml:space="preserve">https://doi.org/10.1016/j.jdeveco.2020.102602</w:t>
        </w:r>
      </w:hyperlink>
      <w:r>
        <w:t xml:space="preserve">.</w:t>
      </w:r>
    </w:p>
    <w:bookmarkEnd w:id="122"/>
    <w:bookmarkStart w:id="124"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23">
        <w:r>
          <w:rPr>
            <w:rStyle w:val="Hyperlink"/>
          </w:rPr>
          <w:t xml:space="preserve">https://doi.org/10.1080/00036846.2024.2439583</w:t>
        </w:r>
      </w:hyperlink>
      <w:r>
        <w:t xml:space="preserve">.</w:t>
      </w:r>
    </w:p>
    <w:bookmarkEnd w:id="124"/>
    <w:bookmarkStart w:id="126"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25">
        <w:r>
          <w:rPr>
            <w:rStyle w:val="Hyperlink"/>
          </w:rPr>
          <w:t xml:space="preserve">https://doi.org/10.1016/j.rse.2017.06.031</w:t>
        </w:r>
      </w:hyperlink>
      <w:r>
        <w:t xml:space="preserve">.</w:t>
      </w:r>
    </w:p>
    <w:bookmarkEnd w:id="126"/>
    <w:bookmarkStart w:id="128"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27">
        <w:r>
          <w:rPr>
            <w:rStyle w:val="Hyperlink"/>
          </w:rPr>
          <w:t xml:space="preserve">https://doi.org/10.1257/aer.102.2.994</w:t>
        </w:r>
      </w:hyperlink>
      <w:r>
        <w:t xml:space="preserve">.</w:t>
      </w:r>
    </w:p>
    <w:bookmarkEnd w:id="128"/>
    <w:bookmarkStart w:id="130"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29">
        <w:r>
          <w:rPr>
            <w:rStyle w:val="Hyperlink"/>
          </w:rPr>
          <w:t xml:space="preserve">https://doi.org/10.1007/s12076-025-00397-z</w:t>
        </w:r>
      </w:hyperlink>
      <w:r>
        <w:t xml:space="preserve">.</w:t>
      </w:r>
    </w:p>
    <w:bookmarkEnd w:id="130"/>
    <w:bookmarkStart w:id="132"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31">
        <w:r>
          <w:rPr>
            <w:rStyle w:val="Hyperlink"/>
          </w:rPr>
          <w:t xml:space="preserve">https://doi.org/10.1126/science.aaf7894</w:t>
        </w:r>
      </w:hyperlink>
      <w:r>
        <w:t xml:space="preserve">.</w:t>
      </w:r>
    </w:p>
    <w:bookmarkEnd w:id="132"/>
    <w:bookmarkStart w:id="134" w:name="ref-jha_talathi_colonial_india"/>
    <w:p>
      <w:pPr>
        <w:pStyle w:val="Bibliography"/>
      </w:pPr>
      <w:r>
        <w:t xml:space="preserve">Jha, Saumitra, and Anand Talathi. 2021.</w:t>
      </w:r>
      <w:r>
        <w:t xml:space="preserve"> </w:t>
      </w:r>
      <w:r>
        <w:t xml:space="preserve">“Colonial Institutions and Long-Run Development in India: Evidence from Nightlights.”</w:t>
      </w:r>
      <w:r>
        <w:t xml:space="preserve"> </w:t>
      </w:r>
      <w:r>
        <w:rPr>
          <w:i/>
          <w:iCs/>
        </w:rPr>
        <w:t xml:space="preserve">Journal of Development Economics</w:t>
      </w:r>
      <w:r>
        <w:t xml:space="preserve"> </w:t>
      </w:r>
      <w:r>
        <w:t xml:space="preserve">153: 102726.</w:t>
      </w:r>
      <w:r>
        <w:t xml:space="preserve"> </w:t>
      </w:r>
      <w:hyperlink r:id="rId133">
        <w:r>
          <w:rPr>
            <w:rStyle w:val="Hyperlink"/>
          </w:rPr>
          <w:t xml:space="preserve">https://doi.org/10.1016/j.jdeveco.2021.102726</w:t>
        </w:r>
      </w:hyperlink>
      <w:r>
        <w:t xml:space="preserve">.</w:t>
      </w:r>
    </w:p>
    <w:bookmarkEnd w:id="134"/>
    <w:bookmarkStart w:id="136"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35">
        <w:r>
          <w:rPr>
            <w:rStyle w:val="Hyperlink"/>
          </w:rPr>
          <w:t xml:space="preserve">https://doi.org/10.1016/j.worlddev.2014.08.017</w:t>
        </w:r>
      </w:hyperlink>
      <w:r>
        <w:t xml:space="preserve">.</w:t>
      </w:r>
    </w:p>
    <w:bookmarkEnd w:id="136"/>
    <w:bookmarkStart w:id="138"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37">
        <w:r>
          <w:rPr>
            <w:rStyle w:val="Hyperlink"/>
          </w:rPr>
          <w:t xml:space="preserve">https://doi.org/10.1007/s11205-025-03718-3</w:t>
        </w:r>
      </w:hyperlink>
      <w:r>
        <w:t xml:space="preserve">.</w:t>
      </w:r>
    </w:p>
    <w:bookmarkEnd w:id="138"/>
    <w:bookmarkStart w:id="139"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39"/>
    <w:bookmarkStart w:id="141"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40">
        <w:r>
          <w:rPr>
            <w:rStyle w:val="Hyperlink"/>
          </w:rPr>
          <w:t xml:space="preserve">https://doi.org/10.1093/comjnl/27.2.97</w:t>
        </w:r>
      </w:hyperlink>
      <w:r>
        <w:t xml:space="preserve">.</w:t>
      </w:r>
    </w:p>
    <w:bookmarkEnd w:id="141"/>
    <w:bookmarkStart w:id="143"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42">
        <w:r>
          <w:rPr>
            <w:rStyle w:val="Hyperlink"/>
          </w:rPr>
          <w:t xml:space="preserve">https://doi.org/10.1201/9781420064254</w:t>
        </w:r>
      </w:hyperlink>
      <w:r>
        <w:t xml:space="preserve">.</w:t>
      </w:r>
    </w:p>
    <w:bookmarkEnd w:id="143"/>
    <w:bookmarkStart w:id="145"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44">
        <w:r>
          <w:rPr>
            <w:rStyle w:val="Hyperlink"/>
          </w:rPr>
          <w:t xml:space="preserve">https://doi.org/10.1016/j.euroecorev.2016.11.009</w:t>
        </w:r>
      </w:hyperlink>
      <w:r>
        <w:t xml:space="preserve">.</w:t>
      </w:r>
    </w:p>
    <w:bookmarkEnd w:id="145"/>
    <w:bookmarkStart w:id="147" w:name="ref-li_etal_harmonization"/>
    <w:p>
      <w:pPr>
        <w:pStyle w:val="Bibliography"/>
      </w:pPr>
      <w:r>
        <w:t xml:space="preserve">Li, Xi,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46">
        <w:r>
          <w:rPr>
            <w:rStyle w:val="Hyperlink"/>
          </w:rPr>
          <w:t xml:space="preserve">https://doi.org/10.1038/s41597-020-0510-y</w:t>
        </w:r>
      </w:hyperlink>
      <w:r>
        <w:t xml:space="preserve">.</w:t>
      </w:r>
    </w:p>
    <w:bookmarkEnd w:id="147"/>
    <w:bookmarkStart w:id="149"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48">
        <w:r>
          <w:rPr>
            <w:rStyle w:val="Hyperlink"/>
          </w:rPr>
          <w:t xml:space="preserve">https://github.com/quarcs-lab/project2022p</w:t>
        </w:r>
      </w:hyperlink>
      <w:r>
        <w:t xml:space="preserve">.</w:t>
      </w:r>
    </w:p>
    <w:bookmarkEnd w:id="149"/>
    <w:bookmarkStart w:id="151"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50">
        <w:r>
          <w:rPr>
            <w:rStyle w:val="Hyperlink"/>
          </w:rPr>
          <w:t xml:space="preserve">https://doi.org/10.1080/00074918.2022.2071415</w:t>
        </w:r>
      </w:hyperlink>
      <w:r>
        <w:t xml:space="preserve">.</w:t>
      </w:r>
    </w:p>
    <w:bookmarkEnd w:id="151"/>
    <w:bookmarkStart w:id="153"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52">
        <w:r>
          <w:rPr>
            <w:rStyle w:val="Hyperlink"/>
          </w:rPr>
          <w:t xml:space="preserve">https://doi.org/10.2307/2332142</w:t>
        </w:r>
      </w:hyperlink>
      <w:r>
        <w:t xml:space="preserve">.</w:t>
      </w:r>
    </w:p>
    <w:bookmarkEnd w:id="153"/>
    <w:bookmarkStart w:id="155"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4">
        <w:r>
          <w:rPr>
            <w:rStyle w:val="Hyperlink"/>
          </w:rPr>
          <w:t xml:space="preserve">https://doi.org/10.1126/science.1213847</w:t>
        </w:r>
      </w:hyperlink>
      <w:r>
        <w:t xml:space="preserve">.</w:t>
      </w:r>
    </w:p>
    <w:bookmarkEnd w:id="155"/>
    <w:bookmarkStart w:id="157"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56">
        <w:r>
          <w:rPr>
            <w:rStyle w:val="Hyperlink"/>
          </w:rPr>
          <w:t xml:space="preserve">https://doi.org/10.1093/qje/qjw003</w:t>
        </w:r>
      </w:hyperlink>
      <w:r>
        <w:t xml:space="preserve">.</w:t>
      </w:r>
    </w:p>
    <w:bookmarkEnd w:id="157"/>
    <w:bookmarkStart w:id="159"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58">
        <w:r>
          <w:rPr>
            <w:rStyle w:val="Hyperlink"/>
          </w:rPr>
          <w:t xml:space="preserve">https://doi.org/10.2307/2235377</w:t>
        </w:r>
      </w:hyperlink>
      <w:r>
        <w:t xml:space="preserve">.</w:t>
      </w:r>
    </w:p>
    <w:bookmarkEnd w:id="159"/>
    <w:bookmarkStart w:id="161"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60">
        <w:r>
          <w:rPr>
            <w:rStyle w:val="Hyperlink"/>
          </w:rPr>
          <w:t xml:space="preserve">https://doi.org/10.1080/00343409950122945</w:t>
        </w:r>
      </w:hyperlink>
      <w:r>
        <w:t xml:space="preserve">.</w:t>
      </w:r>
    </w:p>
    <w:bookmarkEnd w:id="161"/>
    <w:bookmarkStart w:id="163"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62">
        <w:r>
          <w:rPr>
            <w:rStyle w:val="Hyperlink"/>
          </w:rPr>
          <w:t xml:space="preserve">https://doi.org/10.2307/1884513</w:t>
        </w:r>
      </w:hyperlink>
      <w:r>
        <w:t xml:space="preserve">.</w:t>
      </w:r>
    </w:p>
    <w:bookmarkEnd w:id="163"/>
    <w:bookmarkStart w:id="165"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64">
        <w:r>
          <w:rPr>
            <w:rStyle w:val="Hyperlink"/>
          </w:rPr>
          <w:t xml:space="preserve">https://doi.org/10.1016/j.isprsjprs.2020.04.001</w:t>
        </w:r>
      </w:hyperlink>
      <w:r>
        <w:t xml:space="preserve">.</w:t>
      </w:r>
    </w:p>
    <w:bookmarkEnd w:id="165"/>
    <w:bookmarkStart w:id="167"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66">
        <w:r>
          <w:rPr>
            <w:rStyle w:val="Hyperlink"/>
          </w:rPr>
          <w:t xml:space="preserve">https://doi.org/10.1080/13547860.2022.2041286</w:t>
        </w:r>
      </w:hyperlink>
      <w:r>
        <w:t xml:space="preserve">.</w:t>
      </w:r>
    </w:p>
    <w:bookmarkEnd w:id="167"/>
    <w:bookmarkStart w:id="169"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68">
        <w:r>
          <w:rPr>
            <w:rStyle w:val="Hyperlink"/>
          </w:rPr>
          <w:t xml:space="preserve">https://doi.org/10.1007/s00168-022-01168-0</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 It was developed using Google Earth Engine and the source code is available in the</w:t>
      </w:r>
      <w:r>
        <w:t xml:space="preserve"> </w:t>
      </w:r>
      <w:hyperlink r:id="rId38">
        <w:r>
          <w:rPr>
            <w:rStyle w:val="Hyperlink"/>
          </w:rPr>
          <w:t xml:space="preserve">View from outer space</w:t>
        </w:r>
      </w:hyperlink>
      <w:r>
        <w:t xml:space="preserve"> </w:t>
      </w:r>
      <w:r>
        <w:t xml:space="preserve">notebook.</w:t>
      </w:r>
    </w:p>
  </w:footnote>
  <w:footnote w:id="48">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hyperlink" Id="rId37" Target="https://bit.ly/india-rc-ntl" TargetMode="External" /><Relationship Type="http://schemas.openxmlformats.org/officeDocument/2006/relationships/hyperlink" Id="rId113" Target="https://doi.org/10.1002/jae.3950100404" TargetMode="External" /><Relationship Type="http://schemas.openxmlformats.org/officeDocument/2006/relationships/hyperlink" Id="rId117" Target="https://doi.org/10.1002/jae.963" TargetMode="External" /><Relationship Type="http://schemas.openxmlformats.org/officeDocument/2006/relationships/hyperlink" Id="rId90" Target="https://doi.org/10.1007/978-94-015-7799-1" TargetMode="External" /><Relationship Type="http://schemas.openxmlformats.org/officeDocument/2006/relationships/hyperlink" Id="rId119" Target="https://doi.org/10.1007/s00168-010-0384-6" TargetMode="External" /><Relationship Type="http://schemas.openxmlformats.org/officeDocument/2006/relationships/hyperlink" Id="rId168" Target="https://doi.org/10.1007/s00168-022-01168-0" TargetMode="External" /><Relationship Type="http://schemas.openxmlformats.org/officeDocument/2006/relationships/hyperlink" Id="rId137" Target="https://doi.org/10.1007/s11205-025-03718-3" TargetMode="External" /><Relationship Type="http://schemas.openxmlformats.org/officeDocument/2006/relationships/hyperlink" Id="rId107" Target="https://doi.org/10.1007/s12076-024-00375-x" TargetMode="External" /><Relationship Type="http://schemas.openxmlformats.org/officeDocument/2006/relationships/hyperlink" Id="rId129" Target="https://doi.org/10.1007/s12076-025-00397-z" TargetMode="External" /><Relationship Type="http://schemas.openxmlformats.org/officeDocument/2006/relationships/hyperlink" Id="rId98" Target="https://doi.org/10.1016/j.asieco.2021.101318" TargetMode="External" /><Relationship Type="http://schemas.openxmlformats.org/officeDocument/2006/relationships/hyperlink" Id="rId144" Target="https://doi.org/10.1016/j.euroecorev.2016.11.009" TargetMode="External" /><Relationship Type="http://schemas.openxmlformats.org/officeDocument/2006/relationships/hyperlink" Id="rId164" Target="https://doi.org/10.1016/j.isprsjprs.2020.04.001" TargetMode="External" /><Relationship Type="http://schemas.openxmlformats.org/officeDocument/2006/relationships/hyperlink" Id="rId86" Target="https://doi.org/10.1016/j.jdeveco.2020.102467" TargetMode="External" /><Relationship Type="http://schemas.openxmlformats.org/officeDocument/2006/relationships/hyperlink" Id="rId121" Target="https://doi.org/10.1016/j.jdeveco.2020.102602" TargetMode="External" /><Relationship Type="http://schemas.openxmlformats.org/officeDocument/2006/relationships/hyperlink" Id="rId133" Target="https://doi.org/10.1016/j.jdeveco.2021.102726" TargetMode="External" /><Relationship Type="http://schemas.openxmlformats.org/officeDocument/2006/relationships/hyperlink" Id="rId101" Target="https://doi.org/10.1016/j.jdeveco.2022.102835" TargetMode="External" /><Relationship Type="http://schemas.openxmlformats.org/officeDocument/2006/relationships/hyperlink" Id="rId125" Target="https://doi.org/10.1016/j.rse.2017.06.031" TargetMode="External" /><Relationship Type="http://schemas.openxmlformats.org/officeDocument/2006/relationships/hyperlink" Id="rId84" Target="https://doi.org/10.1016/j.rse.2018.03.018" TargetMode="External" /><Relationship Type="http://schemas.openxmlformats.org/officeDocument/2006/relationships/hyperlink" Id="rId135" Target="https://doi.org/10.1016/j.worlddev.2014.08.017" TargetMode="External" /><Relationship Type="http://schemas.openxmlformats.org/officeDocument/2006/relationships/hyperlink" Id="rId103" Target="https://doi.org/10.1016/j.worlddev.2020.104961" TargetMode="External" /><Relationship Type="http://schemas.openxmlformats.org/officeDocument/2006/relationships/hyperlink" Id="rId146" Target="https://doi.org/10.1038/s41597-020-0510-y" TargetMode="External" /><Relationship Type="http://schemas.openxmlformats.org/officeDocument/2006/relationships/hyperlink" Id="rId105" Target="https://doi.org/10.1073/pnas.1017031108" TargetMode="External" /><Relationship Type="http://schemas.openxmlformats.org/officeDocument/2006/relationships/hyperlink" Id="rId123" Target="https://doi.org/10.1080/00036846.2024.2439583" TargetMode="External" /><Relationship Type="http://schemas.openxmlformats.org/officeDocument/2006/relationships/hyperlink" Id="rId150" Target="https://doi.org/10.1080/00074918.2022.2071415" TargetMode="External" /><Relationship Type="http://schemas.openxmlformats.org/officeDocument/2006/relationships/hyperlink" Id="rId160" Target="https://doi.org/10.1080/00343409950122945" TargetMode="External" /><Relationship Type="http://schemas.openxmlformats.org/officeDocument/2006/relationships/hyperlink" Id="rId115" Target="https://doi.org/10.1080/01431161.2017.1342050" TargetMode="External" /><Relationship Type="http://schemas.openxmlformats.org/officeDocument/2006/relationships/hyperlink" Id="rId166" Target="https://doi.org/10.1080/13547860.2022.2041286" TargetMode="External" /><Relationship Type="http://schemas.openxmlformats.org/officeDocument/2006/relationships/hyperlink" Id="rId96" Target="https://doi.org/10.1086/261816" TargetMode="External" /><Relationship Type="http://schemas.openxmlformats.org/officeDocument/2006/relationships/hyperlink" Id="rId140" Target="https://doi.org/10.1093/comjnl/27.2.97" TargetMode="External" /><Relationship Type="http://schemas.openxmlformats.org/officeDocument/2006/relationships/hyperlink" Id="rId156" Target="https://doi.org/10.1093/qje/qjw003" TargetMode="External" /><Relationship Type="http://schemas.openxmlformats.org/officeDocument/2006/relationships/hyperlink" Id="rId92" Target="https://doi.org/10.1111/j.1538-4632.1995.tb00338.x" TargetMode="External" /><Relationship Type="http://schemas.openxmlformats.org/officeDocument/2006/relationships/hyperlink" Id="rId154" Target="https://doi.org/10.1126/science.1213847" TargetMode="External" /><Relationship Type="http://schemas.openxmlformats.org/officeDocument/2006/relationships/hyperlink" Id="rId131" Target="https://doi.org/10.1126/science.aaf7894" TargetMode="External" /><Relationship Type="http://schemas.openxmlformats.org/officeDocument/2006/relationships/hyperlink" Id="rId109" Target="https://doi.org/10.1162/rest_a_00951" TargetMode="External" /><Relationship Type="http://schemas.openxmlformats.org/officeDocument/2006/relationships/hyperlink" Id="rId142" Target="https://doi.org/10.1201/9781420064254" TargetMode="External" /><Relationship Type="http://schemas.openxmlformats.org/officeDocument/2006/relationships/hyperlink" Id="rId127" Target="https://doi.org/10.1257/aer.102.2.994" TargetMode="External" /><Relationship Type="http://schemas.openxmlformats.org/officeDocument/2006/relationships/hyperlink" Id="rId94" Target="https://doi.org/10.1257/aer.20180268" TargetMode="External" /><Relationship Type="http://schemas.openxmlformats.org/officeDocument/2006/relationships/hyperlink" Id="rId111" Target="https://doi.org/10.1257/jep.30.4.171" TargetMode="External" /><Relationship Type="http://schemas.openxmlformats.org/officeDocument/2006/relationships/hyperlink" Id="rId162" Target="https://doi.org/10.2307/1884513" TargetMode="External" /><Relationship Type="http://schemas.openxmlformats.org/officeDocument/2006/relationships/hyperlink" Id="rId158" Target="https://doi.org/10.2307/2235377" TargetMode="External" /><Relationship Type="http://schemas.openxmlformats.org/officeDocument/2006/relationships/hyperlink" Id="rId152" Target="https://doi.org/10.2307/2332142" TargetMode="External" /><Relationship Type="http://schemas.openxmlformats.org/officeDocument/2006/relationships/hyperlink" Id="rId148" Target="https://github.com/quarcs-lab/project2022p" TargetMode="External" /><Relationship Type="http://schemas.openxmlformats.org/officeDocument/2006/relationships/hyperlink" Id="rId82" Target="https://github.com/quarcs-lab/project2025s" TargetMode="External" /><Relationship Type="http://schemas.openxmlformats.org/officeDocument/2006/relationships/hyperlink" Id="rId83" Target="https://quarcs-lab.github.io/project2025s/" TargetMode="External" /><Relationship Type="http://schemas.openxmlformats.org/officeDocument/2006/relationships/hyperlink" Id="rId88" Target="https://quarto.org"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13" Target="https://doi.org/10.1002/jae.3950100404" TargetMode="External" /><Relationship Type="http://schemas.openxmlformats.org/officeDocument/2006/relationships/hyperlink" Id="rId117" Target="https://doi.org/10.1002/jae.963" TargetMode="External" /><Relationship Type="http://schemas.openxmlformats.org/officeDocument/2006/relationships/hyperlink" Id="rId90" Target="https://doi.org/10.1007/978-94-015-7799-1" TargetMode="External" /><Relationship Type="http://schemas.openxmlformats.org/officeDocument/2006/relationships/hyperlink" Id="rId119" Target="https://doi.org/10.1007/s00168-010-0384-6" TargetMode="External" /><Relationship Type="http://schemas.openxmlformats.org/officeDocument/2006/relationships/hyperlink" Id="rId168" Target="https://doi.org/10.1007/s00168-022-01168-0" TargetMode="External" /><Relationship Type="http://schemas.openxmlformats.org/officeDocument/2006/relationships/hyperlink" Id="rId137" Target="https://doi.org/10.1007/s11205-025-03718-3" TargetMode="External" /><Relationship Type="http://schemas.openxmlformats.org/officeDocument/2006/relationships/hyperlink" Id="rId107" Target="https://doi.org/10.1007/s12076-024-00375-x" TargetMode="External" /><Relationship Type="http://schemas.openxmlformats.org/officeDocument/2006/relationships/hyperlink" Id="rId129" Target="https://doi.org/10.1007/s12076-025-00397-z" TargetMode="External" /><Relationship Type="http://schemas.openxmlformats.org/officeDocument/2006/relationships/hyperlink" Id="rId98" Target="https://doi.org/10.1016/j.asieco.2021.101318" TargetMode="External" /><Relationship Type="http://schemas.openxmlformats.org/officeDocument/2006/relationships/hyperlink" Id="rId144" Target="https://doi.org/10.1016/j.euroecorev.2016.11.009" TargetMode="External" /><Relationship Type="http://schemas.openxmlformats.org/officeDocument/2006/relationships/hyperlink" Id="rId164" Target="https://doi.org/10.1016/j.isprsjprs.2020.04.001" TargetMode="External" /><Relationship Type="http://schemas.openxmlformats.org/officeDocument/2006/relationships/hyperlink" Id="rId86" Target="https://doi.org/10.1016/j.jdeveco.2020.102467" TargetMode="External" /><Relationship Type="http://schemas.openxmlformats.org/officeDocument/2006/relationships/hyperlink" Id="rId121" Target="https://doi.org/10.1016/j.jdeveco.2020.102602" TargetMode="External" /><Relationship Type="http://schemas.openxmlformats.org/officeDocument/2006/relationships/hyperlink" Id="rId133" Target="https://doi.org/10.1016/j.jdeveco.2021.102726" TargetMode="External" /><Relationship Type="http://schemas.openxmlformats.org/officeDocument/2006/relationships/hyperlink" Id="rId101" Target="https://doi.org/10.1016/j.jdeveco.2022.102835" TargetMode="External" /><Relationship Type="http://schemas.openxmlformats.org/officeDocument/2006/relationships/hyperlink" Id="rId125" Target="https://doi.org/10.1016/j.rse.2017.06.031" TargetMode="External" /><Relationship Type="http://schemas.openxmlformats.org/officeDocument/2006/relationships/hyperlink" Id="rId84" Target="https://doi.org/10.1016/j.rse.2018.03.018" TargetMode="External" /><Relationship Type="http://schemas.openxmlformats.org/officeDocument/2006/relationships/hyperlink" Id="rId135" Target="https://doi.org/10.1016/j.worlddev.2014.08.017" TargetMode="External" /><Relationship Type="http://schemas.openxmlformats.org/officeDocument/2006/relationships/hyperlink" Id="rId103" Target="https://doi.org/10.1016/j.worlddev.2020.104961" TargetMode="External" /><Relationship Type="http://schemas.openxmlformats.org/officeDocument/2006/relationships/hyperlink" Id="rId146" Target="https://doi.org/10.1038/s41597-020-0510-y" TargetMode="External" /><Relationship Type="http://schemas.openxmlformats.org/officeDocument/2006/relationships/hyperlink" Id="rId105" Target="https://doi.org/10.1073/pnas.1017031108" TargetMode="External" /><Relationship Type="http://schemas.openxmlformats.org/officeDocument/2006/relationships/hyperlink" Id="rId123" Target="https://doi.org/10.1080/00036846.2024.2439583" TargetMode="External" /><Relationship Type="http://schemas.openxmlformats.org/officeDocument/2006/relationships/hyperlink" Id="rId150" Target="https://doi.org/10.1080/00074918.2022.2071415" TargetMode="External" /><Relationship Type="http://schemas.openxmlformats.org/officeDocument/2006/relationships/hyperlink" Id="rId160" Target="https://doi.org/10.1080/00343409950122945" TargetMode="External" /><Relationship Type="http://schemas.openxmlformats.org/officeDocument/2006/relationships/hyperlink" Id="rId115" Target="https://doi.org/10.1080/01431161.2017.1342050" TargetMode="External" /><Relationship Type="http://schemas.openxmlformats.org/officeDocument/2006/relationships/hyperlink" Id="rId166" Target="https://doi.org/10.1080/13547860.2022.2041286" TargetMode="External" /><Relationship Type="http://schemas.openxmlformats.org/officeDocument/2006/relationships/hyperlink" Id="rId96" Target="https://doi.org/10.1086/261816" TargetMode="External" /><Relationship Type="http://schemas.openxmlformats.org/officeDocument/2006/relationships/hyperlink" Id="rId140" Target="https://doi.org/10.1093/comjnl/27.2.97" TargetMode="External" /><Relationship Type="http://schemas.openxmlformats.org/officeDocument/2006/relationships/hyperlink" Id="rId156" Target="https://doi.org/10.1093/qje/qjw003" TargetMode="External" /><Relationship Type="http://schemas.openxmlformats.org/officeDocument/2006/relationships/hyperlink" Id="rId92" Target="https://doi.org/10.1111/j.1538-4632.1995.tb00338.x" TargetMode="External" /><Relationship Type="http://schemas.openxmlformats.org/officeDocument/2006/relationships/hyperlink" Id="rId154" Target="https://doi.org/10.1126/science.1213847" TargetMode="External" /><Relationship Type="http://schemas.openxmlformats.org/officeDocument/2006/relationships/hyperlink" Id="rId131" Target="https://doi.org/10.1126/science.aaf7894" TargetMode="External" /><Relationship Type="http://schemas.openxmlformats.org/officeDocument/2006/relationships/hyperlink" Id="rId109" Target="https://doi.org/10.1162/rest_a_00951" TargetMode="External" /><Relationship Type="http://schemas.openxmlformats.org/officeDocument/2006/relationships/hyperlink" Id="rId142" Target="https://doi.org/10.1201/9781420064254" TargetMode="External" /><Relationship Type="http://schemas.openxmlformats.org/officeDocument/2006/relationships/hyperlink" Id="rId127" Target="https://doi.org/10.1257/aer.102.2.994" TargetMode="External" /><Relationship Type="http://schemas.openxmlformats.org/officeDocument/2006/relationships/hyperlink" Id="rId94" Target="https://doi.org/10.1257/aer.20180268" TargetMode="External" /><Relationship Type="http://schemas.openxmlformats.org/officeDocument/2006/relationships/hyperlink" Id="rId111" Target="https://doi.org/10.1257/jep.30.4.171" TargetMode="External" /><Relationship Type="http://schemas.openxmlformats.org/officeDocument/2006/relationships/hyperlink" Id="rId162" Target="https://doi.org/10.2307/1884513" TargetMode="External" /><Relationship Type="http://schemas.openxmlformats.org/officeDocument/2006/relationships/hyperlink" Id="rId158" Target="https://doi.org/10.2307/2235377" TargetMode="External" /><Relationship Type="http://schemas.openxmlformats.org/officeDocument/2006/relationships/hyperlink" Id="rId152" Target="https://doi.org/10.2307/2332142" TargetMode="External" /><Relationship Type="http://schemas.openxmlformats.org/officeDocument/2006/relationships/hyperlink" Id="rId148" Target="https://github.com/quarcs-lab/project2022p" TargetMode="External" /><Relationship Type="http://schemas.openxmlformats.org/officeDocument/2006/relationships/hyperlink" Id="rId82" Target="https://github.com/quarcs-lab/project2025s" TargetMode="External" /><Relationship Type="http://schemas.openxmlformats.org/officeDocument/2006/relationships/hyperlink" Id="rId83" Target="https://quarcs-lab.github.io/project2025s/" TargetMode="External" /><Relationship Type="http://schemas.openxmlformats.org/officeDocument/2006/relationships/hyperlink" Id="rId88" Target="https://quarto.org"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Carlos Mendez; Sujana Kabiraj; Jiaqi Li</dc:creator>
  <cp:keywords>Regional convergence, Spatial dependence, Spatial Durbin model, Nighttime lights, Reproducible research, India</cp:keywords>
  <dcterms:created xsi:type="dcterms:W3CDTF">2026-03-04T11:55:14Z</dcterms:created>
  <dcterms:modified xsi:type="dcterms:W3CDTF">2026-03-04T11:55:14Z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Based on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visual</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ceived">
    <vt:lpwstr>February 5, 2026</vt:lpwstr>
  </property>
  <property fmtid="{D5CDD505-2E9C-101B-9397-08002B2CF9AE}" pid="23" name="remove-hidden">
    <vt:lpwstr>all</vt:lpwstr>
  </property>
  <property fmtid="{D5CDD505-2E9C-101B-9397-08002B2CF9AE}" pid="24" name="subtitle">
    <vt:lpwstr>A reproducible view from outer space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