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8.png" ContentType="image/png"/>
  <Override PartName="/word/media/rId42.png" ContentType="image/png"/>
  <Override PartName="/word/media/rId53.png" ContentType="image/png"/>
  <Override PartName="/word/media/rId66.png" ContentType="image/png"/>
  <Override PartName="/word/media/rId62.png" ContentType="image/png"/>
  <Override PartName="/word/media/rId58.png" ContentType="image/png"/>
  <Override PartName="/word/media/rId79.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3" w:name="results"/>
    <w:p>
      <w:pPr>
        <w:pStyle w:val="Heading2"/>
      </w:pPr>
      <w:r>
        <w:t xml:space="preserve">Results</w:t>
      </w:r>
    </w:p>
    <w:bookmarkStart w:id="5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An interactive web application complementing this analysis is also available; the URL is omitted for blind review.</w:t>
            </w:r>
            <w:r>
              <w:t xml:space="preserve"> </w:t>
            </w:r>
            <w:r>
              <w:t xml:space="preserve"> </w:t>
            </w:r>
            <w:r>
              <w:t xml:space="preserve">Source: Authors’ visualization using pre-processed luminosity images from the Earth Observation Group (NOAA/NCEI). See</w:t>
            </w:r>
            <w:r>
              <w:t xml:space="preserve"> </w:t>
            </w:r>
            <w:hyperlink r:id="rId37">
              <w:r>
                <w:rPr>
                  <w:rStyle w:val="Hyperlink"/>
                </w:rPr>
                <w:t xml:space="preserve">View from outer space</w:t>
              </w:r>
            </w:hyperlink>
            <w:r>
              <w:t xml:space="preserve"> </w:t>
            </w:r>
            <w:r>
              <w:t xml:space="preserve">notebook for source code.</w:t>
            </w:r>
          </w:p>
          <w:bookmarkEnd w:id="41"/>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convergence"/>
          <w:p>
            <w:pPr>
              <w:pStyle w:val="Compact"/>
              <w:jc w:val="center"/>
            </w:pPr>
            <w:r>
              <w:drawing>
                <wp:inline>
                  <wp:extent cx="4000500" cy="4000500"/>
                  <wp:effectExtent b="0" l="0" r="0" t="0"/>
                  <wp:docPr descr="" title="" id="43" name="Picture"/>
                  <a:graphic>
                    <a:graphicData uri="http://schemas.openxmlformats.org/drawingml/2006/picture">
                      <pic:pic>
                        <pic:nvPicPr>
                          <pic:cNvPr descr="index_files/figure-docx/notebooks-c02_regional_convergence_sc-fig-convergence-output-2.png" id="44" name="Picture"/>
                          <pic:cNvPicPr>
                            <a:picLocks noChangeArrowheads="1" noChangeAspect="1"/>
                          </pic:cNvPicPr>
                        </pic:nvPicPr>
                        <pic:blipFill>
                          <a:blip r:embed="rId42"/>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5">
              <w:r>
                <w:rPr>
                  <w:rStyle w:val="Hyperlink"/>
                </w:rPr>
                <w:t xml:space="preserve">Regional convergence</w:t>
              </w:r>
            </w:hyperlink>
            <w:r>
              <w:t xml:space="preserve"> </w:t>
            </w:r>
            <w:r>
              <w:t xml:space="preserve">notebook for source code.</w:t>
            </w:r>
          </w:p>
          <w:bookmarkEnd w:id="46"/>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7"/>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1" w:name="fig-map2"/>
          <w:p>
            <w:pPr>
              <w:pStyle w:val="Compact"/>
              <w:jc w:val="center"/>
            </w:pPr>
            <w:r>
              <w:drawing>
                <wp:inline>
                  <wp:extent cx="4000500" cy="7241369"/>
                  <wp:effectExtent b="0" l="0" r="0" t="0"/>
                  <wp:docPr descr="" title="" id="49" name="Picture"/>
                  <a:graphic>
                    <a:graphicData uri="http://schemas.openxmlformats.org/drawingml/2006/picture">
                      <pic:pic>
                        <pic:nvPicPr>
                          <pic:cNvPr descr="images/luminosity_map2.png" id="50" name="Picture"/>
                          <pic:cNvPicPr>
                            <a:picLocks noChangeArrowheads="1" noChangeAspect="1"/>
                          </pic:cNvPicPr>
                        </pic:nvPicPr>
                        <pic:blipFill>
                          <a:blip r:embed="rId4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An interactive web application complementing this analysis is also available; the URL is omitted for blind review.</w:t>
            </w:r>
            <w:r>
              <w:t xml:space="preserve"> </w:t>
            </w:r>
            <w:r>
              <w:t xml:space="preserve"> </w:t>
            </w:r>
            <w:r>
              <w:t xml:space="preserve">Source: Authors’ visualization using pre-processed luminosity images from the Earth Observation Group (NOAA/NCEI). See</w:t>
            </w:r>
            <w:r>
              <w:t xml:space="preserve"> </w:t>
            </w:r>
            <w:hyperlink r:id="rId37">
              <w:r>
                <w:rPr>
                  <w:rStyle w:val="Hyperlink"/>
                </w:rPr>
                <w:t xml:space="preserve">View from outer space</w:t>
              </w:r>
            </w:hyperlink>
            <w:r>
              <w:t xml:space="preserve"> </w:t>
            </w:r>
            <w:r>
              <w:t xml:space="preserve">notebook for source code.</w:t>
            </w:r>
          </w:p>
          <w:bookmarkEnd w:id="51"/>
        </w:tc>
      </w:tr>
    </w:tbl>
    <w:bookmarkEnd w:id="52"/>
    <w:bookmarkStart w:id="70"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7" w:name="fig-chorophleths"/>
          <w:p>
            <w:pPr>
              <w:pStyle w:val="Compact"/>
              <w:jc w:val="center"/>
            </w:pPr>
            <w:r>
              <w:drawing>
                <wp:inline>
                  <wp:extent cx="5334000" cy="2769972"/>
                  <wp:effectExtent b="0" l="0" r="0" t="0"/>
                  <wp:docPr descr="" title="" id="54" name="Picture"/>
                  <a:graphic>
                    <a:graphicData uri="http://schemas.openxmlformats.org/drawingml/2006/picture">
                      <pic:pic>
                        <pic:nvPicPr>
                          <pic:cNvPr descr="index_files/figure-docx/notebooks-c03_spatial_dependence_lisa-fig-chorophleths-output-1.png" id="55" name="Picture"/>
                          <pic:cNvPicPr>
                            <a:picLocks noChangeArrowheads="1" noChangeAspect="1"/>
                          </pic:cNvPicPr>
                        </pic:nvPicPr>
                        <pic:blipFill>
                          <a:blip r:embed="rId5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57"/>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1" w:name="fig-wmatrix6nn"/>
          <w:p>
            <w:pPr>
              <w:pStyle w:val="Compact"/>
              <w:jc w:val="center"/>
            </w:pPr>
            <w:r>
              <w:drawing>
                <wp:inline>
                  <wp:extent cx="5334000" cy="5052589"/>
                  <wp:effectExtent b="0" l="0" r="0" t="0"/>
                  <wp:docPr descr="" title="" id="59" name="Picture"/>
                  <a:graphic>
                    <a:graphicData uri="http://schemas.openxmlformats.org/drawingml/2006/picture">
                      <pic:pic>
                        <pic:nvPicPr>
                          <pic:cNvPr descr="index_files/figure-docx/notebooks-c03_spatial_dependence_lisa-fig-wmatrix6nn-output-1.png" id="60" name="Picture"/>
                          <pic:cNvPicPr>
                            <a:picLocks noChangeArrowheads="1" noChangeAspect="1"/>
                          </pic:cNvPicPr>
                        </pic:nvPicPr>
                        <pic:blipFill>
                          <a:blip r:embed="rId5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1"/>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5" w:name="fig-dependence-initial"/>
          <w:p>
            <w:pPr>
              <w:pStyle w:val="Compact"/>
              <w:jc w:val="center"/>
            </w:pPr>
            <w:r>
              <w:drawing>
                <wp:inline>
                  <wp:extent cx="5334000" cy="2634591"/>
                  <wp:effectExtent b="0" l="0" r="0" t="0"/>
                  <wp:docPr descr="" title="" id="63" name="Picture"/>
                  <a:graphic>
                    <a:graphicData uri="http://schemas.openxmlformats.org/drawingml/2006/picture">
                      <pic:pic>
                        <pic:nvPicPr>
                          <pic:cNvPr descr="index_files/figure-docx/notebooks-c03_spatial_dependence_lisa-fig-dependence-initial-output-1.png" id="64" name="Picture"/>
                          <pic:cNvPicPr>
                            <a:picLocks noChangeArrowheads="1" noChangeAspect="1"/>
                          </pic:cNvPicPr>
                        </pic:nvPicPr>
                        <pic:blipFill>
                          <a:blip r:embed="rId6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5"/>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69" w:name="fig-dependence-growth"/>
          <w:p>
            <w:pPr>
              <w:pStyle w:val="Compact"/>
              <w:jc w:val="center"/>
            </w:pPr>
            <w:r>
              <w:drawing>
                <wp:inline>
                  <wp:extent cx="5334000" cy="2638363"/>
                  <wp:effectExtent b="0" l="0" r="0" t="0"/>
                  <wp:docPr descr="" title="" id="67" name="Picture"/>
                  <a:graphic>
                    <a:graphicData uri="http://schemas.openxmlformats.org/drawingml/2006/picture">
                      <pic:pic>
                        <pic:nvPicPr>
                          <pic:cNvPr descr="index_files/figure-docx/notebooks-c03_spatial_dependence_lisa-fig-dependence-growth-output-1.png" id="68" name="Picture"/>
                          <pic:cNvPicPr>
                            <a:picLocks noChangeArrowheads="1" noChangeAspect="1"/>
                          </pic:cNvPicPr>
                        </pic:nvPicPr>
                        <pic:blipFill>
                          <a:blip r:embed="rId6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6">
              <w:r>
                <w:rPr>
                  <w:rStyle w:val="Hyperlink"/>
                </w:rPr>
                <w:t xml:space="preserve">Spatial dependence</w:t>
              </w:r>
            </w:hyperlink>
            <w:r>
              <w:t xml:space="preserve"> </w:t>
            </w:r>
            <w:r>
              <w:t xml:space="preserve">notebook for source code.</w:t>
            </w:r>
          </w:p>
          <w:bookmarkEnd w:id="69"/>
        </w:tc>
      </w:tr>
    </w:tbl>
    <w:bookmarkEnd w:id="70"/>
    <w:bookmarkStart w:id="72"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1"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1"/>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2"/>
    <w:bookmarkEnd w:id="73"/>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advances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all 32 Indian states and union territories, we can examine the extent to which luminosity is associated with regional cultural patterns.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rank-order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5" name="Picture"/>
                  <a:graphic>
                    <a:graphicData uri="http://schemas.openxmlformats.org/drawingml/2006/picture">
                      <pic:pic>
                        <pic:nvPicPr>
                          <pic:cNvPr descr="index_files/figure-docx/notebooks-c06_spatial_culture-fig-culture-scatter-output-1.png" id="76" name="Picture"/>
                          <pic:cNvPicPr>
                            <a:picLocks noChangeArrowheads="1" noChangeAspect="1"/>
                          </pic:cNvPicPr>
                        </pic:nvPicPr>
                        <pic:blipFill>
                          <a:blip r:embed="rId74"/>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7">
              <w:r>
                <w:rPr>
                  <w:rStyle w:val="Hyperlink"/>
                </w:rPr>
                <w:t xml:space="preserve">Spatial culture</w:t>
              </w:r>
            </w:hyperlink>
            <w:r>
              <w:t xml:space="preserve"> </w:t>
            </w:r>
            <w:r>
              <w:t xml:space="preserve">notebook for source code.</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7">
              <w:r>
                <w:rPr>
                  <w:rStyle w:val="Hyperlink"/>
                </w:rPr>
                <w:t xml:space="preserve">Spatial culture</w:t>
              </w:r>
            </w:hyperlink>
            <w:r>
              <w:t xml:space="preserve"> </w:t>
            </w:r>
            <w:r>
              <w:t xml:space="preserve">notebook for source code.</w:t>
            </w:r>
          </w:p>
          <w:bookmarkEnd w:id="82"/>
        </w:tc>
      </w:tr>
    </w:tbl>
    <w:p>
      <w:pPr>
        <w:pStyle w:val="BodyText"/>
      </w:pPr>
      <w:r>
        <w:t xml:space="preserve">These patterns suggest that economic development does not uniformly increase or decrease cultural participation but rather reshapes its character.</w:t>
      </w:r>
      <w:r>
        <w:t xml:space="preserve"> </w:t>
      </w:r>
      <w:r>
        <w:t xml:space="preserve">Socio-cultural participation is the most consistently significant association, confirmed across both a 25-state sample using district-aggregated luminosity and the full 32-state sample presented here.</w:t>
      </w:r>
      <w:r>
        <w:t xml:space="preserve"> </w:t>
      </w:r>
      <w:r>
        <w:t xml:space="preserve">Cultural telecast shows a consistent positive sign across both samples, though its statistical significance is sensitive to sample composition and the choice of correlation method.</w:t>
      </w:r>
      <w:r>
        <w:t xml:space="preserve"> </w:t>
      </w:r>
      <w:r>
        <w:t xml:space="preserve">More luminous regions consume culture through modern media infrastructure, while less luminous regions sustain culture through community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[Funding details redacted for blind review.]</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an interactive HTML version of this manuscript embeds the computational notebooks, allowing readers to inspect the complete analytical pipeline from raw data to published results; the URL is omitted for blind review.</w:t>
      </w:r>
    </w:p>
    <w:bookmarkStart w:id="182" w:name="refs"/>
    <w:bookmarkStart w:id="92"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1">
        <w:r>
          <w:rPr>
            <w:rStyle w:val="Hyperlink"/>
          </w:rPr>
          <w:t xml:space="preserve">https://doi.org/10.1016/j.rse.2018.03.018</w:t>
        </w:r>
      </w:hyperlink>
      <w:r>
        <w:t xml:space="preserve">.</w:t>
      </w:r>
    </w:p>
    <w:bookmarkEnd w:id="92"/>
    <w:bookmarkStart w:id="94"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3">
        <w:r>
          <w:rPr>
            <w:rStyle w:val="Hyperlink"/>
          </w:rPr>
          <w:t xml:space="preserve">https://doi.org/10.1111/ecin.12967</w:t>
        </w:r>
      </w:hyperlink>
      <w:r>
        <w:t xml:space="preserve">.</w:t>
      </w:r>
    </w:p>
    <w:bookmarkEnd w:id="94"/>
    <w:bookmarkStart w:id="96"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5">
        <w:r>
          <w:rPr>
            <w:rStyle w:val="Hyperlink"/>
          </w:rPr>
          <w:t xml:space="preserve">https://quarto.org</w:t>
        </w:r>
      </w:hyperlink>
      <w:r>
        <w:t xml:space="preserve">.</w:t>
      </w:r>
    </w:p>
    <w:bookmarkEnd w:id="96"/>
    <w:bookmarkStart w:id="98"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7">
        <w:r>
          <w:rPr>
            <w:rStyle w:val="Hyperlink"/>
          </w:rPr>
          <w:t xml:space="preserve">https://doi.org/10.1007/978-94-015-7799-1</w:t>
        </w:r>
      </w:hyperlink>
      <w:r>
        <w:t xml:space="preserve">.</w:t>
      </w:r>
    </w:p>
    <w:bookmarkEnd w:id="98"/>
    <w:bookmarkStart w:id="100"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9">
        <w:r>
          <w:rPr>
            <w:rStyle w:val="Hyperlink"/>
          </w:rPr>
          <w:t xml:space="preserve">https://doi.org/10.1111/j.1538-4632.1995.tb00338.x</w:t>
        </w:r>
      </w:hyperlink>
      <w:r>
        <w:t xml:space="preserve">.</w:t>
      </w:r>
    </w:p>
    <w:bookmarkEnd w:id="100"/>
    <w:bookmarkStart w:id="102"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1">
        <w:r>
          <w:rPr>
            <w:rStyle w:val="Hyperlink"/>
          </w:rPr>
          <w:t xml:space="preserve">https://doi.org/10.1257/aer.20180268</w:t>
        </w:r>
      </w:hyperlink>
      <w:r>
        <w:t xml:space="preserve">.</w:t>
      </w:r>
    </w:p>
    <w:bookmarkEnd w:id="102"/>
    <w:bookmarkStart w:id="104"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3">
        <w:r>
          <w:rPr>
            <w:rStyle w:val="Hyperlink"/>
          </w:rPr>
          <w:t xml:space="preserve">https://doi.org/10.1086/261816</w:t>
        </w:r>
      </w:hyperlink>
      <w:r>
        <w:t xml:space="preserve">.</w:t>
      </w:r>
    </w:p>
    <w:bookmarkEnd w:id="104"/>
    <w:bookmarkStart w:id="106"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5">
        <w:r>
          <w:rPr>
            <w:rStyle w:val="Hyperlink"/>
          </w:rPr>
          <w:t xml:space="preserve">https://doi.org/10.1016/j.asieco.2021.101318</w:t>
        </w:r>
      </w:hyperlink>
      <w:r>
        <w:t xml:space="preserve">.</w:t>
      </w:r>
    </w:p>
    <w:bookmarkEnd w:id="106"/>
    <w:bookmarkStart w:id="108"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7">
        <w:r>
          <w:rPr>
            <w:rStyle w:val="Hyperlink"/>
          </w:rPr>
          <w:t xml:space="preserve">https://www.epw.in/journal/2017/25-26/notes/will-gst-exacerbate-regional-divergence.html</w:t>
        </w:r>
      </w:hyperlink>
      <w:r>
        <w:t xml:space="preserve">.</w:t>
      </w:r>
    </w:p>
    <w:bookmarkEnd w:id="108"/>
    <w:bookmarkStart w:id="110"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09">
        <w:r>
          <w:rPr>
            <w:rStyle w:val="Hyperlink"/>
          </w:rPr>
          <w:t xml:space="preserve">https://doi.org/10.1016/j.jmacro.2022.103438</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1">
        <w:r>
          <w:rPr>
            <w:rStyle w:val="Hyperlink"/>
          </w:rPr>
          <w:t xml:space="preserve">https://doi.org/10.1086/725058</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An interactive web application complementing this analysis was developed using Google Earth Engine; the URL is omitted for blind review. The source code is available in the</w:t>
      </w:r>
      <w:r>
        <w:t xml:space="preserve"> </w:t>
      </w:r>
      <w:hyperlink r:id="rId37">
        <w:r>
          <w:rPr>
            <w:rStyle w:val="Hyperlink"/>
          </w:rPr>
          <w:t xml:space="preserve">View from outer space</w:t>
        </w:r>
      </w:hyperlink>
      <w:r>
        <w:t xml:space="preserve"> </w:t>
      </w:r>
      <w:r>
        <w:t xml:space="preserve">notebook.</w:t>
      </w:r>
    </w:p>
  </w:footnote>
  <w:footnote w:id="4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129" Target="https://doi.org/10.1016/j.jdeveco.2020.102602" TargetMode="External" /><Relationship Type="http://schemas.openxmlformats.org/officeDocument/2006/relationships/hyperlink" Id="rId109" Target="https://doi.org/10.1016/j.jmacro.2022.103438" TargetMode="External" /><Relationship Type="http://schemas.openxmlformats.org/officeDocument/2006/relationships/hyperlink" Id="rId133" Target="https://doi.org/10.1016/j.rse.2017.06.031" TargetMode="External" /><Relationship Type="http://schemas.openxmlformats.org/officeDocument/2006/relationships/hyperlink" Id="rId91"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41" Target="https://doi.org/10.1086/725058"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3" Target="https://doi.org/10.1111/ecin.12967" TargetMode="External" /><Relationship Type="http://schemas.openxmlformats.org/officeDocument/2006/relationships/hyperlink" Id="rId99"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5" Target="https://quarto.org" TargetMode="External" /><Relationship Type="http://schemas.openxmlformats.org/officeDocument/2006/relationships/hyperlink" Id="rId107" Target="https://www.epw.in/journal/2017/25-26/notes/will-gst-exacerbate-regional-divergence.html" TargetMode="External" /><Relationship Type="http://schemas.openxmlformats.org/officeDocument/2006/relationships/hyperlink" Id="rId37" Target="notebooks/c01_view_from_space.ipynb" TargetMode="External" /><Relationship Type="http://schemas.openxmlformats.org/officeDocument/2006/relationships/hyperlink" Id="rId45" Target="notebooks/c02_regional_convergence_sc.ipynb" TargetMode="External" /><Relationship Type="http://schemas.openxmlformats.org/officeDocument/2006/relationships/hyperlink" Id="rId56" Target="notebooks/c03_spatial_dependence_lisa.ipynb" TargetMode="External" /><Relationship Type="http://schemas.openxmlformats.org/officeDocument/2006/relationships/hyperlink" Id="rId77" Target="notebooks/c06_spatial_culture.ipynb"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129" Target="https://doi.org/10.1016/j.jdeveco.2020.102602" TargetMode="External" /><Relationship Type="http://schemas.openxmlformats.org/officeDocument/2006/relationships/hyperlink" Id="rId109" Target="https://doi.org/10.1016/j.jmacro.2022.103438" TargetMode="External" /><Relationship Type="http://schemas.openxmlformats.org/officeDocument/2006/relationships/hyperlink" Id="rId133" Target="https://doi.org/10.1016/j.rse.2017.06.031" TargetMode="External" /><Relationship Type="http://schemas.openxmlformats.org/officeDocument/2006/relationships/hyperlink" Id="rId91"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41" Target="https://doi.org/10.1086/725058"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3" Target="https://doi.org/10.1111/ecin.12967" TargetMode="External" /><Relationship Type="http://schemas.openxmlformats.org/officeDocument/2006/relationships/hyperlink" Id="rId99"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5" Target="https://quarto.org" TargetMode="External" /><Relationship Type="http://schemas.openxmlformats.org/officeDocument/2006/relationships/hyperlink" Id="rId107" Target="https://www.epw.in/journal/2017/25-26/notes/will-gst-exacerbate-regional-divergence.html" TargetMode="External" /><Relationship Type="http://schemas.openxmlformats.org/officeDocument/2006/relationships/hyperlink" Id="rId37" Target="notebooks/c01_view_from_space.ipynb" TargetMode="External" /><Relationship Type="http://schemas.openxmlformats.org/officeDocument/2006/relationships/hyperlink" Id="rId45" Target="notebooks/c02_regional_convergence_sc.ipynb" TargetMode="External" /><Relationship Type="http://schemas.openxmlformats.org/officeDocument/2006/relationships/hyperlink" Id="rId56" Target="notebooks/c03_spatial_dependence_lisa.ipynb" TargetMode="External" /><Relationship Type="http://schemas.openxmlformats.org/officeDocument/2006/relationships/hyperlink" Id="rId77" Target="notebooks/c06_spatial_culture.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2026-04-10T07:31:26Z</dcterms:created>
  <dcterms:modified xsi:type="dcterms:W3CDTF">2026-04-10T07:31:26Z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