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Based on a reproducible open-science approach, this article builds on their work by confirming and extending their main findings on three fronts.</w:t>
      </w:r>
      <w:r>
        <w:t xml:space="preserve"> </w:t>
      </w:r>
      <w:r>
        <w:t xml:space="preserve">First, we illustrate regional convergence patterns using an interactive web-based tool for satellite image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patterns in developing countries has been historically challenging due to limited availability of consistent economic data at subnational administrative levels.</w:t>
      </w:r>
      <w:r>
        <w:t xml:space="preserve"> </w:t>
      </w:r>
      <w:r>
        <w:t xml:space="preserve">The emergence of satellite nighttime light data as a proxy for economic activity has enabled the analysis of regional growth dynamics at granular geographic scales.</w:t>
      </w:r>
    </w:p>
    <w:p>
      <w:pPr>
        <w:pStyle w:val="BodyText"/>
      </w:pPr>
      <w:r>
        <w:t xml:space="preserve">Chanda and Kabiraj (2020)</w:t>
      </w:r>
      <w:r>
        <w:t xml:space="preserve"> </w:t>
      </w:r>
      <w:r>
        <w:t xml:space="preserve">leveraged nighttime light data to document evidence of regional convergence across 520 districts in India between 1996 and 2010.</w:t>
      </w:r>
      <w:r>
        <w:t xml:space="preserve"> </w:t>
      </w:r>
      <w:r>
        <w:t xml:space="preserve">Their analysis showed that poorer districts grew faster than richer ones during this period, suggesting a gradual reduction in spatial inequalities.</w:t>
      </w:r>
      <w:r>
        <w:t xml:space="preserve"> </w:t>
      </w:r>
      <w:r>
        <w:t xml:space="preserve">However, their econometric approach did not account for potential spatial spillovers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paper confirms and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web-based visualization tool that allows researchers to dynamically explore spatial and temporal patterns in the nighttime light data.</w:t>
      </w:r>
      <w:r>
        <w:t xml:space="preserve"> </w:t>
      </w:r>
      <w:r>
        <w:t xml:space="preserve">This tool helps identify converging regions and growth hotspots that may be difficult to detect in static representations.</w:t>
      </w:r>
      <w:r>
        <w:t xml:space="preserve"> </w:t>
      </w:r>
      <w:r>
        <w:t xml:space="preserve">Second, we formally test for spatial dependence in both the dependent and independent variables of the convergence equations.</w:t>
      </w:r>
      <w:r>
        <w:t xml:space="preserve"> </w:t>
      </w:r>
      <w:r>
        <w:t xml:space="preserve">Our tests highlight that spatial autocorrelation is a relevant feature of satellite data and the regional convergence process.</w:t>
      </w:r>
      <w:r>
        <w:t xml:space="preserve"> </w:t>
      </w:r>
      <w:r>
        <w:t xml:space="preserve">Third, we employ a spatial Durbin model that explicitly accounts for spatial spillovers, quantifying how neighborhood effects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the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 findings carry implications for both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development interventions may extend beyond target districts through spatial multiplier effects, potentially increasing their cost-effectiveness.</w:t>
      </w:r>
      <w:r>
        <w:t xml:space="preserve"> </w:t>
      </w:r>
      <w:r>
        <w:t xml:space="preserve">The results also illustrate how new data sources and methods can improve our understanding of regional economic dynamics in developing countries.</w:t>
      </w:r>
    </w:p>
    <w:p>
      <w:pPr>
        <w:pStyle w:val="BodyText"/>
      </w:pPr>
      <w:r>
        <w:t xml:space="preserve">The rest of this article is organized as follows.</w:t>
      </w:r>
      <w:r>
        <w:t xml:space="preserve"> </w:t>
      </w:r>
      <w:r>
        <w:t xml:space="preserve">Section 2 provides an overview of the data and methods, describing our use of nighttime light data as a proxy for economic activity.</w:t>
      </w:r>
      <w:r>
        <w:t xml:space="preserve"> </w:t>
      </w:r>
      <w:r>
        <w:t xml:space="preserve">It also introduces the spatial Durbin model that forms the basis of our empirical strategy.</w:t>
      </w:r>
      <w:r>
        <w:t xml:space="preserve"> </w:t>
      </w:r>
      <w:r>
        <w:t xml:space="preserve">We also detail our methodological extensions related to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(2020)</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 finding that national accounts better capture aggregate economic growth.</w:t>
      </w:r>
      <w:r>
        <w:t xml:space="preserve"> </w:t>
      </w:r>
      <w:r>
        <w:t xml:space="preserve">Similarly,</w:t>
      </w:r>
      <w:r>
        <w:t xml:space="preserve"> </w:t>
      </w:r>
      <w:r>
        <w:t xml:space="preserve">Lessmann and Seidel (2017)</w:t>
      </w:r>
      <w:r>
        <w:t xml:space="preserve"> </w:t>
      </w:r>
      <w:r>
        <w:t xml:space="preserve">leverage NTL data to estimate GDP per capita and income inequality globally.</w:t>
      </w:r>
      <w:r>
        <w:t xml:space="preserve"> </w:t>
      </w:r>
      <w:r>
        <w:t xml:space="preserve">More broadly,</w:t>
      </w:r>
      <w:r>
        <w:t xml:space="preserve"> </w:t>
      </w:r>
      <w:r>
        <w:t xml:space="preserve">Gennaioli et al. (2014)</w:t>
      </w:r>
      <w:r>
        <w:t xml:space="preserve"> </w:t>
      </w:r>
      <w:r>
        <w:t xml:space="preserve">study regional convergence using per capita income data from 1,528 subnational regions across 83 countries, finding a convergence rate of about 2% per year.</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 while</w:t>
      </w:r>
      <w:r>
        <w:t xml:space="preserve"> </w:t>
      </w:r>
      <w:r>
        <w:t xml:space="preserve">Jha and Talathi (2021)</w:t>
      </w:r>
      <w:r>
        <w:t xml:space="preserve"> </w:t>
      </w:r>
      <w:r>
        <w:t xml:space="preserve">examine the effects of colonial institutions, and</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(2019)</w:t>
      </w:r>
      <w:r>
        <w:t xml:space="preserve"> </w:t>
      </w:r>
      <w:r>
        <w:t xml:space="preserve">document significant regional disparities in India using NTL data and caution that GST may further exacerbate them, while</w:t>
      </w:r>
      <w:r>
        <w:t xml:space="preserve"> </w:t>
      </w:r>
      <w:r>
        <w:t xml:space="preserve">Chanda and Kabiraj (2020)</w:t>
      </w:r>
      <w:r>
        <w:t xml:space="preserve"> </w:t>
      </w:r>
      <w:r>
        <w:t xml:space="preserve">highlights district-level convergence.</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variable of interest.</w:t>
      </w:r>
      <w:r>
        <w:t xml:space="preserve"> </w:t>
      </w:r>
      <w:r>
        <w:t xml:space="preserve">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 as 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where code, results, and interpretation are separated across different files and software environments,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enables readers and reviewers to trace each result back to the code that produced it.</w:t>
      </w:r>
      <w:r>
        <w:t xml:space="preserve"> </w:t>
      </w:r>
      <w:r>
        <w:t xml:space="preserve">The Python and R notebooks can be executed in the cloud using Google Colab, further lowering the barriers to replication by eliminating the need for local software installation.</w:t>
      </w:r>
      <w:r>
        <w:t xml:space="preserve"> </w:t>
      </w:r>
      <w:r>
        <w:t xml:space="preserve">While Stata is not open-source software, its integration with the Jupyter environment provides a rich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w:t>
      </w:r>
      <w:r>
        <w:t xml:space="preserve"> </w:t>
      </w:r>
      <w:r>
        <w:t xml:space="preserve">Its single-source publishing paradigm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reproducible, publication-quality research.</w:t>
      </w:r>
    </w:p>
    <w:p>
      <w:pPr>
        <w:pStyle w:val="BodyText"/>
      </w:pPr>
      <w:r>
        <w:t xml:space="preserve">The combination of Jupyter notebooks and Quarto’s manuscript framework creates an effective infrastructure for reproducible research.</w:t>
      </w:r>
      <w:r>
        <w:t xml:space="preserve"> </w:t>
      </w:r>
      <w:r>
        <w:t xml:space="preserve">In this article, all computational analyses are embedded in Jupyter notebooks that are directly linked to the main text, allowing readers to inspect the code alongside the results it produces.</w:t>
      </w:r>
      <w:r>
        <w:t xml:space="preserve"> </w:t>
      </w:r>
      <w:r>
        <w:t xml:space="preserve">Quarto’s embed functionality enables us to pull specific figures, tables, and results from these notebooks into the manuscript.</w:t>
      </w:r>
      <w:r>
        <w:t xml:space="preserve"> </w:t>
      </w:r>
      <w:r>
        <w:t xml:space="preserve">This ensures that every empirical finding presented in the text is traceable to its underlying computation.</w:t>
      </w:r>
      <w:r>
        <w:t xml:space="preserve"> </w:t>
      </w:r>
      <w:r>
        <w:t xml:space="preserve">All data processing and analysis steps are documented in the notebooks, and we provide access to the raw data and code through a public repository.</w:t>
      </w:r>
      <w:r>
        <w:t xml:space="preserve"> </w:t>
      </w:r>
      <w:r>
        <w:t xml:space="preserve">By adopting this integrated reproducible research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distinct methodological advantages over static representations, particularly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enables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This interactivity is especially valuable when investigating economic phenomena that exhibit significant spatial and temporal variation, such as urbanization patterns, economic shocks, or regional development disparities.</w:t>
      </w:r>
      <w:r>
        <w:t xml:space="preserve"> </w:t>
      </w:r>
      <w:r>
        <w:t xml:space="preserve">The ability to dynamically adjust visualization parameters, such as temporal ranges, spatial scales, and light intensity thresholds,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economic research with nighttime lights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enables the development of web applications that can be shared with other researchers or stakeholders.</w:t>
      </w:r>
      <w:r>
        <w:t xml:space="preserve"> </w:t>
      </w:r>
      <w:r>
        <w:t xml:space="preserve">These applications allow users to interact with the data and verify findings independently.</w:t>
      </w:r>
      <w:r>
        <w:t xml:space="preserve"> </w:t>
      </w:r>
      <w:r>
        <w:t xml:space="preserve">The platform’s ability to handle large-scale geospatial computations server-side significantly streamlines the workflow from raw data to interactive visualization.</w:t>
      </w:r>
      <w:r>
        <w:t xml:space="preserve"> </w:t>
      </w:r>
      <w:r>
        <w:t xml:space="preserve">Its extensive catalog of pre-processed nighttime lights datasets, including the DMSP-OLS and VIIRS collections, further reduces the processing burden</w:t>
      </w:r>
      <w:r>
        <w:t xml:space="preserve"> </w:t>
      </w:r>
      <w:r>
        <w:t xml:space="preserve">(Tamiminia et al. 2020)</w:t>
      </w:r>
      <w:r>
        <w:t xml:space="preserve">.</w:t>
      </w:r>
      <w:r>
        <w:t xml:space="preserve"> </w:t>
      </w:r>
      <w:r>
        <w:t xml:space="preserve">This computational efficiency is particularly beneficial when analyzing long time series or large geographic areas, which would be computationally intensive using traditional desktop-based approaches.</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modeling-regional-convergence"/>
    <w:p>
      <w:pPr>
        <w:pStyle w:val="Heading3"/>
      </w:pPr>
      <w:r>
        <w:t xml:space="preserve">Modeling regional convergence</w:t>
      </w:r>
    </w:p>
    <w:p>
      <w:pPr>
        <w:pStyle w:val="FirstParagraph"/>
      </w:pPr>
      <w:r>
        <w:t xml:space="preserve">In neoclassical growth models, such as the Solow model, the per capita growth rate is predicted to be negatively correlated with a region’s initial endowment, primarily due to diminishing returns to capital</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Consequently, over the long run, regions with similar characteristics should converge to a common steady state.</w:t>
      </w:r>
      <w:r>
        <w:t xml:space="preserve"> </w:t>
      </w:r>
      <w:r>
        <w:t xml:space="preserve">We examine such convergence (denoted by</w:t>
      </w:r>
      <w:r>
        <w:t xml:space="preserve"> </w:t>
      </w:r>
      <m:oMath>
        <m:r>
          <m:t>β</m:t>
        </m:r>
      </m:oMath>
      <w:r>
        <w:t xml:space="preserve">-convergence)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analyzes absolute convergence.</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NTL.</w:t>
      </w:r>
      <w:r>
        <w:t xml:space="preserve"> </w:t>
      </w:r>
      <w:r>
        <w:t xml:space="preserve">The scalar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While absolute convergence implies that districts converge to a common steady state, regions may differ in various aspects such as geography, socio-economic conditions, and policy implementation.</w:t>
      </w:r>
      <w:r>
        <w:t xml:space="preserve"> </w:t>
      </w:r>
      <w:r>
        <w:t xml:space="preserve">To account for these differences, we include state fixed effects in our analysis to examine whether heterogeneity in state-specific institutions and policies influences the rate of convergence.</w:t>
      </w:r>
      <w:r>
        <w:t xml:space="preserve"> </w:t>
      </w:r>
      <w:r>
        <w:t xml:space="preserve">Additionally, we control for the initial share of unlit pixels in districts to address any potential under-coding in NTL data.</w:t>
      </w:r>
    </w:p>
    <w:p>
      <w:pPr>
        <w:pStyle w:val="BodyText"/>
      </w:pPr>
      <w:r>
        <w:t xml:space="preserve">To further explore the determinants of district-level growth rates, we incorporate a range of geo-climatic controls alongside initial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explores conditional convergence.</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control variables are listed in Table A.1 in</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dependence patterns across Indian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Taken together, 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 represents the average value among a district’s neighbors.</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spillovers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 which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panel Durbin model that accounts for regional spillovers across economies.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NTL.</w:t>
      </w:r>
      <w:r>
        <w:t xml:space="preserve"> </w:t>
      </w:r>
      <w:r>
        <w:t xml:space="preserve">The scalar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level of NTL, and the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conduct three exercises to visually illustrate the concepts of growth and convergence in nighttime lights.</w:t>
      </w:r>
      <w:r>
        <w:t xml:space="preserve"> </w:t>
      </w:r>
      <w:r>
        <w:t xml:space="preserve">First, we create an interactive map of India displaying regional luminosity levels for 1996 and 2010.</w:t>
      </w:r>
      <w:r>
        <w:rPr>
          <w:rStyle w:val="FootnoteReference"/>
        </w:rPr>
        <w:footnoteReference w:id="36"/>
      </w:r>
      <w:r>
        <w:t xml:space="preserve"> </w:t>
      </w:r>
      <w:r>
        <w:t xml:space="preserve">Second, we examine absolute convergence by constructing a scatterplot.</w:t>
      </w:r>
      <w:r>
        <w:t xml:space="preserve"> </w:t>
      </w:r>
      <w:r>
        <w:t xml:space="preserve">This scatterplot depicts the relationship between per capita growth rates in nighttime lights (1996–2010) and the initial per capita nighttime light levels (1996) at the district level.</w:t>
      </w:r>
      <w:r>
        <w:t xml:space="preserve"> </w:t>
      </w:r>
      <w:r>
        <w:t xml:space="preserve">Finally, we use case studies to illustrate the nighttime light growth that occurred during our study period.</w:t>
      </w:r>
      <w:r>
        <w:t xml:space="preserve"> </w:t>
      </w:r>
      <w:r>
        <w:t xml:space="preserve">Focusing on some of the poorest regions in the country, we show an increase in nighttime lights that aligns with our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39" name="Picture"/>
                  <a:graphic>
                    <a:graphicData uri="http://schemas.openxmlformats.org/drawingml/2006/picture">
                      <pic:pic>
                        <pic:nvPicPr>
                          <pic:cNvPr descr="images/luminosity_map.png" id="40" name="Picture"/>
                          <pic:cNvPicPr>
                            <a:picLocks noChangeArrowheads="1" noChangeAspect="1"/>
                          </pic:cNvPicPr>
                        </pic:nvPicPr>
                        <pic:blipFill>
                          <a:blip r:embed="rId3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 https://bit.ly/india-rc-ntl .</w:t>
            </w:r>
            <w:r>
              <w:t xml:space="preserve"> </w:t>
            </w:r>
            <w:r>
              <w:t xml:space="preserve"> </w:t>
            </w:r>
            <w:r>
              <w:t xml:space="preserve">Source: Authors’ visualization using pre-processed luminosity images from the Earth Observation Group (NOAA/NCEI). See</w:t>
            </w:r>
            <w:r>
              <w:t xml:space="preserve"> </w:t>
            </w:r>
            <w:hyperlink r:id="rId41">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maps) of luminosity for our boundary years (1996 and 2010), using the same index scale for comparison.</w:t>
      </w:r>
      <w:r>
        <w:t xml:space="preserve"> </w:t>
      </w:r>
      <w:r>
        <w:t xml:space="preserve">The maps show a noticeable increase in brightness across most parts of the country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 capita growth in nighttime lights and initial per capita nighttime light levels.</w:t>
      </w:r>
      <w:r>
        <w:t xml:space="preserve"> </w:t>
      </w:r>
      <w:r>
        <w:t xml:space="preserve">The scatterplot shows an inverse relationship, suggesting a</w:t>
      </w:r>
      <w:r>
        <w:t xml:space="preserve"> </w:t>
      </w:r>
      <m:oMath>
        <m:r>
          <m:t>β</m:t>
        </m:r>
      </m:oMath>
      <w:r>
        <w:t xml:space="preserve">-convergence rate of approximately 2%, consistent with Barro’s</w:t>
      </w:r>
      <w:r>
        <w:t xml:space="preserve"> </w:t>
      </w:r>
      <w:r>
        <w:t xml:space="preserve">“Iron Law”</w:t>
      </w:r>
      <w:r>
        <w:t xml:space="preserve"> </w:t>
      </w:r>
      <w:r>
        <w:t xml:space="preserve">of convergence.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 capita income at 39.2% of the national average, while Uttar Pradesh and Chhattisgarh have per 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 https://bit.ly/india-rc-ntl .</w:t>
            </w:r>
            <w:r>
              <w:t xml:space="preserve"> </w:t>
            </w:r>
            <w:r>
              <w:t xml:space="preserve"> </w:t>
            </w:r>
            <w:r>
              <w:t xml:space="preserve">Source: Authors’ visualization using pre-processed luminosity images from the Earth Observation Group (NOAA/NCEI). See</w:t>
            </w:r>
            <w:r>
              <w:t xml:space="preserve"> </w:t>
            </w:r>
            <w:hyperlink r:id="rId41">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per capita in 1996 and the subsequent growth rate of luminosity per capita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0285"/>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3263"/>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both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where the significant clusters and outliers are located.</w:t>
      </w:r>
      <w:r>
        <w:t xml:space="preserve"> </w:t>
      </w:r>
      <w:r>
        <w:t xml:space="preserve">To address this, we employ Local Indicators of Spatial Association (LISA), which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7866"/>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initially red regions in the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inter-district spillovers in the analysis that follows.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40489"/>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(-0.001 in both cases),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spatial channels of convergence—through which the economic conditions of neighboring districts influence local growth—become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highlighting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78" w:name="discussion"/>
    <w:p>
      <w:pPr>
        <w:pStyle w:val="Heading2"/>
      </w:pPr>
      <w:r>
        <w:t xml:space="preserve">Discussion</w:t>
      </w:r>
    </w:p>
    <w:bookmarkStart w:id="75"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validated as a proxy for economic activity</w:t>
      </w:r>
      <w:r>
        <w:t xml:space="preserve"> </w:t>
      </w:r>
      <w:r>
        <w:t xml:space="preserve">(Henderson, Storeygard, and Weil 2012; X. Chen and Nordhaus 2011)</w:t>
      </w:r>
      <w:r>
        <w:t xml:space="preserve">.</w:t>
      </w:r>
      <w:r>
        <w:t xml:space="preserve"> </w:t>
      </w:r>
      <w:r>
        <w:t xml:space="preserve">Nevertheless,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 where saturation may mask growth variation.</w:t>
      </w:r>
    </w:p>
    <w:p>
      <w:pPr>
        <w:pStyle w:val="BodyText"/>
      </w:pPr>
      <w:r>
        <w:t xml:space="preserve">The Visible Infrared Imaging Radiometer Suite (VIIRS) Day/Night Band,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Comparative evaluations have shown that VIIRS explains 10 to 15 percentage points more variation in subnational economic activity than DMSP-OLS</w:t>
      </w:r>
      <w:r>
        <w:t xml:space="preserve"> </w:t>
      </w:r>
      <w:r>
        <w:t xml:space="preserve">(X. Chen and Nordhaus 2015)</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particularly in districts where DMSP saturation may have compressed the measured distribution of luminosity.</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27-year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75"/>
    <w:bookmarkStart w:id="76"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Indeed, satellite nighttime light data have already been used to document convergence clubs and spatial dependence across subnational regions in ASEAN</w:t>
      </w:r>
      <w:r>
        <w:t xml:space="preserve"> </w:t>
      </w:r>
      <w:r>
        <w:t xml:space="preserve">(Mendez and Santos-Marquez 2021)</w:t>
      </w:r>
      <w:r>
        <w:t xml:space="preserve">.</w:t>
      </w:r>
      <w:r>
        <w:t xml:space="preserve"> </w:t>
      </w:r>
      <w:r>
        <w:t xml:space="preserve">Convergence club methods have also revealed distinct growth regimes across Indonesian districts</w:t>
      </w:r>
      <w:r>
        <w:t xml:space="preserve"> </w:t>
      </w:r>
      <w:r>
        <w:t xml:space="preserve">(Aginta, Gunawan, and Mendez 2023)</w:t>
      </w:r>
      <w:r>
        <w:t xml:space="preserve"> </w:t>
      </w:r>
      <w:r>
        <w:t xml:space="preserve">and structural convergence patterns across European regions</w:t>
      </w:r>
      <w:r>
        <w:t xml:space="preserve"> </w:t>
      </w:r>
      <w:r>
        <w:t xml:space="preserve">(Cutrini and Mendez 2023)</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multi-country insights to the Indian district context could help determine whether the convergence patterns we document reflect a single equilibrium or mask the formation of distinct spatial clubs.</w:t>
      </w:r>
    </w:p>
    <w:p>
      <w:pPr>
        <w:pStyle w:val="BodyText"/>
      </w:pPr>
      <w:r>
        <w:t xml:space="preserve">A second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r>
        <w:t xml:space="preserve"> </w:t>
      </w: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Third, 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demonstrated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As</w:t>
      </w:r>
      <w:r>
        <w:t xml:space="preserve"> </w:t>
      </w:r>
      <w:r>
        <w:t xml:space="preserve">Donaldson and Storeygard (2016)</w:t>
      </w:r>
      <w:r>
        <w:t xml:space="preserve"> </w:t>
      </w:r>
      <w:r>
        <w:t xml:space="preserve">emphasize, the expanding ecosystem of satellite-derived data—including vegetation indices, built-up area detection, and high-frequency mobility indicators—offers new measurement possibilities.</w:t>
      </w:r>
      <w:r>
        <w:t xml:space="preserve"> </w:t>
      </w:r>
      <w:r>
        <w:t xml:space="preserve">These data sources enable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76"/>
    <w:bookmarkStart w:id="77"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r>
        <w:t xml:space="preserve"> </w:t>
      </w:r>
      <w:r>
        <w:t xml:space="preserve">(Gibson et al. 2021)</w:t>
      </w:r>
      <w:r>
        <w:t xml:space="preserve">.</w:t>
      </w:r>
    </w:p>
    <w:p>
      <w:pPr>
        <w:pStyle w:val="BodyText"/>
      </w:pPr>
      <w:r>
        <w:t xml:space="preserve">This article adopts a reproducible research approach through Quarto’s single-source publishing framework, where a single manuscript file generates multiple output formats—interactive HTML, journal PDF, and supplementary materials—from the same source.</w:t>
      </w:r>
      <w:r>
        <w:t xml:space="preserve"> </w:t>
      </w:r>
      <w:r>
        <w:t xml:space="preserve">All computational analyses are documented in embedded notebooks that readers can inspect alongside the results they produce, creating a complete chain from raw data to published findings.</w:t>
      </w:r>
      <w:r>
        <w:t xml:space="preserve"> </w:t>
      </w:r>
      <w:r>
        <w:t xml:space="preserve">The interactive web-based visualization tool, built on Google Earth Engine, allows researchers to independently explore the spatial and temporal patterns in the nighttime light data.</w:t>
      </w:r>
      <w:r>
        <w:t xml:space="preserve"> </w:t>
      </w:r>
      <w:r>
        <w:t xml:space="preserve">This supports verification of our visual findings and enables further exploration beyond what static representations can convey.</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77"/>
    <w:bookmarkEnd w:id="78"/>
    <w:bookmarkStart w:id="79" w:name="concluding-remarks"/>
    <w:p>
      <w:pPr>
        <w:pStyle w:val="Heading2"/>
      </w:pPr>
      <w:r>
        <w:t xml:space="preserve">Concluding remarks</w:t>
      </w:r>
    </w:p>
    <w:p>
      <w:pPr>
        <w:pStyle w:val="FirstParagraph"/>
      </w:pPr>
      <w:r>
        <w:t xml:space="preserve">This article examines regional convergence patterns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tests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analysis illustrates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particularly in large developing economies.</w:t>
      </w:r>
      <w:r>
        <w:t xml:space="preserve"> </w:t>
      </w:r>
      <w:r>
        <w:t xml:space="preserve">Radiance-calibrated nighttime light data allowed us to analyze 520 Indian districts at a spatial granularity that would be difficult to achieve with traditional national accounts or survey data alone.</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The spatial modeling framework employed in this study illustrates the complementary insights that emerge from layering different analytical approaches.</w:t>
      </w:r>
      <w:r>
        <w:t xml:space="preserve"> </w:t>
      </w:r>
      <w:r>
        <w:t xml:space="preserve">Interactive visualizations built on Google Earth Engine enabled an initial exploratory examination of spatial and temporal patterns in luminosity, making the geographic dimension of convergence accessible to a broad audience.</w:t>
      </w:r>
      <w:r>
        <w:t xml:space="preserve"> </w:t>
      </w:r>
      <w:r>
        <w:t xml:space="preserve">Exploratory spatial data analysis through Global Moran’s I and LISA statistics then formalized these visual impressions, confirming strong positive spatial autocorrelation in both initial luminosity levels (</w:t>
      </w:r>
      <m:oMath>
        <m:r>
          <m:t>I</m:t>
        </m:r>
        <m:r>
          <m:rPr>
            <m:sty m:val="p"/>
          </m:rPr>
          <m:t>=</m:t>
        </m:r>
        <m:r>
          <m:t>0.73</m:t>
        </m:r>
      </m:oMath>
      <w:r>
        <w:t xml:space="preserve">) and subsequent growth rates (</w:t>
      </w:r>
      <m:oMath>
        <m:r>
          <m:t>I</m:t>
        </m:r>
        <m:r>
          <m:rPr>
            <m:sty m:val="p"/>
          </m:rPr>
          <m:t>=</m:t>
        </m:r>
        <m:r>
          <m:t>0.60</m:t>
        </m:r>
      </m:oMath>
      <w:r>
        <w:t xml:space="preserve">).</w:t>
      </w:r>
      <w:r>
        <w:t xml:space="preserve"> </w:t>
      </w:r>
      <w:r>
        <w:t xml:space="preserve">This analysis also identified the specific geographic clusters driving these patterns.</w:t>
      </w:r>
      <w:r>
        <w:t xml:space="preserve"> </w:t>
      </w:r>
      <w:r>
        <w:t xml:space="preserve">Finally, the spatial Durbin model provided a formal econometric framework to quantify spillover effects and indicated that convergence speeds may be underestimated when spatial interactions are ignored.</w:t>
      </w:r>
      <w:r>
        <w:t xml:space="preserve"> </w:t>
      </w:r>
      <w:r>
        <w:t xml:space="preserve">Together, these three layers form a coherent analytical pipeline—from visual exploration to formal statistical testing to spatial econometric modeling—that captures dimensions of the convergence process not addressed by conventional non-spatial methods.</w:t>
      </w:r>
    </w:p>
    <w:p>
      <w:pPr>
        <w:pStyle w:val="BodyText"/>
      </w:pPr>
      <w:r>
        <w:t xml:space="preserve">This study also illustrates how reproducible open science practices can strengthen the credibility and impact of spatial economic research.</w:t>
      </w:r>
      <w:r>
        <w:t xml:space="preserve"> </w:t>
      </w:r>
      <w:r>
        <w:t xml:space="preserve">The entire analytical pipeline—from raw satellite data to published findings—is documented in computational notebooks using Python, R, and Stata, all embedded within the manuscript through Quarto’s single-source publishing framework.</w:t>
      </w:r>
      <w:r>
        <w:t xml:space="preserve"> </w:t>
      </w:r>
      <w:r>
        <w:t xml:space="preserve">A single manuscript source generates multiple output formats, including an interactive HTML version that allows readers to inspect the underlying code and results alongside the text.</w:t>
      </w:r>
      <w:r>
        <w:t xml:space="preserve"> </w:t>
      </w:r>
      <w:r>
        <w:t xml:space="preserve">The interactive Google Earth Engine application provides an additional layer of verification, enabling independent exploration of the spatial and temporal patterns discussed in the article.</w:t>
      </w:r>
      <w:r>
        <w:t xml:space="preserve"> </w:t>
      </w:r>
      <w:r>
        <w:t xml:space="preserve">By hosting the complete codebase in a public repository and making the notebooks executable through cloud-based platforms, we aim to lower the barriers to replication and extension.</w:t>
      </w:r>
      <w:r>
        <w:t xml:space="preserve"> </w:t>
      </w:r>
      <w:r>
        <w:t xml:space="preserve">This approach provides an example for other researchers working at the intersection of remote sensing and spatial economics.</w:t>
      </w:r>
    </w:p>
    <w:p>
      <w:pPr>
        <w:pStyle w:val="BodyText"/>
      </w:pPr>
      <w:r>
        <w:t xml:space="preserve">From a policy standpoint, these results suggest that regional convergence operates not just through district-specific factors, but through complex spatial interactions that create additional channels for catch-up growth.</w:t>
      </w:r>
      <w:r>
        <w:t xml:space="preserve"> </w:t>
      </w:r>
      <w:r>
        <w:t xml:space="preserve">The significant spatial spillover effects uncovered by the spatial Durbin model imply that place-based development interventions may generate benefits beyond their immediate target areas.</w:t>
      </w:r>
      <w:r>
        <w:t xml:space="preserve"> </w:t>
      </w:r>
      <w:r>
        <w:t xml:space="preserve">Improvements in one district can positively influence the growth trajectories of neighboring districts.</w:t>
      </w:r>
      <w:r>
        <w:t xml:space="preserve"> </w:t>
      </w:r>
      <w:r>
        <w:t xml:space="preserve">Understanding the magnitude of these spatial multiplier effects is important for the design and evaluation of regional development programs aimed at reducing spatial inequalities.</w:t>
      </w:r>
      <w:r>
        <w:t xml:space="preserve"> </w:t>
      </w:r>
      <w:r>
        <w:t xml:space="preserve">More broadly, the combination of new data sources, spatial analytical methods, and open science practices illustrated in this article offers a potentially useful framework for studying regional economic disparities in developing countries.</w:t>
      </w:r>
    </w:p>
    <w:bookmarkEnd w:id="79"/>
    <w:bookmarkStart w:id="80" w:name="acknowledgments"/>
    <w:p>
      <w:pPr>
        <w:pStyle w:val="Heading2"/>
      </w:pPr>
      <w:r>
        <w:t xml:space="preserve">Acknowledgments</w:t>
      </w:r>
    </w:p>
    <w:p>
      <w:pPr>
        <w:pStyle w:val="FirstParagraph"/>
      </w:pPr>
      <w:r>
        <w:t xml:space="preserve">This work was supported by JSPS KAKENHI Grant Number 24K04884.</w:t>
      </w:r>
      <w:r>
        <w:t xml:space="preserve"> </w:t>
      </w:r>
      <w:r>
        <w:t xml:space="preserve">During the preparation of this work, the authors used Claude Code (Anthropic) to assist with manuscript editing, computational notebook development, and research infrastructure setup.</w:t>
      </w:r>
      <w:r>
        <w:t xml:space="preserve"> </w:t>
      </w:r>
      <w:r>
        <w:t xml:space="preserve">After using this tool, the authors reviewed and edited all content and take full responsibility for the content of the publication.</w:t>
      </w:r>
    </w:p>
    <w:bookmarkEnd w:id="80"/>
    <w:bookmarkStart w:id="81" w:name="conflict-of-interest"/>
    <w:p>
      <w:pPr>
        <w:pStyle w:val="Heading2"/>
      </w:pPr>
      <w:r>
        <w:t xml:space="preserve">Conflict of Interest</w:t>
      </w:r>
    </w:p>
    <w:p>
      <w:pPr>
        <w:pStyle w:val="FirstParagraph"/>
      </w:pPr>
      <w:r>
        <w:t xml:space="preserve">The authors declare no conflict of interest.</w:t>
      </w:r>
    </w:p>
    <w:bookmarkEnd w:id="81"/>
    <w:bookmarkStart w:id="181" w:name="data-and-code-availability"/>
    <w:p>
      <w:pPr>
        <w:pStyle w:val="Heading2"/>
      </w:pPr>
      <w:r>
        <w:t xml:space="preserve">Data and Code Availability</w:t>
      </w:r>
    </w:p>
    <w:p>
      <w:pPr>
        <w:pStyle w:val="FirstParagraph"/>
      </w:pPr>
      <w:r>
        <w:t xml:space="preserve">All data and computational code used in this study are available in the project repository:</w:t>
      </w:r>
      <w:r>
        <w:t xml:space="preserve"> </w:t>
      </w:r>
      <w:hyperlink r:id="rId82">
        <w:r>
          <w:rPr>
            <w:rStyle w:val="Hyperlink"/>
          </w:rPr>
          <w:t xml:space="preserve">https://github.com/quarcs-lab/project2025s</w:t>
        </w:r>
      </w:hyperlink>
      <w:r>
        <w:t xml:space="preserve">.</w:t>
      </w:r>
      <w:r>
        <w:t xml:space="preserve"> </w:t>
      </w:r>
      <w:r>
        <w:t xml:space="preserve">Also, the interactive HTML version of this manuscript (</w:t>
      </w:r>
      <w:hyperlink r:id="rId83">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80" w:name="refs"/>
    <w:bookmarkStart w:id="85"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84">
        <w:r>
          <w:rPr>
            <w:rStyle w:val="Hyperlink"/>
          </w:rPr>
          <w:t xml:space="preserve">https://doi.org/10.1016/j.rse.2018.03.018</w:t>
        </w:r>
      </w:hyperlink>
      <w:r>
        <w:t xml:space="preserve">.</w:t>
      </w:r>
    </w:p>
    <w:bookmarkEnd w:id="85"/>
    <w:bookmarkStart w:id="87" w:name="ref-adhikari_dhital_decentralization"/>
    <w:p>
      <w:pPr>
        <w:pStyle w:val="Bibliography"/>
      </w:pPr>
      <w:r>
        <w:t xml:space="preserve">Adhikari, Bibek, and Ramesh Dhital. 2020.</w:t>
      </w:r>
      <w:r>
        <w:t xml:space="preserve"> </w:t>
      </w:r>
      <w:r>
        <w:t xml:space="preserve">“Decentralization and Regional Convergence: Evidence from Nighttime Lights.”</w:t>
      </w:r>
      <w:r>
        <w:t xml:space="preserve"> </w:t>
      </w:r>
      <w:r>
        <w:rPr>
          <w:i/>
          <w:iCs/>
        </w:rPr>
        <w:t xml:space="preserve">Journal of Development Economics</w:t>
      </w:r>
      <w:r>
        <w:t xml:space="preserve"> </w:t>
      </w:r>
      <w:r>
        <w:t xml:space="preserve">145: 102467.</w:t>
      </w:r>
      <w:r>
        <w:t xml:space="preserve"> </w:t>
      </w:r>
      <w:hyperlink r:id="rId86">
        <w:r>
          <w:rPr>
            <w:rStyle w:val="Hyperlink"/>
          </w:rPr>
          <w:t xml:space="preserve">https://doi.org/10.1016/j.jdeveco.2020.102467</w:t>
        </w:r>
      </w:hyperlink>
      <w:r>
        <w:t xml:space="preserve">.</w:t>
      </w:r>
    </w:p>
    <w:bookmarkEnd w:id="87"/>
    <w:bookmarkStart w:id="89" w:name="ref-aginta_etal_indonesia_clubs"/>
    <w:p>
      <w:pPr>
        <w:pStyle w:val="Bibliography"/>
      </w:pPr>
      <w:r>
        <w:t xml:space="preserve">Aginta, Harry, Anang Budi Gunawan, and Carlos Mendez. 2023.</w:t>
      </w:r>
      <w:r>
        <w:t xml:space="preserve"> </w:t>
      </w:r>
      <w:r>
        <w:t xml:space="preserve">“Regional Income Disparities and Convergence Clubs in</w:t>
      </w:r>
      <w:r>
        <w:t xml:space="preserve"> </w:t>
      </w:r>
      <w:r>
        <w:t xml:space="preserve">Indonesia</w:t>
      </w:r>
      <w:r>
        <w:t xml:space="preserve">:</w:t>
      </w:r>
      <w:r>
        <w:t xml:space="preserve"> </w:t>
      </w:r>
      <w:r>
        <w:t xml:space="preserve">New</w:t>
      </w:r>
      <w:r>
        <w:t xml:space="preserve"> </w:t>
      </w:r>
      <w:r>
        <w:t xml:space="preserve">District-Level Evidence.”</w:t>
      </w:r>
      <w:r>
        <w:t xml:space="preserve"> </w:t>
      </w:r>
      <w:r>
        <w:rPr>
          <w:i/>
          <w:iCs/>
        </w:rPr>
        <w:t xml:space="preserve">Journal of the Asia Pacific Economy</w:t>
      </w:r>
      <w:r>
        <w:t xml:space="preserve"> </w:t>
      </w:r>
      <w:r>
        <w:t xml:space="preserve">28 (1): 101–32.</w:t>
      </w:r>
      <w:r>
        <w:t xml:space="preserve"> </w:t>
      </w:r>
      <w:hyperlink r:id="rId88">
        <w:r>
          <w:rPr>
            <w:rStyle w:val="Hyperlink"/>
          </w:rPr>
          <w:t xml:space="preserve">https://doi.org/10.1080/13547860.2020.1868107</w:t>
        </w:r>
      </w:hyperlink>
      <w:r>
        <w:t xml:space="preserve">.</w:t>
      </w:r>
    </w:p>
    <w:bookmarkEnd w:id="89"/>
    <w:bookmarkStart w:id="91"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0">
        <w:r>
          <w:rPr>
            <w:rStyle w:val="Hyperlink"/>
          </w:rPr>
          <w:t xml:space="preserve">https://quarto.org</w:t>
        </w:r>
      </w:hyperlink>
      <w:r>
        <w:t xml:space="preserve">.</w:t>
      </w:r>
    </w:p>
    <w:bookmarkEnd w:id="91"/>
    <w:bookmarkStart w:id="93"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2">
        <w:r>
          <w:rPr>
            <w:rStyle w:val="Hyperlink"/>
          </w:rPr>
          <w:t xml:space="preserve">https://doi.org/10.1007/978-94-015-7799-1</w:t>
        </w:r>
      </w:hyperlink>
      <w:r>
        <w:t xml:space="preserve">.</w:t>
      </w:r>
    </w:p>
    <w:bookmarkEnd w:id="93"/>
    <w:bookmarkStart w:id="95"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94">
        <w:r>
          <w:rPr>
            <w:rStyle w:val="Hyperlink"/>
          </w:rPr>
          <w:t xml:space="preserve">https://doi.org/10.1111/j.1538-4632.1995.tb00338.x</w:t>
        </w:r>
      </w:hyperlink>
      <w:r>
        <w:t xml:space="preserve">.</w:t>
      </w:r>
    </w:p>
    <w:bookmarkEnd w:id="95"/>
    <w:bookmarkStart w:id="97"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96">
        <w:r>
          <w:rPr>
            <w:rStyle w:val="Hyperlink"/>
          </w:rPr>
          <w:t xml:space="preserve">https://doi.org/10.1257/aer.20180268</w:t>
        </w:r>
      </w:hyperlink>
      <w:r>
        <w:t xml:space="preserve">.</w:t>
      </w:r>
    </w:p>
    <w:bookmarkEnd w:id="97"/>
    <w:bookmarkStart w:id="99"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98">
        <w:r>
          <w:rPr>
            <w:rStyle w:val="Hyperlink"/>
          </w:rPr>
          <w:t xml:space="preserve">https://doi.org/10.1086/261816</w:t>
        </w:r>
      </w:hyperlink>
      <w:r>
        <w:t xml:space="preserve">.</w:t>
      </w:r>
    </w:p>
    <w:bookmarkEnd w:id="99"/>
    <w:bookmarkStart w:id="101"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0">
        <w:r>
          <w:rPr>
            <w:rStyle w:val="Hyperlink"/>
          </w:rPr>
          <w:t xml:space="preserve">https://doi.org/10.1016/j.asieco.2021.101318</w:t>
        </w:r>
      </w:hyperlink>
      <w:r>
        <w:t xml:space="preserve">.</w:t>
      </w:r>
    </w:p>
    <w:bookmarkEnd w:id="101"/>
    <w:bookmarkStart w:id="102" w:name="ref-chakravarty_dehejia_gst"/>
    <w:p>
      <w:pPr>
        <w:pStyle w:val="Bibliography"/>
      </w:pPr>
      <w:r>
        <w:t xml:space="preserve">Chakravarty, Shankha, and Rajeev Dehejia. 2019.</w:t>
      </w:r>
      <w:r>
        <w:t xml:space="preserve"> </w:t>
      </w:r>
      <w:r>
        <w:t xml:space="preserve">“The GST and Regional Divergence in India: A Nightlights Perspective.”</w:t>
      </w:r>
      <w:r>
        <w:t xml:space="preserve"> </w:t>
      </w:r>
      <w:r>
        <w:rPr>
          <w:i/>
          <w:iCs/>
        </w:rPr>
        <w:t xml:space="preserve">Economic and Political Weekly</w:t>
      </w:r>
      <w:r>
        <w:t xml:space="preserve"> </w:t>
      </w:r>
      <w:r>
        <w:t xml:space="preserve">54 (42): 47–54.</w:t>
      </w:r>
    </w:p>
    <w:bookmarkEnd w:id="102"/>
    <w:bookmarkStart w:id="104" w:name="ref-chanda_cook_demonetization"/>
    <w:p>
      <w:pPr>
        <w:pStyle w:val="Bibliography"/>
      </w:pPr>
      <w:r>
        <w:t xml:space="preserve">Chanda, Areendam, and Justin Cook. 2022.</w:t>
      </w:r>
      <w:r>
        <w:t xml:space="preserve"> </w:t>
      </w:r>
      <w:r>
        <w:t xml:space="preserve">“Demonetization and Its Redistributive Effects: Evidence from India.”</w:t>
      </w:r>
      <w:r>
        <w:t xml:space="preserve"> </w:t>
      </w:r>
      <w:r>
        <w:rPr>
          <w:i/>
          <w:iCs/>
        </w:rPr>
        <w:t xml:space="preserve">Journal of Development Economics</w:t>
      </w:r>
      <w:r>
        <w:t xml:space="preserve"> </w:t>
      </w:r>
      <w:r>
        <w:t xml:space="preserve">156: 102835.</w:t>
      </w:r>
      <w:r>
        <w:t xml:space="preserve"> </w:t>
      </w:r>
      <w:hyperlink r:id="rId103">
        <w:r>
          <w:rPr>
            <w:rStyle w:val="Hyperlink"/>
          </w:rPr>
          <w:t xml:space="preserve">https://doi.org/10.1016/j.jdeveco.2022.102835</w:t>
        </w:r>
      </w:hyperlink>
      <w:r>
        <w:t xml:space="preserve">.</w:t>
      </w:r>
    </w:p>
    <w:bookmarkEnd w:id="104"/>
    <w:bookmarkStart w:id="106"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05">
        <w:r>
          <w:rPr>
            <w:rStyle w:val="Hyperlink"/>
          </w:rPr>
          <w:t xml:space="preserve">https://doi.org/10.1016/j.worlddev.2020.104961</w:t>
        </w:r>
      </w:hyperlink>
      <w:r>
        <w:t xml:space="preserve">.</w:t>
      </w:r>
    </w:p>
    <w:bookmarkEnd w:id="106"/>
    <w:bookmarkStart w:id="108"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07">
        <w:r>
          <w:rPr>
            <w:rStyle w:val="Hyperlink"/>
          </w:rPr>
          <w:t xml:space="preserve">https://doi.org/10.1073/pnas.1017031108</w:t>
        </w:r>
      </w:hyperlink>
      <w:r>
        <w:t xml:space="preserve">.</w:t>
      </w:r>
    </w:p>
    <w:bookmarkEnd w:id="108"/>
    <w:bookmarkStart w:id="110" w:name="ref-chen_nordhaus_measurement_error"/>
    <w:p>
      <w:pPr>
        <w:pStyle w:val="Bibliography"/>
      </w:pPr>
      <w:r>
        <w:t xml:space="preserve">———. 2015.</w:t>
      </w:r>
      <w:r>
        <w:t xml:space="preserve"> </w:t>
      </w:r>
      <w:r>
        <w:t xml:space="preserve">“A Test of the New VIIRS Lights Data Set: Population and Economic Output in Africa.”</w:t>
      </w:r>
      <w:r>
        <w:t xml:space="preserve"> </w:t>
      </w:r>
      <w:r>
        <w:rPr>
          <w:i/>
          <w:iCs/>
        </w:rPr>
        <w:t xml:space="preserve">Remote Sensing</w:t>
      </w:r>
      <w:r>
        <w:t xml:space="preserve"> </w:t>
      </w:r>
      <w:r>
        <w:t xml:space="preserve">7 (4): 4937–47.</w:t>
      </w:r>
      <w:r>
        <w:t xml:space="preserve"> </w:t>
      </w:r>
      <w:hyperlink r:id="rId109">
        <w:r>
          <w:rPr>
            <w:rStyle w:val="Hyperlink"/>
          </w:rPr>
          <w:t xml:space="preserve">https://doi.org/10.3390/rs70404937</w:t>
        </w:r>
      </w:hyperlink>
      <w:r>
        <w:t xml:space="preserve">.</w:t>
      </w:r>
    </w:p>
    <w:bookmarkEnd w:id="110"/>
    <w:bookmarkStart w:id="112"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1">
        <w:r>
          <w:rPr>
            <w:rStyle w:val="Hyperlink"/>
          </w:rPr>
          <w:t xml:space="preserve">https://doi.org/10.1007/s12076-024-00375-x</w:t>
        </w:r>
      </w:hyperlink>
      <w:r>
        <w:t xml:space="preserve">.</w:t>
      </w:r>
    </w:p>
    <w:bookmarkEnd w:id="112"/>
    <w:bookmarkStart w:id="114"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3">
        <w:r>
          <w:rPr>
            <w:rStyle w:val="Hyperlink"/>
          </w:rPr>
          <w:t xml:space="preserve">https://doi.org/10.1162/rest_a_00951</w:t>
        </w:r>
      </w:hyperlink>
      <w:r>
        <w:t xml:space="preserve">.</w:t>
      </w:r>
    </w:p>
    <w:bookmarkEnd w:id="114"/>
    <w:bookmarkStart w:id="116" w:name="ref-cutrini_mendez_eu_clubs"/>
    <w:p>
      <w:pPr>
        <w:pStyle w:val="Bibliography"/>
      </w:pPr>
      <w:r>
        <w:t xml:space="preserve">Cutrini, Eleonora, and Carlos Mendez. 2023.</w:t>
      </w:r>
      <w:r>
        <w:t xml:space="preserve"> </w:t>
      </w:r>
      <w:r>
        <w:t xml:space="preserve">“Convergence Clubs and Spatial Structural Change in the</w:t>
      </w:r>
      <w:r>
        <w:t xml:space="preserve"> </w:t>
      </w:r>
      <w:r>
        <w:t xml:space="preserve">European Union</w:t>
      </w:r>
      <w:r>
        <w:t xml:space="preserve">.”</w:t>
      </w:r>
      <w:r>
        <w:t xml:space="preserve"> </w:t>
      </w:r>
      <w:r>
        <w:rPr>
          <w:i/>
          <w:iCs/>
        </w:rPr>
        <w:t xml:space="preserve">Structural Change and Economic Dynamics</w:t>
      </w:r>
      <w:r>
        <w:t xml:space="preserve"> </w:t>
      </w:r>
      <w:r>
        <w:t xml:space="preserve">67: 167–81.</w:t>
      </w:r>
      <w:r>
        <w:t xml:space="preserve"> </w:t>
      </w:r>
      <w:hyperlink r:id="rId115">
        <w:r>
          <w:rPr>
            <w:rStyle w:val="Hyperlink"/>
          </w:rPr>
          <w:t xml:space="preserve">https://doi.org/10.1016/j.strueco.2023.07.009</w:t>
        </w:r>
      </w:hyperlink>
      <w:r>
        <w:t xml:space="preserve">.</w:t>
      </w:r>
    </w:p>
    <w:bookmarkEnd w:id="116"/>
    <w:bookmarkStart w:id="118"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7">
        <w:r>
          <w:rPr>
            <w:rStyle w:val="Hyperlink"/>
          </w:rPr>
          <w:t xml:space="preserve">https://doi.org/10.1257/jep.30.4.171</w:t>
        </w:r>
      </w:hyperlink>
      <w:r>
        <w:t xml:space="preserve">.</w:t>
      </w:r>
    </w:p>
    <w:bookmarkEnd w:id="118"/>
    <w:bookmarkStart w:id="120"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19">
        <w:r>
          <w:rPr>
            <w:rStyle w:val="Hyperlink"/>
          </w:rPr>
          <w:t xml:space="preserve">https://doi.org/10.1002/jae.3950100404</w:t>
        </w:r>
      </w:hyperlink>
      <w:r>
        <w:t xml:space="preserve">.</w:t>
      </w:r>
    </w:p>
    <w:bookmarkEnd w:id="120"/>
    <w:bookmarkStart w:id="122"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1">
        <w:r>
          <w:rPr>
            <w:rStyle w:val="Hyperlink"/>
          </w:rPr>
          <w:t xml:space="preserve">https://doi.org/10.1080/01431161.2017.1342050</w:t>
        </w:r>
      </w:hyperlink>
      <w:r>
        <w:t xml:space="preserve">.</w:t>
      </w:r>
    </w:p>
    <w:bookmarkEnd w:id="122"/>
    <w:bookmarkStart w:id="124"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3">
        <w:r>
          <w:rPr>
            <w:rStyle w:val="Hyperlink"/>
          </w:rPr>
          <w:t xml:space="preserve">https://doi.org/10.1002/jae.963</w:t>
        </w:r>
      </w:hyperlink>
      <w:r>
        <w:t xml:space="preserve">.</w:t>
      </w:r>
    </w:p>
    <w:bookmarkEnd w:id="124"/>
    <w:bookmarkStart w:id="126"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5">
        <w:r>
          <w:rPr>
            <w:rStyle w:val="Hyperlink"/>
          </w:rPr>
          <w:t xml:space="preserve">https://doi.org/10.1007/s00168-010-0384-6</w:t>
        </w:r>
      </w:hyperlink>
      <w:r>
        <w:t xml:space="preserve">.</w:t>
      </w:r>
    </w:p>
    <w:bookmarkEnd w:id="126"/>
    <w:bookmarkStart w:id="128"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27">
        <w:r>
          <w:rPr>
            <w:rStyle w:val="Hyperlink"/>
          </w:rPr>
          <w:t xml:space="preserve">https://doi.org/10.1007/s10887-014-9105-9</w:t>
        </w:r>
      </w:hyperlink>
      <w:r>
        <w:t xml:space="preserve">.</w:t>
      </w:r>
    </w:p>
    <w:bookmarkEnd w:id="128"/>
    <w:bookmarkStart w:id="130"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9">
        <w:r>
          <w:rPr>
            <w:rStyle w:val="Hyperlink"/>
          </w:rPr>
          <w:t xml:space="preserve">https://doi.org/10.1016/j.jdeveco.2020.102602</w:t>
        </w:r>
      </w:hyperlink>
      <w:r>
        <w:t xml:space="preserve">.</w:t>
      </w:r>
    </w:p>
    <w:bookmarkEnd w:id="130"/>
    <w:bookmarkStart w:id="132"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1">
        <w:r>
          <w:rPr>
            <w:rStyle w:val="Hyperlink"/>
          </w:rPr>
          <w:t xml:space="preserve">https://doi.org/10.1080/00036846.2024.2439583</w:t>
        </w:r>
      </w:hyperlink>
      <w:r>
        <w:t xml:space="preserve">.</w:t>
      </w:r>
    </w:p>
    <w:bookmarkEnd w:id="132"/>
    <w:bookmarkStart w:id="134"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3">
        <w:r>
          <w:rPr>
            <w:rStyle w:val="Hyperlink"/>
          </w:rPr>
          <w:t xml:space="preserve">https://doi.org/10.1016/j.rse.2017.06.031</w:t>
        </w:r>
      </w:hyperlink>
      <w:r>
        <w:t xml:space="preserve">.</w:t>
      </w:r>
    </w:p>
    <w:bookmarkEnd w:id="134"/>
    <w:bookmarkStart w:id="136"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5">
        <w:r>
          <w:rPr>
            <w:rStyle w:val="Hyperlink"/>
          </w:rPr>
          <w:t xml:space="preserve">https://doi.org/10.1257/aer.102.2.994</w:t>
        </w:r>
      </w:hyperlink>
      <w:r>
        <w:t xml:space="preserve">.</w:t>
      </w:r>
    </w:p>
    <w:bookmarkEnd w:id="136"/>
    <w:bookmarkStart w:id="138"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7">
        <w:r>
          <w:rPr>
            <w:rStyle w:val="Hyperlink"/>
          </w:rPr>
          <w:t xml:space="preserve">https://doi.org/10.1007/s12076-025-00397-z</w:t>
        </w:r>
      </w:hyperlink>
      <w:r>
        <w:t xml:space="preserve">.</w:t>
      </w:r>
    </w:p>
    <w:bookmarkEnd w:id="138"/>
    <w:bookmarkStart w:id="140"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9">
        <w:r>
          <w:rPr>
            <w:rStyle w:val="Hyperlink"/>
          </w:rPr>
          <w:t xml:space="preserve">https://doi.org/10.1126/science.aaf7894</w:t>
        </w:r>
      </w:hyperlink>
      <w:r>
        <w:t xml:space="preserve">.</w:t>
      </w:r>
    </w:p>
    <w:bookmarkEnd w:id="140"/>
    <w:bookmarkStart w:id="142" w:name="ref-jha_talathi_colonial_india"/>
    <w:p>
      <w:pPr>
        <w:pStyle w:val="Bibliography"/>
      </w:pPr>
      <w:r>
        <w:t xml:space="preserve">Jha, Saumitra, and Anand Talathi. 2021.</w:t>
      </w:r>
      <w:r>
        <w:t xml:space="preserve"> </w:t>
      </w:r>
      <w:r>
        <w:t xml:space="preserve">“Colonial Institutions and Long-Run Development in India: Evidence from Nightlights.”</w:t>
      </w:r>
      <w:r>
        <w:t xml:space="preserve"> </w:t>
      </w:r>
      <w:r>
        <w:rPr>
          <w:i/>
          <w:iCs/>
        </w:rPr>
        <w:t xml:space="preserve">Journal of Development Economics</w:t>
      </w:r>
      <w:r>
        <w:t xml:space="preserve"> </w:t>
      </w:r>
      <w:r>
        <w:t xml:space="preserve">153: 102726.</w:t>
      </w:r>
      <w:r>
        <w:t xml:space="preserve"> </w:t>
      </w:r>
      <w:hyperlink r:id="rId141">
        <w:r>
          <w:rPr>
            <w:rStyle w:val="Hyperlink"/>
          </w:rPr>
          <w:t xml:space="preserve">https://doi.org/10.1016/j.jdeveco.2021.102726</w:t>
        </w:r>
      </w:hyperlink>
      <w:r>
        <w:t xml:space="preserve">.</w:t>
      </w:r>
    </w:p>
    <w:bookmarkEnd w:id="142"/>
    <w:bookmarkStart w:id="144"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3">
        <w:r>
          <w:rPr>
            <w:rStyle w:val="Hyperlink"/>
          </w:rPr>
          <w:t xml:space="preserve">https://doi.org/10.1016/j.worlddev.2014.08.017</w:t>
        </w:r>
      </w:hyperlink>
      <w:r>
        <w:t xml:space="preserve">.</w:t>
      </w:r>
    </w:p>
    <w:bookmarkEnd w:id="144"/>
    <w:bookmarkStart w:id="146"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5">
        <w:r>
          <w:rPr>
            <w:rStyle w:val="Hyperlink"/>
          </w:rPr>
          <w:t xml:space="preserve">https://doi.org/10.1007/s11205-025-03718-3</w:t>
        </w:r>
      </w:hyperlink>
      <w:r>
        <w:t xml:space="preserve">.</w:t>
      </w:r>
    </w:p>
    <w:bookmarkEnd w:id="146"/>
    <w:bookmarkStart w:id="147"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7"/>
    <w:bookmarkStart w:id="149"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8">
        <w:r>
          <w:rPr>
            <w:rStyle w:val="Hyperlink"/>
          </w:rPr>
          <w:t xml:space="preserve">https://doi.org/10.1093/comjnl/27.2.97</w:t>
        </w:r>
      </w:hyperlink>
      <w:r>
        <w:t xml:space="preserve">.</w:t>
      </w:r>
    </w:p>
    <w:bookmarkEnd w:id="149"/>
    <w:bookmarkStart w:id="151"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0">
        <w:r>
          <w:rPr>
            <w:rStyle w:val="Hyperlink"/>
          </w:rPr>
          <w:t xml:space="preserve">https://doi.org/10.1201/9781420064254</w:t>
        </w:r>
      </w:hyperlink>
      <w:r>
        <w:t xml:space="preserve">.</w:t>
      </w:r>
    </w:p>
    <w:bookmarkEnd w:id="151"/>
    <w:bookmarkStart w:id="153"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2">
        <w:r>
          <w:rPr>
            <w:rStyle w:val="Hyperlink"/>
          </w:rPr>
          <w:t xml:space="preserve">https://doi.org/10.1016/j.euroecorev.2016.11.009</w:t>
        </w:r>
      </w:hyperlink>
      <w:r>
        <w:t xml:space="preserve">.</w:t>
      </w:r>
    </w:p>
    <w:bookmarkEnd w:id="153"/>
    <w:bookmarkStart w:id="155" w:name="ref-li_etal_harmonization"/>
    <w:p>
      <w:pPr>
        <w:pStyle w:val="Bibliography"/>
      </w:pPr>
      <w:r>
        <w:t xml:space="preserve">Li, Xi,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4">
        <w:r>
          <w:rPr>
            <w:rStyle w:val="Hyperlink"/>
          </w:rPr>
          <w:t xml:space="preserve">https://doi.org/10.1038/s41597-020-0510-y</w:t>
        </w:r>
      </w:hyperlink>
      <w:r>
        <w:t xml:space="preserve">.</w:t>
      </w:r>
    </w:p>
    <w:bookmarkEnd w:id="155"/>
    <w:bookmarkStart w:id="157"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6">
        <w:r>
          <w:rPr>
            <w:rStyle w:val="Hyperlink"/>
          </w:rPr>
          <w:t xml:space="preserve">https://github.com/quarcs-lab/project2022p</w:t>
        </w:r>
      </w:hyperlink>
      <w:r>
        <w:t xml:space="preserve">.</w:t>
      </w:r>
    </w:p>
    <w:bookmarkEnd w:id="157"/>
    <w:bookmarkStart w:id="159" w:name="ref-mendez_santos_asean_lights"/>
    <w:p>
      <w:pPr>
        <w:pStyle w:val="Bibliography"/>
      </w:pPr>
      <w:r>
        <w:t xml:space="preserve">Mendez, Carlos, and Felipe Santos-Marquez. 2021.</w:t>
      </w:r>
      <w:r>
        <w:t xml:space="preserve"> </w:t>
      </w:r>
      <w:r>
        <w:t xml:space="preserve">“Regional Convergence and Spatial Dependence Across Subnational Regions of</w:t>
      </w:r>
      <w:r>
        <w:t xml:space="preserve"> </w:t>
      </w:r>
      <w:r>
        <w:t xml:space="preserve">ASEAN</w:t>
      </w:r>
      <w:r>
        <w:t xml:space="preserve">:</w:t>
      </w:r>
      <w:r>
        <w:t xml:space="preserve"> </w:t>
      </w:r>
      <w:r>
        <w:t xml:space="preserve">Evidence</w:t>
      </w:r>
      <w:r>
        <w:t xml:space="preserve"> </w:t>
      </w:r>
      <w:r>
        <w:t xml:space="preserve">from Satellite Nighttime Light Data.”</w:t>
      </w:r>
      <w:r>
        <w:t xml:space="preserve"> </w:t>
      </w:r>
      <w:r>
        <w:rPr>
          <w:i/>
          <w:iCs/>
        </w:rPr>
        <w:t xml:space="preserve">Regional Science Policy and Practice</w:t>
      </w:r>
      <w:r>
        <w:t xml:space="preserve"> </w:t>
      </w:r>
      <w:r>
        <w:t xml:space="preserve">13 (6): 1750–77.</w:t>
      </w:r>
      <w:r>
        <w:t xml:space="preserve"> </w:t>
      </w:r>
      <w:hyperlink r:id="rId158">
        <w:r>
          <w:rPr>
            <w:rStyle w:val="Hyperlink"/>
          </w:rPr>
          <w:t xml:space="preserve">https://doi.org/10.1111/rsp3.12335</w:t>
        </w:r>
      </w:hyperlink>
      <w:r>
        <w:t xml:space="preserve">.</w:t>
      </w:r>
    </w:p>
    <w:bookmarkEnd w:id="159"/>
    <w:bookmarkStart w:id="161"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0">
        <w:r>
          <w:rPr>
            <w:rStyle w:val="Hyperlink"/>
          </w:rPr>
          <w:t xml:space="preserve">https://doi.org/10.1080/00074918.2022.2071415</w:t>
        </w:r>
      </w:hyperlink>
      <w:r>
        <w:t xml:space="preserve">.</w:t>
      </w:r>
    </w:p>
    <w:bookmarkEnd w:id="161"/>
    <w:bookmarkStart w:id="163"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2">
        <w:r>
          <w:rPr>
            <w:rStyle w:val="Hyperlink"/>
          </w:rPr>
          <w:t xml:space="preserve">https://doi.org/10.2307/2332142</w:t>
        </w:r>
      </w:hyperlink>
      <w:r>
        <w:t xml:space="preserve">.</w:t>
      </w:r>
    </w:p>
    <w:bookmarkEnd w:id="163"/>
    <w:bookmarkStart w:id="165"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4">
        <w:r>
          <w:rPr>
            <w:rStyle w:val="Hyperlink"/>
          </w:rPr>
          <w:t xml:space="preserve">https://doi.org/10.1126/science.1213847</w:t>
        </w:r>
      </w:hyperlink>
      <w:r>
        <w:t xml:space="preserve">.</w:t>
      </w:r>
    </w:p>
    <w:bookmarkEnd w:id="165"/>
    <w:bookmarkStart w:id="167"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6">
        <w:r>
          <w:rPr>
            <w:rStyle w:val="Hyperlink"/>
          </w:rPr>
          <w:t xml:space="preserve">https://doi.org/10.1093/qje/qjw003</w:t>
        </w:r>
      </w:hyperlink>
      <w:r>
        <w:t xml:space="preserve">.</w:t>
      </w:r>
    </w:p>
    <w:bookmarkEnd w:id="167"/>
    <w:bookmarkStart w:id="169"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8">
        <w:r>
          <w:rPr>
            <w:rStyle w:val="Hyperlink"/>
          </w:rPr>
          <w:t xml:space="preserve">https://doi.org/10.2307/2235377</w:t>
        </w:r>
      </w:hyperlink>
      <w:r>
        <w:t xml:space="preserve">.</w:t>
      </w:r>
    </w:p>
    <w:bookmarkEnd w:id="169"/>
    <w:bookmarkStart w:id="171"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0">
        <w:r>
          <w:rPr>
            <w:rStyle w:val="Hyperlink"/>
          </w:rPr>
          <w:t xml:space="preserve">https://doi.org/10.1080/00343409950122945</w:t>
        </w:r>
      </w:hyperlink>
      <w:r>
        <w:t xml:space="preserve">.</w:t>
      </w:r>
    </w:p>
    <w:bookmarkEnd w:id="171"/>
    <w:bookmarkStart w:id="173"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2">
        <w:r>
          <w:rPr>
            <w:rStyle w:val="Hyperlink"/>
          </w:rPr>
          <w:t xml:space="preserve">https://doi.org/10.2307/1884513</w:t>
        </w:r>
      </w:hyperlink>
      <w:r>
        <w:t xml:space="preserve">.</w:t>
      </w:r>
    </w:p>
    <w:bookmarkEnd w:id="173"/>
    <w:bookmarkStart w:id="175"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4">
        <w:r>
          <w:rPr>
            <w:rStyle w:val="Hyperlink"/>
          </w:rPr>
          <w:t xml:space="preserve">https://doi.org/10.1016/j.isprsjprs.2020.04.001</w:t>
        </w:r>
      </w:hyperlink>
      <w:r>
        <w:t xml:space="preserve">.</w:t>
      </w:r>
    </w:p>
    <w:bookmarkEnd w:id="175"/>
    <w:bookmarkStart w:id="177"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6">
        <w:r>
          <w:rPr>
            <w:rStyle w:val="Hyperlink"/>
          </w:rPr>
          <w:t xml:space="preserve">https://doi.org/10.1080/13547860.2022.2041286</w:t>
        </w:r>
      </w:hyperlink>
      <w:r>
        <w:t xml:space="preserve">.</w:t>
      </w:r>
    </w:p>
    <w:bookmarkEnd w:id="177"/>
    <w:bookmarkStart w:id="179"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78">
        <w:r>
          <w:rPr>
            <w:rStyle w:val="Hyperlink"/>
          </w:rPr>
          <w:t xml:space="preserve">https://doi.org/10.1007/s00168-022-01168-0</w:t>
        </w:r>
      </w:hyperlink>
      <w:r>
        <w:t xml:space="preserve">.</w:t>
      </w:r>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the districts among two census files, we summed up the carved-out districts with their origin districts in the 2011 census files.</w:t>
      </w:r>
      <w:r>
        <w:t xml:space="preserve"> </w:t>
      </w:r>
      <w:r>
        <w:t xml:space="preserve">Eight districts among 47 new districts were created by carving out some areas from multiple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hyperlink" Id="rId37" Target="https://bit.ly/india-rc-ntl" TargetMode="External" /><Relationship Type="http://schemas.openxmlformats.org/officeDocument/2006/relationships/hyperlink" Id="rId119" Target="https://doi.org/10.1002/jae.3950100404" TargetMode="External" /><Relationship Type="http://schemas.openxmlformats.org/officeDocument/2006/relationships/hyperlink" Id="rId123" Target="https://doi.org/10.1002/jae.963" TargetMode="External" /><Relationship Type="http://schemas.openxmlformats.org/officeDocument/2006/relationships/hyperlink" Id="rId92" Target="https://doi.org/10.1007/978-94-015-7799-1" TargetMode="External" /><Relationship Type="http://schemas.openxmlformats.org/officeDocument/2006/relationships/hyperlink" Id="rId125" Target="https://doi.org/10.1007/s00168-010-0384-6" TargetMode="External" /><Relationship Type="http://schemas.openxmlformats.org/officeDocument/2006/relationships/hyperlink" Id="rId178" Target="https://doi.org/10.1007/s00168-022-01168-0" TargetMode="External" /><Relationship Type="http://schemas.openxmlformats.org/officeDocument/2006/relationships/hyperlink" Id="rId127" Target="https://doi.org/10.1007/s10887-014-9105-9" TargetMode="External" /><Relationship Type="http://schemas.openxmlformats.org/officeDocument/2006/relationships/hyperlink" Id="rId145" Target="https://doi.org/10.1007/s11205-025-03718-3" TargetMode="External" /><Relationship Type="http://schemas.openxmlformats.org/officeDocument/2006/relationships/hyperlink" Id="rId111"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0"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86"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3"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84" Target="https://doi.org/10.1016/j.rse.2018.03.018" TargetMode="External" /><Relationship Type="http://schemas.openxmlformats.org/officeDocument/2006/relationships/hyperlink" Id="rId115" Target="https://doi.org/10.1016/j.strueco.2023.07.009" TargetMode="External" /><Relationship Type="http://schemas.openxmlformats.org/officeDocument/2006/relationships/hyperlink" Id="rId143" Target="https://doi.org/10.1016/j.worlddev.2014.08.017" TargetMode="External" /><Relationship Type="http://schemas.openxmlformats.org/officeDocument/2006/relationships/hyperlink" Id="rId105"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07"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1" Target="https://doi.org/10.1080/01431161.2017.1342050" TargetMode="External" /><Relationship Type="http://schemas.openxmlformats.org/officeDocument/2006/relationships/hyperlink" Id="rId88" Target="https://doi.org/10.1080/13547860.2020.1868107" TargetMode="External" /><Relationship Type="http://schemas.openxmlformats.org/officeDocument/2006/relationships/hyperlink" Id="rId176" Target="https://doi.org/10.1080/13547860.2022.2041286" TargetMode="External" /><Relationship Type="http://schemas.openxmlformats.org/officeDocument/2006/relationships/hyperlink" Id="rId98"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4" Target="https://doi.org/10.1111/j.1538-4632.1995.tb00338.x" TargetMode="External" /><Relationship Type="http://schemas.openxmlformats.org/officeDocument/2006/relationships/hyperlink" Id="rId158" Target="https://doi.org/10.1111/rsp3.12335"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3"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96" Target="https://doi.org/10.1257/aer.20180268" TargetMode="External" /><Relationship Type="http://schemas.openxmlformats.org/officeDocument/2006/relationships/hyperlink" Id="rId117" Target="https://doi.org/10.1257/jep.30.4.171"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09" Target="https://doi.org/10.3390/rs70404937" TargetMode="External" /><Relationship Type="http://schemas.openxmlformats.org/officeDocument/2006/relationships/hyperlink" Id="rId156" Target="https://github.com/quarcs-lab/project2022p" TargetMode="External" /><Relationship Type="http://schemas.openxmlformats.org/officeDocument/2006/relationships/hyperlink" Id="rId82" Target="https://github.com/quarcs-lab/project2025s" TargetMode="External" /><Relationship Type="http://schemas.openxmlformats.org/officeDocument/2006/relationships/hyperlink" Id="rId83" Target="https://quarcs-lab.github.io/project2025s/" TargetMode="External" /><Relationship Type="http://schemas.openxmlformats.org/officeDocument/2006/relationships/hyperlink" Id="rId90" Target="https://quarto.org" TargetMode="External" /><Relationship Type="http://schemas.openxmlformats.org/officeDocument/2006/relationships/hyperlink" Id="rId41"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19" Target="https://doi.org/10.1002/jae.3950100404" TargetMode="External" /><Relationship Type="http://schemas.openxmlformats.org/officeDocument/2006/relationships/hyperlink" Id="rId123" Target="https://doi.org/10.1002/jae.963" TargetMode="External" /><Relationship Type="http://schemas.openxmlformats.org/officeDocument/2006/relationships/hyperlink" Id="rId92" Target="https://doi.org/10.1007/978-94-015-7799-1" TargetMode="External" /><Relationship Type="http://schemas.openxmlformats.org/officeDocument/2006/relationships/hyperlink" Id="rId125" Target="https://doi.org/10.1007/s00168-010-0384-6" TargetMode="External" /><Relationship Type="http://schemas.openxmlformats.org/officeDocument/2006/relationships/hyperlink" Id="rId178" Target="https://doi.org/10.1007/s00168-022-01168-0" TargetMode="External" /><Relationship Type="http://schemas.openxmlformats.org/officeDocument/2006/relationships/hyperlink" Id="rId127" Target="https://doi.org/10.1007/s10887-014-9105-9" TargetMode="External" /><Relationship Type="http://schemas.openxmlformats.org/officeDocument/2006/relationships/hyperlink" Id="rId145" Target="https://doi.org/10.1007/s11205-025-03718-3" TargetMode="External" /><Relationship Type="http://schemas.openxmlformats.org/officeDocument/2006/relationships/hyperlink" Id="rId111"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0"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86"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3"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84" Target="https://doi.org/10.1016/j.rse.2018.03.018" TargetMode="External" /><Relationship Type="http://schemas.openxmlformats.org/officeDocument/2006/relationships/hyperlink" Id="rId115" Target="https://doi.org/10.1016/j.strueco.2023.07.009" TargetMode="External" /><Relationship Type="http://schemas.openxmlformats.org/officeDocument/2006/relationships/hyperlink" Id="rId143" Target="https://doi.org/10.1016/j.worlddev.2014.08.017" TargetMode="External" /><Relationship Type="http://schemas.openxmlformats.org/officeDocument/2006/relationships/hyperlink" Id="rId105"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07"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1" Target="https://doi.org/10.1080/01431161.2017.1342050" TargetMode="External" /><Relationship Type="http://schemas.openxmlformats.org/officeDocument/2006/relationships/hyperlink" Id="rId88" Target="https://doi.org/10.1080/13547860.2020.1868107" TargetMode="External" /><Relationship Type="http://schemas.openxmlformats.org/officeDocument/2006/relationships/hyperlink" Id="rId176" Target="https://doi.org/10.1080/13547860.2022.2041286" TargetMode="External" /><Relationship Type="http://schemas.openxmlformats.org/officeDocument/2006/relationships/hyperlink" Id="rId98"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4" Target="https://doi.org/10.1111/j.1538-4632.1995.tb00338.x" TargetMode="External" /><Relationship Type="http://schemas.openxmlformats.org/officeDocument/2006/relationships/hyperlink" Id="rId158" Target="https://doi.org/10.1111/rsp3.12335"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3"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96" Target="https://doi.org/10.1257/aer.20180268" TargetMode="External" /><Relationship Type="http://schemas.openxmlformats.org/officeDocument/2006/relationships/hyperlink" Id="rId117" Target="https://doi.org/10.1257/jep.30.4.171"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09" Target="https://doi.org/10.3390/rs70404937" TargetMode="External" /><Relationship Type="http://schemas.openxmlformats.org/officeDocument/2006/relationships/hyperlink" Id="rId156" Target="https://github.com/quarcs-lab/project2022p" TargetMode="External" /><Relationship Type="http://schemas.openxmlformats.org/officeDocument/2006/relationships/hyperlink" Id="rId82" Target="https://github.com/quarcs-lab/project2025s" TargetMode="External" /><Relationship Type="http://schemas.openxmlformats.org/officeDocument/2006/relationships/hyperlink" Id="rId83" Target="https://quarcs-lab.github.io/project2025s/" TargetMode="External" /><Relationship Type="http://schemas.openxmlformats.org/officeDocument/2006/relationships/hyperlink" Id="rId90" Target="https://quarto.org" TargetMode="External" /><Relationship Type="http://schemas.openxmlformats.org/officeDocument/2006/relationships/hyperlink" Id="rId41"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Reproducible research, Nighttime lights, Regional convergence, Spatial spillovers, Spatial Durbin model, India</cp:keywords>
  <dcterms:created xsi:type="dcterms:W3CDTF">2026-03-04T00:18:47Z</dcterms:created>
  <dcterms:modified xsi:type="dcterms:W3CDTF">2026-03-04T00:18:47Z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Based on a reproducible open-science approach, this article builds on their work by confirming and extending their main findings on three fronts. First, we illustrate regional convergence patterns using an interactive web-based tool for satellite image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through the lens of satellite imagery, interactive visualizations, and spillover modeling.</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visual</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4,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