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Based on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that explicitly accounts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Also, this article adopts a reproducible open-science approach by leveraging Jupyter notebooks and the Quarto publishing system.</w:t>
      </w:r>
      <w:r>
        <w:t xml:space="preserve"> </w:t>
      </w:r>
      <w:r>
        <w:t xml:space="preserve">Jupyter notebooks allow researchers to integrate executable code, narrative text, and computational outputs within a single document.</w:t>
      </w:r>
      <w:r>
        <w:t xml:space="preserve"> </w:t>
      </w:r>
      <w:r>
        <w:t xml:space="preserve">They also support multiple programming languages such as Python, R, Stata, among others.</w:t>
      </w:r>
      <w:r>
        <w:t xml:space="preserve"> </w:t>
      </w:r>
      <w:r>
        <w:t xml:space="preserve">Quarto is an open-source publishing system that generates multiple output formats—including HTML, PDF, and Word—from a single source file.</w:t>
      </w:r>
      <w:r>
        <w:t xml:space="preserve"> </w:t>
      </w:r>
      <w:r>
        <w:t xml:space="preserve">This system ensures consistency across all versions of a document and lowers the technical barriers to multiformat publishing.</w:t>
      </w:r>
      <w:r>
        <w:t xml:space="preserve"> </w:t>
      </w:r>
      <w:r>
        <w:t xml:space="preserve">The combined use of Jupyter and Quarto fosters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(2020)</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 finding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income inequality globally.</w:t>
      </w:r>
      <w:r>
        <w:t xml:space="preserve"> </w:t>
      </w:r>
      <w:r>
        <w:t xml:space="preserve">More broadly,</w:t>
      </w:r>
      <w:r>
        <w:t xml:space="preserve"> </w:t>
      </w:r>
      <w:r>
        <w:t xml:space="preserve">Gennaioli et al. (2014)</w:t>
      </w:r>
      <w:r>
        <w:t xml:space="preserve"> </w:t>
      </w:r>
      <w:r>
        <w:t xml:space="preserve">study regional convergence using per capita income data from 1,528 subnational regions across 83 countries, finding a convergence rate of about 2% per year.</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 while</w:t>
      </w:r>
      <w:r>
        <w:t xml:space="preserve"> </w:t>
      </w:r>
      <w:r>
        <w:t xml:space="preserve">Jha and Talathi (2021)</w:t>
      </w:r>
      <w:r>
        <w:t xml:space="preserve"> </w:t>
      </w:r>
      <w:r>
        <w:t xml:space="preserve">examine the effects of colonial institutions, and</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(2019)</w:t>
      </w:r>
      <w:r>
        <w:t xml:space="preserve"> </w:t>
      </w:r>
      <w:r>
        <w:t xml:space="preserve">document significant regional disparities in India using NTL data and caution that GST may further exacerbate them, while</w:t>
      </w:r>
      <w:r>
        <w:t xml:space="preserve"> </w:t>
      </w:r>
      <w:r>
        <w:t xml:space="preserve">Chanda and Kabiraj (2020)</w:t>
      </w:r>
      <w:r>
        <w:t xml:space="preserve"> </w:t>
      </w:r>
      <w:r>
        <w:t xml:space="preserve">highlights district-level convergence.</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variable of interest.</w:t>
      </w:r>
      <w:r>
        <w:t xml:space="preserve"> </w:t>
      </w:r>
      <w:r>
        <w:t xml:space="preserve">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 as 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and reviewers to trace each result back to the code that produced it.</w:t>
      </w:r>
      <w:r>
        <w:t xml:space="preserve"> </w:t>
      </w:r>
      <w:r>
        <w:t xml:space="preserve">The Python and R notebooks can be executed in the cloud using Google Colab, further lowering the barriers to replication by eliminating the need for local software installation.</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paradigm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reproducible, publication-quality research.</w:t>
      </w:r>
    </w:p>
    <w:p>
      <w:pPr>
        <w:pStyle w:val="BodyText"/>
      </w:pPr>
      <w:r>
        <w:t xml:space="preserve">The combination of Jupyter notebooks and Quarto’s manuscript framework creates an effective infrastructure for reproducible research.</w:t>
      </w:r>
      <w:r>
        <w:t xml:space="preserve"> </w:t>
      </w:r>
      <w:r>
        <w:t xml:space="preserve">In this article, all computational analyses are embedded in Jupyter notebooks that are directly linked to the main text, allowing readers to inspect the code alongside the results it produces.</w:t>
      </w:r>
      <w:r>
        <w:t xml:space="preserve"> </w:t>
      </w:r>
      <w:r>
        <w:t xml:space="preserve">Quarto’s embed functionality enables us to pull specific figures, tables, and results from these notebooks into the manuscript.</w:t>
      </w:r>
      <w:r>
        <w:t xml:space="preserve"> </w:t>
      </w:r>
      <w:r>
        <w:t xml:space="preserve">This ensures that every empirical finding presented in the text is traceable to its underlying computation.</w:t>
      </w:r>
      <w:r>
        <w:t xml:space="preserve"> </w:t>
      </w:r>
      <w:r>
        <w:t xml:space="preserve">All data processing and analysis steps are documented in the notebooks, and we provide access to the raw data and code through a public repository.</w:t>
      </w:r>
      <w:r>
        <w:t xml:space="preserve"> </w:t>
      </w:r>
      <w:r>
        <w:t xml:space="preserve">By adopting this integrated reproducible research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distinct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This interactivity is especially valuable when investigating economic phenomena that exhibit significant spatial and temporal variation, such as urbanization patterns, economic shocks, or regional development disparities.</w:t>
      </w:r>
      <w:r>
        <w:t xml:space="preserve"> </w:t>
      </w:r>
      <w:r>
        <w:t xml:space="preserve">The ability to dynamically adjust visualization parameters, such as temporal ranges, spatial scales, and light intensity thresholds,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economic research with nighttime lights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 or stakeholders.</w:t>
      </w:r>
      <w:r>
        <w:t xml:space="preserve"> </w:t>
      </w:r>
      <w:r>
        <w:t xml:space="preserve">These applications allow users to interact with the data and verify findings independently.</w:t>
      </w:r>
      <w:r>
        <w:t xml:space="preserve"> </w:t>
      </w:r>
      <w:r>
        <w:t xml:space="preserve">The platform’s ability to handle large-scale geospatial computations server-side significantly streamlines the workflow from raw data to interactive visualization.</w:t>
      </w:r>
      <w:r>
        <w:t xml:space="preserve"> </w:t>
      </w:r>
      <w:r>
        <w:t xml:space="preserve">Its extensive catalog of pre-processed nighttime lights datasets, including the DMSP-OLS and VIIRS collections, further reduces the processing burden</w:t>
      </w:r>
      <w:r>
        <w:t xml:space="preserve"> </w:t>
      </w:r>
      <w:r>
        <w:t xml:space="preserve">(Tamiminia et al. 2020)</w:t>
      </w:r>
      <w:r>
        <w:t xml:space="preserve">.</w:t>
      </w:r>
      <w:r>
        <w:t xml:space="preserve"> </w:t>
      </w:r>
      <w:r>
        <w:t xml:space="preserve">This computational efficiency is particularly beneficial when analyzing long time series or large geographic areas, which would be computationally intensive using traditional desktop-based approaches.</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modeling-regional-convergence"/>
    <w:p>
      <w:pPr>
        <w:pStyle w:val="Heading3"/>
      </w:pPr>
      <w:r>
        <w:t xml:space="preserve">Modeling regional convergence</w:t>
      </w:r>
    </w:p>
    <w:p>
      <w:pPr>
        <w:pStyle w:val="FirstParagraph"/>
      </w:pPr>
      <w:r>
        <w:t xml:space="preserve">In neoclassical growth models, such as the Solow model, the per capita growth rate is predicted to be negatively correlated with a region’s initial endowment, primarily due to diminishing returns to capital</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Consequently, over the long run, regions with similar characteristics should converge to a common steady state.</w:t>
      </w:r>
      <w:r>
        <w:t xml:space="preserve"> </w:t>
      </w:r>
      <w:r>
        <w:t xml:space="preserve">We examine such convergence (denoted by</w:t>
      </w:r>
      <w:r>
        <w:t xml:space="preserve"> </w:t>
      </w:r>
      <m:oMath>
        <m:r>
          <m:t>β</m:t>
        </m:r>
      </m:oMath>
      <w:r>
        <w:t xml:space="preserve">-convergence)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analyzes absolute convergence.</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w:t>
      </w:r>
      <w:r>
        <w:t xml:space="preserve"> </w:t>
      </w:r>
      <w:r>
        <w:t xml:space="preserve">The scalar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While absolute convergence implies that districts converge to a common steady state, regions may differ in various aspects such as geography, socio-economic conditions, and policy implementation.</w:t>
      </w:r>
      <w:r>
        <w:t xml:space="preserve"> </w:t>
      </w:r>
      <w:r>
        <w:t xml:space="preserve">To account for these differences, we include state fixed effects in our analysis to examine whether heterogeneity in state-specific institutions and policies influences the rate of convergence.</w:t>
      </w:r>
      <w:r>
        <w:t xml:space="preserve"> </w:t>
      </w:r>
      <w:r>
        <w:t xml:space="preserve">Additionally, we control for the initial share of unlit pixels in districts to address any potential under-coding in NTL data.</w:t>
      </w:r>
    </w:p>
    <w:p>
      <w:pPr>
        <w:pStyle w:val="BodyText"/>
      </w:pPr>
      <w:r>
        <w:t xml:space="preserve">To further explore the determinants of district-level growth rates, we incorporate a range of geo-climatic controls alongside initial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explores conditional convergence.</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control variables are listed in Table A.1 in</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dependence patterns across Indian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spillovers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 which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panel Durbin model that accounts for regional spillovers across economies.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w:t>
      </w:r>
      <w:r>
        <w:t xml:space="preserve"> </w:t>
      </w:r>
      <w:r>
        <w:t xml:space="preserve">The scalar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level of NTL, and the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conduct three exercises to visually illustrate the concepts of growth and convergence in nighttime lights.</w:t>
      </w:r>
      <w:r>
        <w:t xml:space="preserve"> </w:t>
      </w:r>
      <w:r>
        <w:t xml:space="preserve">First, we create an interactive map of India displaying regional luminosity levels for 1996 and 2010.</w:t>
      </w:r>
      <w:r>
        <w:rPr>
          <w:rStyle w:val="FootnoteReference"/>
        </w:rPr>
        <w:footnoteReference w:id="36"/>
      </w:r>
      <w:r>
        <w:t xml:space="preserve"> </w:t>
      </w:r>
      <w:r>
        <w:t xml:space="preserve">Second, we examine absolute convergence by constructing a scatterplot.</w:t>
      </w:r>
      <w:r>
        <w:t xml:space="preserve"> </w:t>
      </w:r>
      <w:r>
        <w:t xml:space="preserve">This scatterplot depicts the relationship between per capita growth rates in nighttime lights (1996–2010) and the initial per capita nighttime light levels (1996) at the district level.</w:t>
      </w:r>
      <w:r>
        <w:t xml:space="preserve"> </w:t>
      </w:r>
      <w:r>
        <w:t xml:space="preserve">Finally, we use case studies to illustrate the nighttime light growth that occurred during our study period.</w:t>
      </w:r>
      <w:r>
        <w:t xml:space="preserve"> </w:t>
      </w:r>
      <w:r>
        <w:t xml:space="preserve">Focusing on some of the poorest regions in the country, we show an increase in nighttime lights that aligns with our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39" name="Picture"/>
                  <a:graphic>
                    <a:graphicData uri="http://schemas.openxmlformats.org/drawingml/2006/picture">
                      <pic:pic>
                        <pic:nvPicPr>
                          <pic:cNvPr descr="images/luminosity_map.png" id="40" name="Picture"/>
                          <pic:cNvPicPr>
                            <a:picLocks noChangeArrowheads="1" noChangeAspect="1"/>
                          </pic:cNvPicPr>
                        </pic:nvPicPr>
                        <pic:blipFill>
                          <a:blip r:embed="rId3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maps) of luminosity for our boundary years (1996 and 2010), using the same index scale for comparison.</w:t>
      </w:r>
      <w:r>
        <w:t xml:space="preserve"> </w:t>
      </w:r>
      <w:r>
        <w:t xml:space="preserve">The maps show a noticeable increase in brightness across most parts of the country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 capita growth in nighttime lights and initial per capita nighttime light levels.</w:t>
      </w:r>
      <w:r>
        <w:t xml:space="preserve"> </w:t>
      </w:r>
      <w:r>
        <w:t xml:space="preserve">The scatterplot shows an inverse relationship, suggesting a</w:t>
      </w:r>
      <w:r>
        <w:t xml:space="preserve"> </w:t>
      </w:r>
      <m:oMath>
        <m:r>
          <m:t>β</m:t>
        </m:r>
      </m:oMath>
      <w:r>
        <w:t xml:space="preserve">-convergence rate of approximately 2%, consistent with Barro’s</w:t>
      </w:r>
      <w:r>
        <w:t xml:space="preserve"> </w:t>
      </w:r>
      <w:r>
        <w:t xml:space="preserve">“Iron Law”</w:t>
      </w:r>
      <w:r>
        <w:t xml:space="preserve"> </w:t>
      </w:r>
      <w:r>
        <w:t xml:space="preserve">of convergence.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 capita income at 39.2% of the national average, while Uttar Pradesh and Chhattisgarh have per 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per capita in 1996 and the subsequent growth rate of luminosity per capita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both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where the significant clusters and outliers are located.</w:t>
      </w:r>
      <w:r>
        <w:t xml:space="preserve"> </w:t>
      </w:r>
      <w:r>
        <w:t xml:space="preserve">To address this, we employ Local Indicators of Spatial Association (LISA), which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initially red regions in the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inter-district spillovers in the analysis that follows.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(-0.001 in both cases),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spatial channels of convergence—through which the economic conditions of neighboring districts influence local growth—become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78" w:name="discussion"/>
    <w:p>
      <w:pPr>
        <w:pStyle w:val="Heading2"/>
      </w:pPr>
      <w:r>
        <w:t xml:space="preserve">Discussion</w:t>
      </w:r>
    </w:p>
    <w:bookmarkStart w:id="7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validated as a proxy for economic activity</w:t>
      </w:r>
      <w:r>
        <w:t xml:space="preserve"> </w:t>
      </w:r>
      <w:r>
        <w:t xml:space="preserve">(Henderson, Storeygard, and Weil 2012; X. Chen and Nordhaus 2011)</w:t>
      </w:r>
      <w:r>
        <w:t xml:space="preserve">.</w:t>
      </w:r>
      <w:r>
        <w:t xml:space="preserve"> </w:t>
      </w:r>
      <w:r>
        <w:t xml:space="preserve">Nevertheless,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 where saturation may mask growth variation.</w:t>
      </w:r>
    </w:p>
    <w:p>
      <w:pPr>
        <w:pStyle w:val="BodyText"/>
      </w:pPr>
      <w:r>
        <w:t xml:space="preserve">The Visible Infrared Imaging Radiometer Suite (VIIRS) Day/Night Band,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Comparative evaluations have shown that VIIRS explains 10 to 15 percentage points more variation in subnational economic activity than DMSP-OLS</w:t>
      </w:r>
      <w:r>
        <w:t xml:space="preserve"> </w:t>
      </w:r>
      <w:r>
        <w:t xml:space="preserve">(X. Chen and Nordhaus 2015)</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DMSP saturation may have compressed the measured distribution of luminosity.</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27-year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75"/>
    <w:bookmarkStart w:id="7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Indeed, satellite nighttime light data have already been used to document convergence clubs and spatial dependence across subnational regions in ASEAN</w:t>
      </w:r>
      <w:r>
        <w:t xml:space="preserve"> </w:t>
      </w:r>
      <w:r>
        <w:t xml:space="preserve">(Mendez and Santos-Marquez 2021)</w:t>
      </w:r>
      <w:r>
        <w:t xml:space="preserve">.</w:t>
      </w:r>
      <w:r>
        <w:t xml:space="preserve"> </w:t>
      </w:r>
      <w:r>
        <w:t xml:space="preserve">Convergence club methods have also revealed distinct growth regimes across Indonesian districts</w:t>
      </w:r>
      <w:r>
        <w:t xml:space="preserve"> </w:t>
      </w:r>
      <w:r>
        <w:t xml:space="preserve">(Aginta, Gunawan, and Mendez 2023)</w:t>
      </w:r>
      <w:r>
        <w:t xml:space="preserve"> </w:t>
      </w:r>
      <w:r>
        <w:t xml:space="preserve">and structural convergence patterns across European regions</w:t>
      </w:r>
      <w:r>
        <w:t xml:space="preserve"> </w:t>
      </w:r>
      <w:r>
        <w:t xml:space="preserve">(Cutrini and Mendez 2023)</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multi-country insights to the Indian district context could help determine whether the convergence patterns we document reflect a single equilibrium or mask the formation of distinct spatial clubs.</w:t>
      </w:r>
    </w:p>
    <w:p>
      <w:pPr>
        <w:pStyle w:val="BodyText"/>
      </w:pPr>
      <w:r>
        <w:t xml:space="preserve">A second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r>
        <w:t xml:space="preserve"> </w:t>
      </w: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Third, 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demonstrated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As</w:t>
      </w:r>
      <w:r>
        <w:t xml:space="preserve"> </w:t>
      </w:r>
      <w:r>
        <w:t xml:space="preserve">Donaldson and Storeygard (2016)</w:t>
      </w:r>
      <w:r>
        <w:t xml:space="preserve"> </w:t>
      </w:r>
      <w:r>
        <w:t xml:space="preserve">emphasize, the expanding ecosystem of satellite-derived data—including vegetation indices, built-up area detection, and high-frequency mobility indicators—offers new measurement possibilities.</w:t>
      </w:r>
      <w:r>
        <w:t xml:space="preserve"> </w:t>
      </w:r>
      <w:r>
        <w:t xml:space="preserve">These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76"/>
    <w:bookmarkStart w:id="7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r>
        <w:t xml:space="preserve"> </w:t>
      </w:r>
      <w:r>
        <w:t xml:space="preserve">(Gibson et al. 2021)</w:t>
      </w:r>
      <w:r>
        <w:t xml:space="preserve">.</w:t>
      </w:r>
    </w:p>
    <w:p>
      <w:pPr>
        <w:pStyle w:val="BodyText"/>
      </w:pPr>
      <w:r>
        <w:t xml:space="preserve">This article adopts a reproducible research approach through Quarto’s single-source publishing framework, where a single manuscript file generates multiple output formats—interactive HTML, journal PDF, and supplementary materials—from the same source.</w:t>
      </w:r>
      <w:r>
        <w:t xml:space="preserve"> </w:t>
      </w:r>
      <w:r>
        <w:t xml:space="preserve">All computational analyses are documented in embedded notebooks that readers can inspect alongside the results they produce, creating a complete chain from raw data to published findings.</w:t>
      </w:r>
      <w:r>
        <w:t xml:space="preserve"> </w:t>
      </w:r>
      <w:r>
        <w:t xml:space="preserve">The interactive web-based visualization tool, built on Google Earth Engine, allows researchers to independently explore the spatial and temporal patterns in the nighttime light data.</w:t>
      </w:r>
      <w:r>
        <w:t xml:space="preserve"> </w:t>
      </w:r>
      <w:r>
        <w:t xml:space="preserve">This supports verification of our visual findings and enables further exploration beyond what static representations can convey.</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7"/>
    <w:bookmarkEnd w:id="78"/>
    <w:bookmarkStart w:id="7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illustrates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 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interactive HTML version is particulary useful as it allows readers to engage with interactive visualizations, easily inspect the code of multiple computational notebooks, and reevaluate the results in light of their source code.</w:t>
      </w:r>
      <w:r>
        <w:t xml:space="preserve"> </w:t>
      </w:r>
      <w:r>
        <w:t xml:space="preserve">Finally, by hosting the complete codebase and data in a public Github repository and making the Python and R notebooks executable in the cloud through Google Colaboratory, we aim to encourage other researchers to further adopt reproducible open science practices that can strengthen the credibility and extendability of scientific research.</w:t>
      </w:r>
    </w:p>
    <w:bookmarkEnd w:id="79"/>
    <w:bookmarkStart w:id="80" w:name="acknowledgments"/>
    <w:p>
      <w:pPr>
        <w:pStyle w:val="Heading2"/>
      </w:pPr>
      <w:r>
        <w:t xml:space="preserve">Acknowledgments</w:t>
      </w:r>
    </w:p>
    <w:p>
      <w:pPr>
        <w:pStyle w:val="FirstParagraph"/>
      </w:pPr>
      <w:r>
        <w:t xml:space="preserve">This work was supported by JSPS KAKENHI Grant Number 24K04884.</w:t>
      </w:r>
      <w:r>
        <w:t xml:space="preserve"> </w:t>
      </w:r>
      <w:r>
        <w:t xml:space="preserve">During the preparation of this work, the authors used Claude Code (Anthropic) to assist with manuscript editing, computational notebook development, and research infrastructure setup.</w:t>
      </w:r>
      <w:r>
        <w:t xml:space="preserve"> </w:t>
      </w:r>
      <w:r>
        <w:t xml:space="preserve">After using this tool, the authors reviewed and edited all content and take full responsibility for the content of the publication.</w:t>
      </w:r>
    </w:p>
    <w:bookmarkEnd w:id="80"/>
    <w:bookmarkStart w:id="81" w:name="conflict-of-interest"/>
    <w:p>
      <w:pPr>
        <w:pStyle w:val="Heading2"/>
      </w:pPr>
      <w:r>
        <w:t xml:space="preserve">Conflict of Interest</w:t>
      </w:r>
    </w:p>
    <w:p>
      <w:pPr>
        <w:pStyle w:val="FirstParagraph"/>
      </w:pPr>
      <w:r>
        <w:t xml:space="preserve">The authors declare no conflict of interest.</w:t>
      </w:r>
    </w:p>
    <w:bookmarkEnd w:id="81"/>
    <w:bookmarkStart w:id="181" w:name="data-and-code-availability"/>
    <w:p>
      <w:pPr>
        <w:pStyle w:val="Heading2"/>
      </w:pPr>
      <w:r>
        <w:t xml:space="preserve">Data and Code Availability</w:t>
      </w:r>
    </w:p>
    <w:p>
      <w:pPr>
        <w:pStyle w:val="FirstParagraph"/>
      </w:pPr>
      <w:r>
        <w:t xml:space="preserve">All data and computational code used in this study are available in the project repository:</w:t>
      </w:r>
      <w:r>
        <w:t xml:space="preserve"> </w:t>
      </w:r>
      <w:hyperlink r:id="rId82">
        <w:r>
          <w:rPr>
            <w:rStyle w:val="Hyperlink"/>
          </w:rPr>
          <w:t xml:space="preserve">https://github.com/quarcs-lab/project2025s</w:t>
        </w:r>
      </w:hyperlink>
      <w:r>
        <w:t xml:space="preserve">.</w:t>
      </w:r>
      <w:r>
        <w:t xml:space="preserve"> </w:t>
      </w:r>
      <w:r>
        <w:t xml:space="preserve">Also, the interactive HTML version of this manuscript (</w:t>
      </w:r>
      <w:hyperlink r:id="rId83">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0" w:name="refs"/>
    <w:bookmarkStart w:id="85"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4">
        <w:r>
          <w:rPr>
            <w:rStyle w:val="Hyperlink"/>
          </w:rPr>
          <w:t xml:space="preserve">https://doi.org/10.1016/j.rse.2018.03.018</w:t>
        </w:r>
      </w:hyperlink>
      <w:r>
        <w:t xml:space="preserve">.</w:t>
      </w:r>
    </w:p>
    <w:bookmarkEnd w:id="85"/>
    <w:bookmarkStart w:id="87"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86">
        <w:r>
          <w:rPr>
            <w:rStyle w:val="Hyperlink"/>
          </w:rPr>
          <w:t xml:space="preserve">https://doi.org/10.1016/j.jdeveco.2020.102467</w:t>
        </w:r>
      </w:hyperlink>
      <w:r>
        <w:t xml:space="preserve">.</w:t>
      </w:r>
    </w:p>
    <w:bookmarkEnd w:id="87"/>
    <w:bookmarkStart w:id="89" w:name="ref-aginta_etal_indonesia_clubs"/>
    <w:p>
      <w:pPr>
        <w:pStyle w:val="Bibliography"/>
      </w:pPr>
      <w:r>
        <w:t xml:space="preserve">Aginta, Harry, Anang Budi Gunawan, and Carlos Mendez. 2023.</w:t>
      </w:r>
      <w:r>
        <w:t xml:space="preserve"> </w:t>
      </w:r>
      <w:r>
        <w:t xml:space="preserve">“Regional Income Disparities and Convergence Clubs in</w:t>
      </w:r>
      <w:r>
        <w:t xml:space="preserve"> </w:t>
      </w:r>
      <w:r>
        <w:t xml:space="preserve">Indonesia</w:t>
      </w:r>
      <w:r>
        <w:t xml:space="preserve">:</w:t>
      </w:r>
      <w:r>
        <w:t xml:space="preserve"> </w:t>
      </w:r>
      <w:r>
        <w:t xml:space="preserve">New</w:t>
      </w:r>
      <w:r>
        <w:t xml:space="preserve"> </w:t>
      </w:r>
      <w:r>
        <w:t xml:space="preserve">District-Level Evidence.”</w:t>
      </w:r>
      <w:r>
        <w:t xml:space="preserve"> </w:t>
      </w:r>
      <w:r>
        <w:rPr>
          <w:i/>
          <w:iCs/>
        </w:rPr>
        <w:t xml:space="preserve">Journal of the Asia Pacific Economy</w:t>
      </w:r>
      <w:r>
        <w:t xml:space="preserve"> </w:t>
      </w:r>
      <w:r>
        <w:t xml:space="preserve">28 (1): 101–32.</w:t>
      </w:r>
      <w:r>
        <w:t xml:space="preserve"> </w:t>
      </w:r>
      <w:hyperlink r:id="rId88">
        <w:r>
          <w:rPr>
            <w:rStyle w:val="Hyperlink"/>
          </w:rPr>
          <w:t xml:space="preserve">https://doi.org/10.1080/13547860.2020.1868107</w:t>
        </w:r>
      </w:hyperlink>
      <w:r>
        <w:t xml:space="preserve">.</w:t>
      </w:r>
    </w:p>
    <w:bookmarkEnd w:id="89"/>
    <w:bookmarkStart w:id="91"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0">
        <w:r>
          <w:rPr>
            <w:rStyle w:val="Hyperlink"/>
          </w:rPr>
          <w:t xml:space="preserve">https://quarto.org</w:t>
        </w:r>
      </w:hyperlink>
      <w:r>
        <w:t xml:space="preserve">.</w:t>
      </w:r>
    </w:p>
    <w:bookmarkEnd w:id="91"/>
    <w:bookmarkStart w:id="93"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2">
        <w:r>
          <w:rPr>
            <w:rStyle w:val="Hyperlink"/>
          </w:rPr>
          <w:t xml:space="preserve">https://doi.org/10.1007/978-94-015-7799-1</w:t>
        </w:r>
      </w:hyperlink>
      <w:r>
        <w:t xml:space="preserve">.</w:t>
      </w:r>
    </w:p>
    <w:bookmarkEnd w:id="93"/>
    <w:bookmarkStart w:id="95"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4">
        <w:r>
          <w:rPr>
            <w:rStyle w:val="Hyperlink"/>
          </w:rPr>
          <w:t xml:space="preserve">https://doi.org/10.1111/j.1538-4632.1995.tb00338.x</w:t>
        </w:r>
      </w:hyperlink>
      <w:r>
        <w:t xml:space="preserve">.</w:t>
      </w:r>
    </w:p>
    <w:bookmarkEnd w:id="95"/>
    <w:bookmarkStart w:id="97"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6">
        <w:r>
          <w:rPr>
            <w:rStyle w:val="Hyperlink"/>
          </w:rPr>
          <w:t xml:space="preserve">https://doi.org/10.1257/aer.20180268</w:t>
        </w:r>
      </w:hyperlink>
      <w:r>
        <w:t xml:space="preserve">.</w:t>
      </w:r>
    </w:p>
    <w:bookmarkEnd w:id="97"/>
    <w:bookmarkStart w:id="99"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8">
        <w:r>
          <w:rPr>
            <w:rStyle w:val="Hyperlink"/>
          </w:rPr>
          <w:t xml:space="preserve">https://doi.org/10.1086/261816</w:t>
        </w:r>
      </w:hyperlink>
      <w:r>
        <w:t xml:space="preserve">.</w:t>
      </w:r>
    </w:p>
    <w:bookmarkEnd w:id="99"/>
    <w:bookmarkStart w:id="101"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0">
        <w:r>
          <w:rPr>
            <w:rStyle w:val="Hyperlink"/>
          </w:rPr>
          <w:t xml:space="preserve">https://doi.org/10.1016/j.asieco.2021.101318</w:t>
        </w:r>
      </w:hyperlink>
      <w:r>
        <w:t xml:space="preserve">.</w:t>
      </w:r>
    </w:p>
    <w:bookmarkEnd w:id="101"/>
    <w:bookmarkStart w:id="102"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2"/>
    <w:bookmarkStart w:id="104"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3">
        <w:r>
          <w:rPr>
            <w:rStyle w:val="Hyperlink"/>
          </w:rPr>
          <w:t xml:space="preserve">https://doi.org/10.1016/j.jdeveco.2022.102835</w:t>
        </w:r>
      </w:hyperlink>
      <w:r>
        <w:t xml:space="preserve">.</w:t>
      </w:r>
    </w:p>
    <w:bookmarkEnd w:id="104"/>
    <w:bookmarkStart w:id="106"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5">
        <w:r>
          <w:rPr>
            <w:rStyle w:val="Hyperlink"/>
          </w:rPr>
          <w:t xml:space="preserve">https://doi.org/10.1016/j.worlddev.2020.104961</w:t>
        </w:r>
      </w:hyperlink>
      <w:r>
        <w:t xml:space="preserve">.</w:t>
      </w:r>
    </w:p>
    <w:bookmarkEnd w:id="106"/>
    <w:bookmarkStart w:id="108"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7">
        <w:r>
          <w:rPr>
            <w:rStyle w:val="Hyperlink"/>
          </w:rPr>
          <w:t xml:space="preserve">https://doi.org/10.1073/pnas.1017031108</w:t>
        </w:r>
      </w:hyperlink>
      <w:r>
        <w:t xml:space="preserve">.</w:t>
      </w:r>
    </w:p>
    <w:bookmarkEnd w:id="108"/>
    <w:bookmarkStart w:id="110" w:name="ref-chen_nordhaus_measurement_error"/>
    <w:p>
      <w:pPr>
        <w:pStyle w:val="Bibliography"/>
      </w:pPr>
      <w:r>
        <w:t xml:space="preserve">———. 2015.</w:t>
      </w:r>
      <w:r>
        <w:t xml:space="preserve"> </w:t>
      </w:r>
      <w:r>
        <w:t xml:space="preserve">“A Test of the New VIIRS Lights Data Set: Population and Economic Output in Africa.”</w:t>
      </w:r>
      <w:r>
        <w:t xml:space="preserve"> </w:t>
      </w:r>
      <w:r>
        <w:rPr>
          <w:i/>
          <w:iCs/>
        </w:rPr>
        <w:t xml:space="preserve">Remote Sensing</w:t>
      </w:r>
      <w:r>
        <w:t xml:space="preserve"> </w:t>
      </w:r>
      <w:r>
        <w:t xml:space="preserve">7 (4): 4937–47.</w:t>
      </w:r>
      <w:r>
        <w:t xml:space="preserve"> </w:t>
      </w:r>
      <w:hyperlink r:id="rId109">
        <w:r>
          <w:rPr>
            <w:rStyle w:val="Hyperlink"/>
          </w:rPr>
          <w:t xml:space="preserve">https://doi.org/10.3390/rs70404937</w:t>
        </w:r>
      </w:hyperlink>
      <w:r>
        <w:t xml:space="preserve">.</w:t>
      </w:r>
    </w:p>
    <w:bookmarkEnd w:id="110"/>
    <w:bookmarkStart w:id="112"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1">
        <w:r>
          <w:rPr>
            <w:rStyle w:val="Hyperlink"/>
          </w:rPr>
          <w:t xml:space="preserve">https://doi.org/10.1007/s12076-024-00375-x</w:t>
        </w:r>
      </w:hyperlink>
      <w:r>
        <w:t xml:space="preserve">.</w:t>
      </w:r>
    </w:p>
    <w:bookmarkEnd w:id="112"/>
    <w:bookmarkStart w:id="114"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3">
        <w:r>
          <w:rPr>
            <w:rStyle w:val="Hyperlink"/>
          </w:rPr>
          <w:t xml:space="preserve">https://doi.org/10.1162/rest_a_00951</w:t>
        </w:r>
      </w:hyperlink>
      <w:r>
        <w:t xml:space="preserve">.</w:t>
      </w:r>
    </w:p>
    <w:bookmarkEnd w:id="114"/>
    <w:bookmarkStart w:id="116" w:name="ref-cutrini_mendez_eu_clubs"/>
    <w:p>
      <w:pPr>
        <w:pStyle w:val="Bibliography"/>
      </w:pPr>
      <w:r>
        <w:t xml:space="preserve">Cutrini, Eleonora, and Carlos Mendez. 2023.</w:t>
      </w:r>
      <w:r>
        <w:t xml:space="preserve"> </w:t>
      </w:r>
      <w:r>
        <w:t xml:space="preserve">“Convergence Clubs and Spatial Structural Change in the</w:t>
      </w:r>
      <w:r>
        <w:t xml:space="preserve"> </w:t>
      </w:r>
      <w:r>
        <w:t xml:space="preserve">European Union</w:t>
      </w:r>
      <w:r>
        <w:t xml:space="preserve">.”</w:t>
      </w:r>
      <w:r>
        <w:t xml:space="preserve"> </w:t>
      </w:r>
      <w:r>
        <w:rPr>
          <w:i/>
          <w:iCs/>
        </w:rPr>
        <w:t xml:space="preserve">Structural Change and Economic Dynamics</w:t>
      </w:r>
      <w:r>
        <w:t xml:space="preserve"> </w:t>
      </w:r>
      <w:r>
        <w:t xml:space="preserve">67: 167–81.</w:t>
      </w:r>
      <w:r>
        <w:t xml:space="preserve"> </w:t>
      </w:r>
      <w:hyperlink r:id="rId115">
        <w:r>
          <w:rPr>
            <w:rStyle w:val="Hyperlink"/>
          </w:rPr>
          <w:t xml:space="preserve">https://doi.org/10.1016/j.strueco.2023.07.009</w:t>
        </w:r>
      </w:hyperlink>
      <w:r>
        <w:t xml:space="preserve">.</w:t>
      </w:r>
    </w:p>
    <w:bookmarkEnd w:id="116"/>
    <w:bookmarkStart w:id="118"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7">
        <w:r>
          <w:rPr>
            <w:rStyle w:val="Hyperlink"/>
          </w:rPr>
          <w:t xml:space="preserve">https://doi.org/10.1257/jep.30.4.171</w:t>
        </w:r>
      </w:hyperlink>
      <w:r>
        <w:t xml:space="preserve">.</w:t>
      </w:r>
    </w:p>
    <w:bookmarkEnd w:id="118"/>
    <w:bookmarkStart w:id="120"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9">
        <w:r>
          <w:rPr>
            <w:rStyle w:val="Hyperlink"/>
          </w:rPr>
          <w:t xml:space="preserve">https://doi.org/10.1002/jae.3950100404</w:t>
        </w:r>
      </w:hyperlink>
      <w:r>
        <w:t xml:space="preserve">.</w:t>
      </w:r>
    </w:p>
    <w:bookmarkEnd w:id="120"/>
    <w:bookmarkStart w:id="122"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1">
        <w:r>
          <w:rPr>
            <w:rStyle w:val="Hyperlink"/>
          </w:rPr>
          <w:t xml:space="preserve">https://doi.org/10.1080/01431161.2017.1342050</w:t>
        </w:r>
      </w:hyperlink>
      <w:r>
        <w:t xml:space="preserve">.</w:t>
      </w:r>
    </w:p>
    <w:bookmarkEnd w:id="122"/>
    <w:bookmarkStart w:id="124"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3">
        <w:r>
          <w:rPr>
            <w:rStyle w:val="Hyperlink"/>
          </w:rPr>
          <w:t xml:space="preserve">https://doi.org/10.1002/jae.963</w:t>
        </w:r>
      </w:hyperlink>
      <w:r>
        <w:t xml:space="preserve">.</w:t>
      </w:r>
    </w:p>
    <w:bookmarkEnd w:id="124"/>
    <w:bookmarkStart w:id="126"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5">
        <w:r>
          <w:rPr>
            <w:rStyle w:val="Hyperlink"/>
          </w:rPr>
          <w:t xml:space="preserve">https://doi.org/10.1007/s00168-010-0384-6</w:t>
        </w:r>
      </w:hyperlink>
      <w:r>
        <w:t xml:space="preserve">.</w:t>
      </w:r>
    </w:p>
    <w:bookmarkEnd w:id="126"/>
    <w:bookmarkStart w:id="128"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27">
        <w:r>
          <w:rPr>
            <w:rStyle w:val="Hyperlink"/>
          </w:rPr>
          <w:t xml:space="preserve">https://doi.org/10.1007/s10887-014-9105-9</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6">
        <w:r>
          <w:rPr>
            <w:rStyle w:val="Hyperlink"/>
          </w:rPr>
          <w:t xml:space="preserve">https://github.com/quarcs-lab/project2022p</w:t>
        </w:r>
      </w:hyperlink>
      <w:r>
        <w:t xml:space="preserve">.</w:t>
      </w:r>
    </w:p>
    <w:bookmarkEnd w:id="157"/>
    <w:bookmarkStart w:id="159" w:name="ref-mendez_santos_asean_lights"/>
    <w:p>
      <w:pPr>
        <w:pStyle w:val="Bibliography"/>
      </w:pPr>
      <w:r>
        <w:t xml:space="preserve">Mendez, Carlos, and Felipe Santos-Marquez. 2021.</w:t>
      </w:r>
      <w:r>
        <w:t xml:space="preserve"> </w:t>
      </w:r>
      <w:r>
        <w:t xml:space="preserve">“Regional Convergence and Spatial Dependence Across Subnational Regions of</w:t>
      </w:r>
      <w:r>
        <w:t xml:space="preserve"> </w:t>
      </w:r>
      <w:r>
        <w:t xml:space="preserve">ASEAN</w:t>
      </w:r>
      <w:r>
        <w:t xml:space="preserve">:</w:t>
      </w:r>
      <w:r>
        <w:t xml:space="preserve"> </w:t>
      </w:r>
      <w:r>
        <w:t xml:space="preserve">Evidence</w:t>
      </w:r>
      <w:r>
        <w:t xml:space="preserve"> </w:t>
      </w:r>
      <w:r>
        <w:t xml:space="preserve">from Satellite Nighttime Light Data.”</w:t>
      </w:r>
      <w:r>
        <w:t xml:space="preserve"> </w:t>
      </w:r>
      <w:r>
        <w:rPr>
          <w:i/>
          <w:iCs/>
        </w:rPr>
        <w:t xml:space="preserve">Regional Science Policy and Practice</w:t>
      </w:r>
      <w:r>
        <w:t xml:space="preserve"> </w:t>
      </w:r>
      <w:r>
        <w:t xml:space="preserve">13 (6): 1750–77.</w:t>
      </w:r>
      <w:r>
        <w:t xml:space="preserve"> </w:t>
      </w:r>
      <w:hyperlink r:id="rId158">
        <w:r>
          <w:rPr>
            <w:rStyle w:val="Hyperlink"/>
          </w:rPr>
          <w:t xml:space="preserve">https://doi.org/10.1111/rsp3.12335</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78">
        <w:r>
          <w:rPr>
            <w:rStyle w:val="Hyperlink"/>
          </w:rPr>
          <w:t xml:space="preserve">https://doi.org/10.1007/s00168-022-01168-0</w:t>
        </w:r>
      </w:hyperlink>
      <w:r>
        <w:t xml:space="preserve">.</w:t>
      </w:r>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the districts among two census files, we summed up the carved-out districts with their origin districts in the 2011 census files.</w:t>
      </w:r>
      <w:r>
        <w:t xml:space="preserve"> </w:t>
      </w:r>
      <w:r>
        <w:t xml:space="preserve">Eight districts among 47 new districts were created by carving out some areas from multiple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19" Target="https://doi.org/10.1002/jae.3950100404" TargetMode="External" /><Relationship Type="http://schemas.openxmlformats.org/officeDocument/2006/relationships/hyperlink" Id="rId123" Target="https://doi.org/10.1002/jae.963" TargetMode="External" /><Relationship Type="http://schemas.openxmlformats.org/officeDocument/2006/relationships/hyperlink" Id="rId92" Target="https://doi.org/10.1007/978-94-015-7799-1" TargetMode="External" /><Relationship Type="http://schemas.openxmlformats.org/officeDocument/2006/relationships/hyperlink" Id="rId125" Target="https://doi.org/10.1007/s00168-010-0384-6" TargetMode="External" /><Relationship Type="http://schemas.openxmlformats.org/officeDocument/2006/relationships/hyperlink" Id="rId178" Target="https://doi.org/10.1007/s00168-022-01168-0" TargetMode="External" /><Relationship Type="http://schemas.openxmlformats.org/officeDocument/2006/relationships/hyperlink" Id="rId127" Target="https://doi.org/10.1007/s10887-014-9105-9" TargetMode="External" /><Relationship Type="http://schemas.openxmlformats.org/officeDocument/2006/relationships/hyperlink" Id="rId145" Target="https://doi.org/10.1007/s11205-025-03718-3" TargetMode="External" /><Relationship Type="http://schemas.openxmlformats.org/officeDocument/2006/relationships/hyperlink" Id="rId111"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0"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3"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15" Target="https://doi.org/10.1016/j.strueco.2023.07.009" TargetMode="External" /><Relationship Type="http://schemas.openxmlformats.org/officeDocument/2006/relationships/hyperlink" Id="rId143" Target="https://doi.org/10.1016/j.worlddev.2014.08.017" TargetMode="External" /><Relationship Type="http://schemas.openxmlformats.org/officeDocument/2006/relationships/hyperlink" Id="rId105"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07"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1" Target="https://doi.org/10.1080/01431161.2017.1342050" TargetMode="External" /><Relationship Type="http://schemas.openxmlformats.org/officeDocument/2006/relationships/hyperlink" Id="rId88" Target="https://doi.org/10.1080/13547860.2020.1868107" TargetMode="External" /><Relationship Type="http://schemas.openxmlformats.org/officeDocument/2006/relationships/hyperlink" Id="rId176" Target="https://doi.org/10.1080/13547860.2022.2041286" TargetMode="External" /><Relationship Type="http://schemas.openxmlformats.org/officeDocument/2006/relationships/hyperlink" Id="rId98"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94" Target="https://doi.org/10.1111/j.1538-4632.1995.tb00338.x" TargetMode="External" /><Relationship Type="http://schemas.openxmlformats.org/officeDocument/2006/relationships/hyperlink" Id="rId158" Target="https://doi.org/10.1111/rsp3.12335"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3"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96" Target="https://doi.org/10.1257/aer.20180268" TargetMode="External" /><Relationship Type="http://schemas.openxmlformats.org/officeDocument/2006/relationships/hyperlink" Id="rId117" Target="https://doi.org/10.1257/jep.30.4.171"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09" Target="https://doi.org/10.3390/rs70404937" TargetMode="External" /><Relationship Type="http://schemas.openxmlformats.org/officeDocument/2006/relationships/hyperlink" Id="rId156"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90"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2026-03-04T02:17:48Z</dcterms:created>
  <dcterms:modified xsi:type="dcterms:W3CDTF">2026-03-04T02:17:48Z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