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show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using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(X. 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use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 widely used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that separate code, results, and interpretation across files,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allows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flexible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versatile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an integrated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especially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allows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supports the development of web applications that can be shared with other researchers.</w:t>
      </w:r>
      <w:r>
        <w:t xml:space="preserve"> </w:t>
      </w:r>
      <w:r>
        <w:t xml:space="preserve">The platform’s ability to handle large-scale geospatial computations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we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9972"/>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2589"/>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4591"/>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38363"/>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showing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8" w:name="discussion"/>
    <w:p>
      <w:pPr>
        <w:pStyle w:val="Heading2"/>
      </w:pPr>
      <w:r>
        <w:t xml:space="preserve">Discussion</w:t>
      </w:r>
    </w:p>
    <w:bookmarkStart w:id="84"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proposes a Culture-Based Development framework arguing that regional cultural participation patterns—measured through revealed preferences in household expenditure and survey data—predict regional development patterns.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32 Indian states and union territories, we can examine the extent to which luminosity is associated with regional cultural patterns (see</w:t>
      </w:r>
      <w:r>
        <w:t xml:space="preserve"> </w:t>
      </w:r>
      <w:hyperlink r:id="rId75">
        <w:r>
          <w:rPr>
            <w:rStyle w:val="Hyperlink"/>
          </w:rPr>
          <w:t xml:space="preserve">Spatial culture</w:t>
        </w:r>
      </w:hyperlink>
      <w:r>
        <w:t xml:space="preserve"> </w:t>
      </w:r>
      <w:r>
        <w:t xml:space="preserve">notebook for details and extended analyses).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79" w:name="fig-culture-scatter"/>
          <w:p>
            <w:pPr>
              <w:pStyle w:val="Compact"/>
              <w:jc w:val="center"/>
            </w:pPr>
            <w:r>
              <w:drawing>
                <wp:inline>
                  <wp:extent cx="5334000" cy="2649719"/>
                  <wp:effectExtent b="0" l="0" r="0" t="0"/>
                  <wp:docPr descr="" title="" id="77" name="Picture"/>
                  <a:graphic>
                    <a:graphicData uri="http://schemas.openxmlformats.org/drawingml/2006/picture">
                      <pic:pic>
                        <pic:nvPicPr>
                          <pic:cNvPr descr="index_files/figure-docx/notebooks-c06_spatial_culture-fig-culture-scatter-output-1.png" id="78" name="Picture"/>
                          <pic:cNvPicPr>
                            <a:picLocks noChangeArrowheads="1" noChangeAspect="1"/>
                          </pic:cNvPicPr>
                        </pic:nvPicPr>
                        <pic:blipFill>
                          <a:blip r:embed="rId76"/>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75">
              <w:r>
                <w:rPr>
                  <w:rStyle w:val="Hyperlink"/>
                </w:rPr>
                <w:t xml:space="preserve">Spatial culture</w:t>
              </w:r>
            </w:hyperlink>
            <w:r>
              <w:t xml:space="preserve"> </w:t>
            </w:r>
            <w:r>
              <w:t xml:space="preserve">notebook for source code.</w:t>
            </w:r>
          </w:p>
          <w:bookmarkEnd w:id="79"/>
        </w:tc>
      </w:tr>
    </w:tbl>
    <w:p>
      <w:pPr>
        <w:pStyle w:val="BodyText"/>
      </w:pP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with nighttime light luminosity.</w:t>
      </w:r>
      <w:r>
        <w:t xml:space="preserve"> </w:t>
      </w:r>
      <w:r>
        <w:t xml:space="preserve">That is, states with higher luminosity consume more culture through television and media.</w:t>
      </w:r>
      <w:r>
        <w:t xml:space="preserve"> </w:t>
      </w:r>
      <w:r>
        <w:t xml:space="preserve">This link is intuitive: access to television depends on electrification and urbanization, which are closely tied to luminosity.</w:t>
      </w:r>
    </w:p>
    <w:p>
      <w:pPr>
        <w:pStyle w:val="BodyText"/>
      </w:pPr>
      <w:r>
        <w:t xml:space="preserve">In contrast, socio-cultural participation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w:t>
      </w:r>
      <w:r>
        <w:t xml:space="preserve"> </w:t>
      </w:r>
      <w:r>
        <w:t xml:space="preserve">That is, community-based cultural engagement is stronger in states with less luminosity.</w:t>
      </w:r>
      <w:r>
        <w:t xml:space="preserve"> </w:t>
      </w:r>
      <w:r>
        <w:t xml:space="preserve">This suggests that less urbanized regions rely more on collective, in-person forms of cultural participation rather than on media infrastructure.</w:t>
      </w:r>
    </w:p>
    <w:p>
      <w:pPr>
        <w:pStyle w:val="BodyText"/>
      </w:pPr>
      <w:hyperlink w:anchor="fig-culture-lisa">
        <w:r>
          <w:rPr>
            <w:rStyle w:val="Hyperlink"/>
          </w:rPr>
          <w:t xml:space="preserve">Figure 9</w:t>
        </w:r>
      </w:hyperlink>
      <w:r>
        <w:t xml:space="preserve"> </w:t>
      </w:r>
      <w:r>
        <w:t xml:space="preserve">presents spatial distribution of these two cultural variables through the lens of a LISA analysis.</w:t>
      </w:r>
      <w:r>
        <w:t xml:space="preserve"> </w:t>
      </w:r>
      <w:r>
        <w:t xml:space="preserve">Both dimensions exhibit significant spatial autocorrelation, indicating that cultural participation is not randomly distributed across Indian states.</w:t>
      </w:r>
      <w:r>
        <w:t xml:space="preserve"> </w:t>
      </w:r>
      <w:r>
        <w:t xml:space="preserve">The spatial clustering of cultural telecast broadly mirrors the economic geography distribution.</w:t>
      </w:r>
      <w:r>
        <w:t xml:space="preserve"> </w:t>
      </w:r>
      <w:r>
        <w:t xml:space="preserve">States in the western and southern regions form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3" w:name="fig-culture-lisa"/>
          <w:p>
            <w:pPr>
              <w:pStyle w:val="Compact"/>
              <w:jc w:val="center"/>
            </w:pPr>
            <w:r>
              <w:drawing>
                <wp:inline>
                  <wp:extent cx="5334000" cy="5380315"/>
                  <wp:effectExtent b="0" l="0" r="0" t="0"/>
                  <wp:docPr descr="" title="" id="81" name="Picture"/>
                  <a:graphic>
                    <a:graphicData uri="http://schemas.openxmlformats.org/drawingml/2006/picture">
                      <pic:pic>
                        <pic:nvPicPr>
                          <pic:cNvPr descr="index_files/figure-docx/notebooks-c06_spatial_culture-fig-culture-lisa-output-1.png" id="82" name="Picture"/>
                          <pic:cNvPicPr>
                            <a:picLocks noChangeArrowheads="1" noChangeAspect="1"/>
                          </pic:cNvPicPr>
                        </pic:nvPicPr>
                        <pic:blipFill>
                          <a:blip r:embed="rId80"/>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75">
              <w:r>
                <w:rPr>
                  <w:rStyle w:val="Hyperlink"/>
                </w:rPr>
                <w:t xml:space="preserve">Spatial culture</w:t>
              </w:r>
            </w:hyperlink>
            <w:r>
              <w:t xml:space="preserve"> </w:t>
            </w:r>
            <w:r>
              <w:t xml:space="preserve">notebook for source code.</w:t>
            </w:r>
          </w:p>
          <w:bookmarkEnd w:id="83"/>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dimensions—live cultural performance, cultural heritage and religion, live cultural shows, and sports—show no statistically significant association with luminosity.</w:t>
      </w:r>
      <w:r>
        <w:t xml:space="preserve"> </w:t>
      </w:r>
      <w:r>
        <w:t xml:space="preserve">However, these findings are based on a small cross-section of 32 states observed at a single point in time.</w:t>
      </w:r>
      <w:r>
        <w:t xml:space="preserve"> </w:t>
      </w:r>
      <w:r>
        <w:t xml:space="preserve">Further investigation with larger datasets covering more regions and additional time periods is needed to establish whether these patterns are robust.</w:t>
      </w:r>
    </w:p>
    <w:bookmarkEnd w:id="84"/>
    <w:bookmarkStart w:id="8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especially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5"/>
    <w:bookmarkStart w:id="8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allow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6"/>
    <w:bookmarkStart w:id="8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7"/>
    <w:bookmarkEnd w:id="88"/>
    <w:bookmarkStart w:id="8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broader adoption of reproducible open-science practices.</w:t>
      </w:r>
    </w:p>
    <w:bookmarkEnd w:id="89"/>
    <w:bookmarkStart w:id="90"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90"/>
    <w:bookmarkStart w:id="91" w:name="conflict-of-interest"/>
    <w:p>
      <w:pPr>
        <w:pStyle w:val="Heading2"/>
      </w:pPr>
      <w:r>
        <w:t xml:space="preserve">Conflict of Interest</w:t>
      </w:r>
    </w:p>
    <w:p>
      <w:pPr>
        <w:pStyle w:val="FirstParagraph"/>
      </w:pPr>
      <w:r>
        <w:t xml:space="preserve">The authors declare no conflict of interest.</w:t>
      </w:r>
    </w:p>
    <w:bookmarkEnd w:id="91"/>
    <w:bookmarkStart w:id="185"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The interactive HTML version of this manuscript (</w:t>
      </w:r>
      <w:hyperlink r:id="rId92">
        <w:r>
          <w:rPr>
            <w:rStyle w:val="Hyperlink"/>
          </w:rPr>
          <w:t xml:space="preserve">https://quarcs-lab.github.io/project2025s/</w:t>
        </w:r>
      </w:hyperlink>
      <w:r>
        <w:t xml:space="preserve">) embeds the computational notebooks, allowing readers to inspect the complete analytical pipeline from raw data to published results.</w:t>
      </w:r>
      <w:r>
        <w:t xml:space="preserve"> </w:t>
      </w:r>
      <w:r>
        <w:t xml:space="preserve">All Python and R notebooks can be executed in the cloud using Google Colaboratory without requiring local software installation.</w:t>
      </w:r>
    </w:p>
    <w:bookmarkStart w:id="184" w:name="refs"/>
    <w:bookmarkStart w:id="94"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3">
        <w:r>
          <w:rPr>
            <w:rStyle w:val="Hyperlink"/>
          </w:rPr>
          <w:t xml:space="preserve">https://doi.org/10.1016/j.rse.2018.03.018</w:t>
        </w:r>
      </w:hyperlink>
      <w:r>
        <w:t xml:space="preserve">.</w:t>
      </w:r>
    </w:p>
    <w:bookmarkEnd w:id="94"/>
    <w:bookmarkStart w:id="96"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5">
        <w:r>
          <w:rPr>
            <w:rStyle w:val="Hyperlink"/>
          </w:rPr>
          <w:t xml:space="preserve">https://doi.org/10.1111/ecin.12967</w:t>
        </w:r>
      </w:hyperlink>
      <w:r>
        <w:t xml:space="preserve">.</w:t>
      </w:r>
    </w:p>
    <w:bookmarkEnd w:id="96"/>
    <w:bookmarkStart w:id="98"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7">
        <w:r>
          <w:rPr>
            <w:rStyle w:val="Hyperlink"/>
          </w:rPr>
          <w:t xml:space="preserve">https://quarto.org</w:t>
        </w:r>
      </w:hyperlink>
      <w:r>
        <w:t xml:space="preserve">.</w:t>
      </w:r>
    </w:p>
    <w:bookmarkEnd w:id="98"/>
    <w:bookmarkStart w:id="100"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9">
        <w:r>
          <w:rPr>
            <w:rStyle w:val="Hyperlink"/>
          </w:rPr>
          <w:t xml:space="preserve">https://doi.org/10.1007/978-94-015-7799-1</w:t>
        </w:r>
      </w:hyperlink>
      <w:r>
        <w:t xml:space="preserve">.</w:t>
      </w:r>
    </w:p>
    <w:bookmarkEnd w:id="100"/>
    <w:bookmarkStart w:id="102"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1">
        <w:r>
          <w:rPr>
            <w:rStyle w:val="Hyperlink"/>
          </w:rPr>
          <w:t xml:space="preserve">https://doi.org/10.1111/j.1538-4632.1995.tb00338.x</w:t>
        </w:r>
      </w:hyperlink>
      <w:r>
        <w:t xml:space="preserve">.</w:t>
      </w:r>
    </w:p>
    <w:bookmarkEnd w:id="102"/>
    <w:bookmarkStart w:id="104"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3">
        <w:r>
          <w:rPr>
            <w:rStyle w:val="Hyperlink"/>
          </w:rPr>
          <w:t xml:space="preserve">https://doi.org/10.1257/aer.20180268</w:t>
        </w:r>
      </w:hyperlink>
      <w:r>
        <w:t xml:space="preserve">.</w:t>
      </w:r>
    </w:p>
    <w:bookmarkEnd w:id="104"/>
    <w:bookmarkStart w:id="106"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5">
        <w:r>
          <w:rPr>
            <w:rStyle w:val="Hyperlink"/>
          </w:rPr>
          <w:t xml:space="preserve">https://doi.org/10.1086/261816</w:t>
        </w:r>
      </w:hyperlink>
      <w:r>
        <w:t xml:space="preserve">.</w:t>
      </w:r>
    </w:p>
    <w:bookmarkEnd w:id="106"/>
    <w:bookmarkStart w:id="108"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7">
        <w:r>
          <w:rPr>
            <w:rStyle w:val="Hyperlink"/>
          </w:rPr>
          <w:t xml:space="preserve">https://doi.org/10.1016/j.asieco.2021.101318</w:t>
        </w:r>
      </w:hyperlink>
      <w:r>
        <w:t xml:space="preserve">.</w:t>
      </w:r>
    </w:p>
    <w:bookmarkEnd w:id="108"/>
    <w:bookmarkStart w:id="110"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9">
        <w:r>
          <w:rPr>
            <w:rStyle w:val="Hyperlink"/>
          </w:rPr>
          <w:t xml:space="preserve">https://www.epw.in/journal/2017/25-26/notes/will-gst-exacerbate-regional-divergence.html</w:t>
        </w:r>
      </w:hyperlink>
      <w:r>
        <w:t xml:space="preserve">.</w:t>
      </w:r>
    </w:p>
    <w:bookmarkEnd w:id="110"/>
    <w:bookmarkStart w:id="112"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11">
        <w:r>
          <w:rPr>
            <w:rStyle w:val="Hyperlink"/>
          </w:rPr>
          <w:t xml:space="preserve">https://doi.org/10.1016/j.jmacro.2022.103438</w:t>
        </w:r>
      </w:hyperlink>
      <w:r>
        <w:t xml:space="preserve">.</w:t>
      </w:r>
    </w:p>
    <w:bookmarkEnd w:id="112"/>
    <w:bookmarkStart w:id="114"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3">
        <w:r>
          <w:rPr>
            <w:rStyle w:val="Hyperlink"/>
          </w:rPr>
          <w:t xml:space="preserve">https://doi.org/10.1016/j.worlddev.2020.104961</w:t>
        </w:r>
      </w:hyperlink>
      <w:r>
        <w:t xml:space="preserve">.</w:t>
      </w:r>
    </w:p>
    <w:bookmarkEnd w:id="114"/>
    <w:bookmarkStart w:id="116"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5">
        <w:r>
          <w:rPr>
            <w:rStyle w:val="Hyperlink"/>
          </w:rPr>
          <w:t xml:space="preserve">https://doi.org/10.1073/pnas.1017031108</w:t>
        </w:r>
      </w:hyperlink>
      <w:r>
        <w:t xml:space="preserve">.</w:t>
      </w:r>
    </w:p>
    <w:bookmarkEnd w:id="116"/>
    <w:bookmarkStart w:id="118"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7">
        <w:r>
          <w:rPr>
            <w:rStyle w:val="Hyperlink"/>
          </w:rPr>
          <w:t xml:space="preserve">https://doi.org/10.1007/s12076-024-00375-x</w:t>
        </w:r>
      </w:hyperlink>
      <w:r>
        <w:t xml:space="preserve">.</w:t>
      </w:r>
    </w:p>
    <w:bookmarkEnd w:id="118"/>
    <w:bookmarkStart w:id="120"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9">
        <w:r>
          <w:rPr>
            <w:rStyle w:val="Hyperlink"/>
          </w:rPr>
          <w:t xml:space="preserve">https://doi.org/10.1162/rest_a_00951</w:t>
        </w:r>
      </w:hyperlink>
      <w:r>
        <w:t xml:space="preserve">.</w:t>
      </w:r>
    </w:p>
    <w:bookmarkEnd w:id="120"/>
    <w:bookmarkStart w:id="122"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21">
        <w:r>
          <w:rPr>
            <w:rStyle w:val="Hyperlink"/>
          </w:rPr>
          <w:t xml:space="preserve">https://doi.org/10.1257/jep.30.4.171</w:t>
        </w:r>
      </w:hyperlink>
      <w:r>
        <w:t xml:space="preserve">.</w:t>
      </w:r>
    </w:p>
    <w:bookmarkEnd w:id="122"/>
    <w:bookmarkStart w:id="124"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3">
        <w:r>
          <w:rPr>
            <w:rStyle w:val="Hyperlink"/>
          </w:rPr>
          <w:t xml:space="preserve">https://doi.org/10.1002/jae.3950100404</w:t>
        </w:r>
      </w:hyperlink>
      <w:r>
        <w:t xml:space="preserve">.</w:t>
      </w:r>
    </w:p>
    <w:bookmarkEnd w:id="124"/>
    <w:bookmarkStart w:id="126"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5">
        <w:r>
          <w:rPr>
            <w:rStyle w:val="Hyperlink"/>
          </w:rPr>
          <w:t xml:space="preserve">https://doi.org/10.1080/01431161.2017.1342050</w:t>
        </w:r>
      </w:hyperlink>
      <w:r>
        <w:t xml:space="preserve">.</w:t>
      </w:r>
    </w:p>
    <w:bookmarkEnd w:id="126"/>
    <w:bookmarkStart w:id="128"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7">
        <w:r>
          <w:rPr>
            <w:rStyle w:val="Hyperlink"/>
          </w:rPr>
          <w:t xml:space="preserve">https://doi.org/10.1002/jae.963</w:t>
        </w:r>
      </w:hyperlink>
      <w:r>
        <w:t xml:space="preserve">.</w:t>
      </w:r>
    </w:p>
    <w:bookmarkEnd w:id="128"/>
    <w:bookmarkStart w:id="130"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9">
        <w:r>
          <w:rPr>
            <w:rStyle w:val="Hyperlink"/>
          </w:rPr>
          <w:t xml:space="preserve">https://doi.org/10.1007/s00168-010-0384-6</w:t>
        </w:r>
      </w:hyperlink>
      <w:r>
        <w:t xml:space="preserve">.</w:t>
      </w:r>
    </w:p>
    <w:bookmarkEnd w:id="130"/>
    <w:bookmarkStart w:id="132"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31">
        <w:r>
          <w:rPr>
            <w:rStyle w:val="Hyperlink"/>
          </w:rPr>
          <w:t xml:space="preserve">https://doi.org/10.1016/j.jdeveco.2020.102602</w:t>
        </w:r>
      </w:hyperlink>
      <w:r>
        <w:t xml:space="preserve">.</w:t>
      </w:r>
    </w:p>
    <w:bookmarkEnd w:id="132"/>
    <w:bookmarkStart w:id="134"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3">
        <w:r>
          <w:rPr>
            <w:rStyle w:val="Hyperlink"/>
          </w:rPr>
          <w:t xml:space="preserve">https://doi.org/10.1080/00036846.2024.2439583</w:t>
        </w:r>
      </w:hyperlink>
      <w:r>
        <w:t xml:space="preserve">.</w:t>
      </w:r>
    </w:p>
    <w:bookmarkEnd w:id="134"/>
    <w:bookmarkStart w:id="136"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5">
        <w:r>
          <w:rPr>
            <w:rStyle w:val="Hyperlink"/>
          </w:rPr>
          <w:t xml:space="preserve">https://doi.org/10.1016/j.rse.2017.06.031</w:t>
        </w:r>
      </w:hyperlink>
      <w:r>
        <w:t xml:space="preserve">.</w:t>
      </w:r>
    </w:p>
    <w:bookmarkEnd w:id="136"/>
    <w:bookmarkStart w:id="138"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7">
        <w:r>
          <w:rPr>
            <w:rStyle w:val="Hyperlink"/>
          </w:rPr>
          <w:t xml:space="preserve">https://doi.org/10.1257/aer.102.2.994</w:t>
        </w:r>
      </w:hyperlink>
      <w:r>
        <w:t xml:space="preserve">.</w:t>
      </w:r>
    </w:p>
    <w:bookmarkEnd w:id="138"/>
    <w:bookmarkStart w:id="140"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9">
        <w:r>
          <w:rPr>
            <w:rStyle w:val="Hyperlink"/>
          </w:rPr>
          <w:t xml:space="preserve">https://doi.org/10.1007/s12076-025-00397-z</w:t>
        </w:r>
      </w:hyperlink>
      <w:r>
        <w:t xml:space="preserve">.</w:t>
      </w:r>
    </w:p>
    <w:bookmarkEnd w:id="140"/>
    <w:bookmarkStart w:id="142"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41">
        <w:r>
          <w:rPr>
            <w:rStyle w:val="Hyperlink"/>
          </w:rPr>
          <w:t xml:space="preserve">https://doi.org/10.1126/science.aaf7894</w:t>
        </w:r>
      </w:hyperlink>
      <w:r>
        <w:t xml:space="preserve">.</w:t>
      </w:r>
    </w:p>
    <w:bookmarkEnd w:id="142"/>
    <w:bookmarkStart w:id="144"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3">
        <w:r>
          <w:rPr>
            <w:rStyle w:val="Hyperlink"/>
          </w:rPr>
          <w:t xml:space="preserve">https://doi.org/10.1086/725058</w:t>
        </w:r>
      </w:hyperlink>
      <w:r>
        <w:t xml:space="preserve">.</w:t>
      </w:r>
    </w:p>
    <w:bookmarkEnd w:id="144"/>
    <w:bookmarkStart w:id="146"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5">
        <w:r>
          <w:rPr>
            <w:rStyle w:val="Hyperlink"/>
          </w:rPr>
          <w:t xml:space="preserve">https://doi.org/10.1016/j.worlddev.2014.08.017</w:t>
        </w:r>
      </w:hyperlink>
      <w:r>
        <w:t xml:space="preserve">.</w:t>
      </w:r>
    </w:p>
    <w:bookmarkEnd w:id="146"/>
    <w:bookmarkStart w:id="148"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7">
        <w:r>
          <w:rPr>
            <w:rStyle w:val="Hyperlink"/>
          </w:rPr>
          <w:t xml:space="preserve">https://doi.org/10.1007/s11205-025-03718-3</w:t>
        </w:r>
      </w:hyperlink>
      <w:r>
        <w:t xml:space="preserve">.</w:t>
      </w:r>
    </w:p>
    <w:bookmarkEnd w:id="148"/>
    <w:bookmarkStart w:id="149"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9"/>
    <w:bookmarkStart w:id="151"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50">
        <w:r>
          <w:rPr>
            <w:rStyle w:val="Hyperlink"/>
          </w:rPr>
          <w:t xml:space="preserve">https://doi.org/10.1093/comjnl/27.2.97</w:t>
        </w:r>
      </w:hyperlink>
      <w:r>
        <w:t xml:space="preserve">.</w:t>
      </w:r>
    </w:p>
    <w:bookmarkEnd w:id="151"/>
    <w:bookmarkStart w:id="153"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2">
        <w:r>
          <w:rPr>
            <w:rStyle w:val="Hyperlink"/>
          </w:rPr>
          <w:t xml:space="preserve">https://doi.org/10.1201/9781420064254</w:t>
        </w:r>
      </w:hyperlink>
      <w:r>
        <w:t xml:space="preserve">.</w:t>
      </w:r>
    </w:p>
    <w:bookmarkEnd w:id="153"/>
    <w:bookmarkStart w:id="155"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4">
        <w:r>
          <w:rPr>
            <w:rStyle w:val="Hyperlink"/>
          </w:rPr>
          <w:t xml:space="preserve">https://doi.org/10.1016/j.euroecorev.2016.11.009</w:t>
        </w:r>
      </w:hyperlink>
      <w:r>
        <w:t xml:space="preserve">.</w:t>
      </w:r>
    </w:p>
    <w:bookmarkEnd w:id="155"/>
    <w:bookmarkStart w:id="157"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6">
        <w:r>
          <w:rPr>
            <w:rStyle w:val="Hyperlink"/>
          </w:rPr>
          <w:t xml:space="preserve">https://doi.org/10.1038/s41597-020-0510-y</w:t>
        </w:r>
      </w:hyperlink>
      <w:r>
        <w:t xml:space="preserve">.</w:t>
      </w:r>
    </w:p>
    <w:bookmarkEnd w:id="157"/>
    <w:bookmarkStart w:id="159"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8">
        <w:r>
          <w:rPr>
            <w:rStyle w:val="Hyperlink"/>
          </w:rPr>
          <w:t xml:space="preserve">https://doi.org/10.1371/journal.pone.0139779</w:t>
        </w:r>
      </w:hyperlink>
      <w:r>
        <w:t xml:space="preserve">.</w:t>
      </w:r>
    </w:p>
    <w:bookmarkEnd w:id="159"/>
    <w:bookmarkStart w:id="161"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60">
        <w:r>
          <w:rPr>
            <w:rStyle w:val="Hyperlink"/>
          </w:rPr>
          <w:t xml:space="preserve">https://github.com/quarcs-lab/project2022p</w:t>
        </w:r>
      </w:hyperlink>
      <w:r>
        <w:t xml:space="preserve">.</w:t>
      </w:r>
    </w:p>
    <w:bookmarkEnd w:id="161"/>
    <w:bookmarkStart w:id="163"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2">
        <w:r>
          <w:rPr>
            <w:rStyle w:val="Hyperlink"/>
          </w:rPr>
          <w:t xml:space="preserve">https://doi.org/10.1080/00074918.2022.2071415</w:t>
        </w:r>
      </w:hyperlink>
      <w:r>
        <w:t xml:space="preserve">.</w:t>
      </w:r>
    </w:p>
    <w:bookmarkEnd w:id="163"/>
    <w:bookmarkStart w:id="165"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4">
        <w:r>
          <w:rPr>
            <w:rStyle w:val="Hyperlink"/>
          </w:rPr>
          <w:t xml:space="preserve">https://doi.org/10.2307/2332142</w:t>
        </w:r>
      </w:hyperlink>
      <w:r>
        <w:t xml:space="preserve">.</w:t>
      </w:r>
    </w:p>
    <w:bookmarkEnd w:id="165"/>
    <w:bookmarkStart w:id="167"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6">
        <w:r>
          <w:rPr>
            <w:rStyle w:val="Hyperlink"/>
          </w:rPr>
          <w:t xml:space="preserve">https://doi.org/10.1126/science.1213847</w:t>
        </w:r>
      </w:hyperlink>
      <w:r>
        <w:t xml:space="preserve">.</w:t>
      </w:r>
    </w:p>
    <w:bookmarkEnd w:id="167"/>
    <w:bookmarkStart w:id="169"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8">
        <w:r>
          <w:rPr>
            <w:rStyle w:val="Hyperlink"/>
          </w:rPr>
          <w:t xml:space="preserve">https://doi.org/10.1093/qje/qjw003</w:t>
        </w:r>
      </w:hyperlink>
      <w:r>
        <w:t xml:space="preserve">.</w:t>
      </w:r>
    </w:p>
    <w:bookmarkEnd w:id="169"/>
    <w:bookmarkStart w:id="171"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70">
        <w:r>
          <w:rPr>
            <w:rStyle w:val="Hyperlink"/>
          </w:rPr>
          <w:t xml:space="preserve">https://doi.org/10.2307/2235377</w:t>
        </w:r>
      </w:hyperlink>
      <w:r>
        <w:t xml:space="preserve">.</w:t>
      </w:r>
    </w:p>
    <w:bookmarkEnd w:id="171"/>
    <w:bookmarkStart w:id="173"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2">
        <w:r>
          <w:rPr>
            <w:rStyle w:val="Hyperlink"/>
          </w:rPr>
          <w:t xml:space="preserve">https://doi.org/10.1080/00343409950122945</w:t>
        </w:r>
      </w:hyperlink>
      <w:r>
        <w:t xml:space="preserve">.</w:t>
      </w:r>
    </w:p>
    <w:bookmarkEnd w:id="173"/>
    <w:bookmarkStart w:id="175"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4">
        <w:r>
          <w:rPr>
            <w:rStyle w:val="Hyperlink"/>
          </w:rPr>
          <w:t xml:space="preserve">https://doi.org/10.2307/1884513</w:t>
        </w:r>
      </w:hyperlink>
      <w:r>
        <w:t xml:space="preserve">.</w:t>
      </w:r>
    </w:p>
    <w:bookmarkEnd w:id="175"/>
    <w:bookmarkStart w:id="177"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6">
        <w:r>
          <w:rPr>
            <w:rStyle w:val="Hyperlink"/>
          </w:rPr>
          <w:t xml:space="preserve">https://doi.org/10.1016/j.isprsjprs.2020.04.001</w:t>
        </w:r>
      </w:hyperlink>
      <w:r>
        <w:t xml:space="preserve">.</w:t>
      </w:r>
    </w:p>
    <w:bookmarkEnd w:id="177"/>
    <w:bookmarkStart w:id="179"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8">
        <w:r>
          <w:rPr>
            <w:rStyle w:val="Hyperlink"/>
          </w:rPr>
          <w:t xml:space="preserve">https://doi.org/10.1080/13547860.2022.2041286</w:t>
        </w:r>
      </w:hyperlink>
      <w:r>
        <w:t xml:space="preserve">.</w:t>
      </w:r>
    </w:p>
    <w:bookmarkEnd w:id="179"/>
    <w:bookmarkStart w:id="181"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80">
        <w:r>
          <w:rPr>
            <w:rStyle w:val="Hyperlink"/>
          </w:rPr>
          <w:t xml:space="preserve">https://doi.org/10.1111/polp.70050</w:t>
        </w:r>
      </w:hyperlink>
      <w:r>
        <w:t xml:space="preserve">.</w:t>
      </w:r>
    </w:p>
    <w:bookmarkEnd w:id="181"/>
    <w:bookmarkStart w:id="183"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2">
        <w:r>
          <w:rPr>
            <w:rStyle w:val="Hyperlink"/>
          </w:rPr>
          <w:t xml:space="preserve">https://doi.org/10.1007/s00168-022-01168-0</w:t>
        </w:r>
      </w:hyperlink>
      <w:r>
        <w:t xml:space="preserve">.</w:t>
      </w:r>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 Type="http://schemas.openxmlformats.org/officeDocument/2006/relationships/hyperlink" Id="rId75" Target="notebooks/c06_spatial_culture.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 Type="http://schemas.openxmlformats.org/officeDocument/2006/relationships/hyperlink" Id="rId75" Target="notebooks/c06_spatial_culture.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2026-04-12T08:48:25Z</dcterms:created>
  <dcterms:modified xsi:type="dcterms:W3CDTF">2026-04-12T08:48:25Z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