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ucqnbc5r3jsx" w:id="0"/>
      <w:bookmarkEnd w:id="0"/>
      <w:r w:rsidDel="00000000" w:rsidR="00000000" w:rsidRPr="00000000">
        <w:rPr>
          <w:rtl w:val="0"/>
        </w:rPr>
        <w:t xml:space="preserve">Список срезов верхнего уровня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9dsdv5abauz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Базовые демографические срезы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1023622047246"/>
        <w:gridCol w:w="3922.365283286958"/>
        <w:gridCol w:w="3298.04416553194"/>
        <w:tblGridChange w:id="0">
          <w:tblGrid>
            <w:gridCol w:w="1805.1023622047246"/>
            <w:gridCol w:w="3922.365283286958"/>
            <w:gridCol w:w="3298.0441655319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Срез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Что показывает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Пример вопроса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Возрастные группы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Распределение риска по возрасту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“Какой средний риск у пациентов 60–70 лет?”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Различия в риске между мужчинами и женщинами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“Рак легкого чаще у мужчин, а колоректальный распределен равномерно?”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Регион / тип учреждения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Разница между уровнями и локациями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“В первичном звене риск систематически ниже?”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Клинико-лабораторные срезы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1023622047246"/>
        <w:gridCol w:w="3922.365283286958"/>
        <w:gridCol w:w="3298.04416553194"/>
        <w:tblGridChange w:id="0">
          <w:tblGrid>
            <w:gridCol w:w="1805.1023622047246"/>
            <w:gridCol w:w="3922.365283286958"/>
            <w:gridCol w:w="3298.0441655319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Срез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Что показывает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Важность для НМИЦ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Уровень глюкозы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Связь гипергликемии / диабета с риском рака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 (фактор №3–5)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Частота дыхания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Маркер скрытой лёгочной патологии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 (топ-5 для C34)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Частота визитов к терапевту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Прокси тяжести состояния / коморбидности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Очень высокая (№2 для C34)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Анемия (HGB &lt; 120)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Риск колоректального рака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Гипертензия / препараты от давления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Коморбидный фон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Поведенческие и анамнестические срезы</w:t>
      </w:r>
    </w:p>
    <w:tbl>
      <w:tblPr>
        <w:tblStyle w:val="Table3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4335"/>
        <w:tblGridChange w:id="0">
          <w:tblGrid>
            <w:gridCol w:w="1995"/>
            <w:gridCol w:w="43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Срез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Что показывает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Курение (да/нет)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Базовый фактор риска рака легкого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Контроль гипертонии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Есть ли препараты / нет: снижается ли риск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Контроль диабета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Препараты для снижения сахара - защитный фактор?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Наличие тревожности/ депрессии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Психосоматический фактор (был в анкетировании пациента 1580)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Срезы по динамике / траекториям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1023622047246"/>
        <w:gridCol w:w="3922.365283286958"/>
        <w:gridCol w:w="3298.04416553194"/>
        <w:tblGridChange w:id="0">
          <w:tblGrid>
            <w:gridCol w:w="1805.1023622047246"/>
            <w:gridCol w:w="3922.365283286958"/>
            <w:gridCol w:w="3298.0441655319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Стабильный / растущий риск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 каких пациентов риск быстро увеличивается от 1 к 3 году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риск 3г - риск 1г) / риск 1г &gt; 0.3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Резкий скачок в первый год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Группа раннего риска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риск 1г &gt; 60%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Позднее проявление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Риск низкий в 1 год, высокий в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риск 1г &lt; 30% и риск 3г &gt; 50%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Срезы по достаточности данных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1023622047246"/>
        <w:gridCol w:w="3922.365283286958"/>
        <w:gridCol w:w="3298.04416553194"/>
        <w:tblGridChange w:id="0">
          <w:tblGrid>
            <w:gridCol w:w="1805.1023622047246"/>
            <w:gridCol w:w="3922.365283286958"/>
            <w:gridCol w:w="3298.0441655319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Срез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Что показывает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Практический смысл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Полнота данных &lt;50% /  &gt;80%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Насколько падает точность при разреженных данных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Обоснование требования к 70%+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Группа с отсутствием ключевого признака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Какие признаки критически влияют на риск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Например, пациенты без замера глюкозы. У них риск занижен?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Сравнительные срезы</w:t>
      </w:r>
    </w:p>
    <w:tbl>
      <w:tblPr>
        <w:tblStyle w:val="Table6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4335"/>
        <w:tblGridChange w:id="0">
          <w:tblGrid>
            <w:gridCol w:w="1995"/>
            <w:gridCol w:w="43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Срез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Что показывает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Категория риска модели / исход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Сколько пациентов с высоким риском действительно заболели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Ложноположительные срабатывания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 каких подгрупп модель ошибается чаще (например, молодые с диабетом)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Ложноотрицательные пропуски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Какие признаки были нормальными, но пациент заболел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