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F5496"/>
          <w:sz w:val="40"/>
          <w:szCs w:val="40"/>
        </w:rPr>
        <w:t xml:space="preserve">SageReasoning.com</w:t>
      </w:r>
    </w:p>
    <w:p>
      <w:pPr>
        <w:spacing w:after="120"/>
        <w:jc w:val="center"/>
      </w:pPr>
      <w:r>
        <w:rPr>
          <w:rFonts w:ascii="Arial" w:cs="Arial" w:eastAsia="Arial" w:hAnsi="Arial"/>
          <w:color w:val="2F5496"/>
          <w:sz w:val="32"/>
          <w:szCs w:val="32"/>
        </w:rPr>
        <w:t xml:space="preserve">Break-Even Analysis &amp; Investment Decision</w:t>
      </w:r>
    </w:p>
    <w:p>
      <w:pPr>
        <w:spacing w:after="120"/>
        <w:jc w:val="center"/>
      </w:pPr>
      <w:r>
        <w:rPr>
          <w:rFonts w:ascii="Arial" w:cs="Arial" w:eastAsia="Arial" w:hAnsi="Arial"/>
          <w:i/>
          <w:iCs/>
          <w:color w:val="666666"/>
          <w:sz w:val="24"/>
          <w:szCs w:val="24"/>
        </w:rPr>
        <w:t xml:space="preserve">Does the return warrant the investment?</w:t>
      </w:r>
    </w:p>
    <w:p>
      <w:pPr>
        <w:spacing w:after="480"/>
        <w:jc w:val="center"/>
      </w:pPr>
      <w:r>
        <w:rPr>
          <w:rFonts w:ascii="Arial" w:cs="Arial" w:eastAsia="Arial" w:hAnsi="Arial"/>
          <w:color w:val="808080"/>
          <w:sz w:val="20"/>
          <w:szCs w:val="20"/>
        </w:rPr>
        <w:t xml:space="preserve">March 2026 | Prepared for Clinton Aitkenhead</w:t>
      </w:r>
    </w:p>
    <w:p>
      <w:pPr>
        <w:pStyle w:val="Heading1"/>
      </w:pPr>
      <w:r>
        <w:rPr>
          <w:rFonts w:ascii="Arial" w:cs="Arial" w:eastAsia="Arial" w:hAnsi="Arial"/>
        </w:rPr>
        <w:t xml:space="preserve">1. The Bottom Line</w:t>
      </w:r>
    </w:p>
    <w:p>
      <w:pPr>
        <w:spacing w:after="120"/>
      </w:pPr>
      <w:r>
        <w:rPr>
          <w:rFonts w:ascii="Arial" w:cs="Arial" w:eastAsia="Arial" w:hAnsi="Arial"/>
          <w:sz w:val="22"/>
          <w:szCs w:val="22"/>
        </w:rPr>
        <w:t xml:space="preserve">This analysis answers a specific question: given the new tier architecture (free 11-assessment Foundational Check vs paid 37-assessment Full Alignment), does the projected revenue justify the upfront and ongoing costs of launching SageReasoning as a registered business?</w:t>
      </w:r>
    </w:p>
    <w:p>
      <w:pPr>
        <w:spacing w:after="120"/>
      </w:pPr>
      <w:r>
        <w:rPr>
          <w:rFonts w:ascii="Arial" w:cs="Arial" w:eastAsia="Arial" w:hAnsi="Arial"/>
          <w:b/>
          <w:bCs/>
          <w:sz w:val="22"/>
          <w:szCs w:val="22"/>
        </w:rPr>
        <w:t xml:space="preserve">Short answer: Yes, but with conditions.</w:t>
      </w:r>
    </w:p>
    <w:p>
      <w:pPr>
        <w:spacing w:after="120"/>
      </w:pPr>
      <w:r>
        <w:rPr>
          <w:rFonts w:ascii="Arial" w:cs="Arial" w:eastAsia="Arial" w:hAnsi="Arial"/>
          <w:sz w:val="22"/>
          <w:szCs w:val="22"/>
        </w:rPr>
        <w:t xml:space="preserve">The total upfront investment is $5,674 (AUD). Maximum capital at risk over six months of losses is $7,348. These are modest figures for a business with genuine product differentiation and multiple revenue streams. The base case shows monthly profitability by Month 6 and full payback of all invested capital by approximately Month 14. However, the bear case shows the business still losing $192/month at Month 12, meaning there is a real scenario where it does not break even within the first year.</w:t>
      </w:r>
    </w:p>
    <w:p>
      <w:pPr>
        <w:spacing w:after="120"/>
      </w:pPr>
      <w:r>
        <w:rPr>
          <w:rFonts w:ascii="Arial" w:cs="Arial" w:eastAsia="Arial" w:hAnsi="Arial"/>
          <w:sz w:val="22"/>
          <w:szCs w:val="22"/>
        </w:rPr>
        <w:t xml:space="preserve">The critical variable is not the human subscriber count. It is agent developer adoption. The entire financial model pivots on whether AI developers discover, evaluate, and pay for the scoring API. If they do, even modest adoption (5-10 paid developers at 2,000 calls/month) transforms the economics. If they do not, the business becomes dependent on accumulating 41 Prokoptos subscribers at $7/month through organic growth alone, which is achievable but slow.</w:t>
      </w:r>
    </w:p>
    <w:p>
      <w:pPr>
        <w:pStyle w:val="Heading1"/>
      </w:pPr>
      <w:r>
        <w:rPr>
          <w:rFonts w:ascii="Arial" w:cs="Arial" w:eastAsia="Arial" w:hAnsi="Arial"/>
        </w:rPr>
        <w:t xml:space="preserve">2. What You Are Investing</w:t>
      </w:r>
    </w:p>
    <w:p>
      <w:pPr>
        <w:pStyle w:val="Heading2"/>
      </w:pPr>
      <w:r>
        <w:rPr>
          <w:rFonts w:ascii="Arial" w:cs="Arial" w:eastAsia="Arial" w:hAnsi="Arial"/>
        </w:rPr>
        <w:t xml:space="preserve">2.1 Upfront Costs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Cost (AUD)</w:t>
            </w:r>
          </w:p>
        </w:tc>
        <w:tc>
          <w:tcPr>
            <w:tcW w:type="dxa" w:w="3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Pty Ltd Registration (ASIC)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Mandatory for liability protection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Name Registration (3yr)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trading name differs from company name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Review (Terms + Privacy)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$3,500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assumption. Could be $2,000-$5,000.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 + Cyber Insurance (Year 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Midpoint of $900-$2,000 range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Director ID, Domain, Stripe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Already owned or free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 UPFRONT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$5,674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120"/>
      </w:pPr>
      <w:r>
        <w:rPr>
          <w:rFonts w:ascii="Arial" w:cs="Arial" w:eastAsia="Arial" w:hAnsi="Arial"/>
          <w:sz w:val="22"/>
          <w:szCs w:val="22"/>
        </w:rPr>
        <w:t xml:space="preserve">The two yellow-highlighted items (legal review and insurance) account for 88% of the upfront cost and carry the most uncertainty. If you find a technology lawyer at the lower end ($2,000), total upfront drops to $4,174. If insurance comes in at the high end ($2,000), it rises to $6,174. The range is $4,174 to $6,174 depending on these two quotes.</w:t>
      </w:r>
    </w:p>
    <w:p>
      <w:pPr>
        <w:pStyle w:val="Heading2"/>
      </w:pPr>
      <w:r>
        <w:rPr>
          <w:rFonts w:ascii="Arial" w:cs="Arial" w:eastAsia="Arial" w:hAnsi="Arial"/>
        </w:rPr>
        <w:t xml:space="preserve">2.2 Monthly Fixed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8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Monthly (AUD)</w:t>
            </w:r>
          </w:p>
        </w:tc>
        <w:tc>
          <w:tcPr>
            <w:tcW w:type="dxa" w:w="268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Vercel Hosting (Pro)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(Pro)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Accounting Software (Xero)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Insurance (amortised)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ASIC Annual Fee (amortised)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 + Miscellaneous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 MONTHLY FIXED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$279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$3,348</w:t>
            </w:r>
          </w:p>
        </w:tc>
      </w:tr>
    </w:tbl>
    <w:p>
      <w:pPr>
        <w:spacing w:after="120"/>
      </w:pPr>
      <w:r>
        <w:rPr>
          <w:rFonts w:ascii="Arial" w:cs="Arial" w:eastAsia="Arial" w:hAnsi="Arial"/>
          <w:sz w:val="22"/>
          <w:szCs w:val="22"/>
        </w:rPr>
        <w:t xml:space="preserve">At $279/month in fixed costs, the burn rate is low. This is one of the strongest aspects of the business model: infrastructure costs are modest because the product is already built and hosting is usage-based.</w:t>
      </w:r>
    </w:p>
    <w:p>
      <w:pPr>
        <w:pStyle w:val="Heading1"/>
      </w:pPr>
      <w:r>
        <w:rPr>
          <w:rFonts w:ascii="Arial" w:cs="Arial" w:eastAsia="Arial" w:hAnsi="Arial"/>
        </w:rPr>
        <w:t xml:space="preserve">3. Break-Even Analysis</w:t>
      </w:r>
    </w:p>
    <w:p>
      <w:pPr>
        <w:spacing w:after="120"/>
      </w:pPr>
      <w:r>
        <w:rPr>
          <w:rFonts w:ascii="Arial" w:cs="Arial" w:eastAsia="Arial" w:hAnsi="Arial"/>
          <w:sz w:val="22"/>
          <w:szCs w:val="22"/>
        </w:rPr>
        <w:t xml:space="preserve">Three break-even scenarios show how different revenue mixes affect the path to sustainability.</w:t>
      </w:r>
    </w:p>
    <w:p>
      <w:pPr>
        <w:pStyle w:val="Heading2"/>
      </w:pPr>
      <w:r>
        <w:rPr>
          <w:rFonts w:ascii="Arial" w:cs="Arial" w:eastAsia="Arial" w:hAnsi="Arial"/>
        </w:rPr>
        <w:t xml:space="preserve">3.1 Scenario A: Prokoptos Subscriptions Only</w:t>
      </w:r>
    </w:p>
    <w:p>
      <w:pPr>
        <w:spacing w:after="120"/>
      </w:pPr>
      <w:r>
        <w:rPr>
          <w:rFonts w:ascii="Arial" w:cs="Arial" w:eastAsia="Arial" w:hAnsi="Arial"/>
          <w:sz w:val="22"/>
          <w:szCs w:val="22"/>
        </w:rPr>
        <w:t xml:space="preserve">If the only revenue comes from human Prokoptos subscribers at $7/month (net $6.86 after Stripe fees), break-even requires 41 paid subscribers. At a 5% free-to-paid conversion rate, that requires 820 registered users. The base case projects reaching 820 registered users by Month 9, meaning this path alone takes approximately 9 months to achieve break-even on monthly costs, and does not recoup the upfront investment within Year 1.</w:t>
      </w:r>
    </w:p>
    <w:p>
      <w:pPr>
        <w:spacing w:after="120"/>
      </w:pPr>
      <w:r>
        <w:rPr>
          <w:rFonts w:ascii="Arial" w:cs="Arial" w:eastAsia="Arial" w:hAnsi="Arial"/>
          <w:b/>
          <w:bCs/>
          <w:sz w:val="22"/>
          <w:szCs w:val="22"/>
        </w:rPr>
        <w:t xml:space="preserve">Verdict: Achievable but slow. This is the floor, not the plan.</w:t>
      </w:r>
    </w:p>
    <w:p>
      <w:pPr>
        <w:pStyle w:val="Heading2"/>
      </w:pPr>
      <w:r>
        <w:rPr>
          <w:rFonts w:ascii="Arial" w:cs="Arial" w:eastAsia="Arial" w:hAnsi="Arial"/>
        </w:rPr>
        <w:t xml:space="preserve">3.2 Scenario B: Prokoptos + 5 Paid Agent Developers</w:t>
      </w:r>
    </w:p>
    <w:p>
      <w:pPr>
        <w:spacing w:after="120"/>
      </w:pPr>
      <w:r>
        <w:rPr>
          <w:rFonts w:ascii="Arial" w:cs="Arial" w:eastAsia="Arial" w:hAnsi="Arial"/>
          <w:sz w:val="22"/>
          <w:szCs w:val="22"/>
        </w:rPr>
        <w:t xml:space="preserve">If five agent developers convert to paid API keys at 2,000 calls/month each, they generate $75/month in gross margin (at $0.0075 margin per call). This reduces the remaining fixed costs to $204/month, requiring only 30 Prokoptos subscribers instead of 41. More importantly, every additional paid agent developer beyond five accelerates break-even significantly.</w:t>
      </w:r>
    </w:p>
    <w:p>
      <w:pPr>
        <w:spacing w:after="120"/>
      </w:pPr>
      <w:r>
        <w:rPr>
          <w:rFonts w:ascii="Arial" w:cs="Arial" w:eastAsia="Arial" w:hAnsi="Arial"/>
          <w:b/>
          <w:bCs/>
          <w:sz w:val="22"/>
          <w:szCs w:val="22"/>
        </w:rPr>
        <w:t xml:space="preserve">Verdict: The blended model is the realistic path. Even modest agent adoption materially changes the math.</w:t>
      </w:r>
    </w:p>
    <w:p>
      <w:pPr>
        <w:pStyle w:val="Heading2"/>
      </w:pPr>
      <w:r>
        <w:rPr>
          <w:rFonts w:ascii="Arial" w:cs="Arial" w:eastAsia="Arial" w:hAnsi="Arial"/>
        </w:rPr>
        <w:t xml:space="preserve">3.3 Scenario C: API Revenue Only</w:t>
      </w:r>
    </w:p>
    <w:p>
      <w:pPr>
        <w:spacing w:after="120"/>
      </w:pPr>
      <w:r>
        <w:rPr>
          <w:rFonts w:ascii="Arial" w:cs="Arial" w:eastAsia="Arial" w:hAnsi="Arial"/>
          <w:sz w:val="22"/>
          <w:szCs w:val="22"/>
        </w:rPr>
        <w:t xml:space="preserve">If revenue comes entirely from agent API calls (no human subscriptions), break-even requires 37,200 API calls/month, equivalent to 19 paid developers at 2,000 calls/month each. This is unlikely in Year 1 but demonstrates the ceiling: API revenue scales faster than subscriptions once adoption occurs.</w:t>
      </w:r>
    </w:p>
    <w:p>
      <w:pPr>
        <w:pStyle w:val="Heading1"/>
      </w:pPr>
      <w:r>
        <w:rPr>
          <w:rFonts w:ascii="Arial" w:cs="Arial" w:eastAsia="Arial" w:hAnsi="Arial"/>
        </w:rPr>
        <w:t xml:space="preserve">4. Critical Correction: API Gross Margin</w:t>
      </w:r>
    </w:p>
    <w:p>
      <w:pPr>
        <w:spacing w:after="120"/>
      </w:pPr>
      <w:r>
        <w:rPr>
          <w:rFonts w:ascii="Arial" w:cs="Arial" w:eastAsia="Arial" w:hAnsi="Arial"/>
          <w:sz w:val="22"/>
          <w:szCs w:val="22"/>
        </w:rPr>
        <w:t xml:space="preserve">The existing Revenue Strategy Research document states that pricing at 150% of Anthropic API cost provides a 50% gross margin. This is incorrect. The correct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 API cost per call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Sonnet scoring prompt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per call (150% of cost)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$0.015 x 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Gross margin per call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$0.0225 - $0.015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Gross margin percentage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33.3%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NOT 50% as stated in business plan</w:t>
            </w:r>
          </w:p>
        </w:tc>
      </w:tr>
    </w:tbl>
    <w:p>
      <w:pPr>
        <w:spacing w:after="120"/>
      </w:pPr>
      <w:r>
        <w:rPr>
          <w:rFonts w:ascii="Arial" w:cs="Arial" w:eastAsia="Arial" w:hAnsi="Arial"/>
          <w:sz w:val="22"/>
          <w:szCs w:val="22"/>
        </w:rPr>
        <w:t xml:space="preserve">To achieve a true 50% gross margin, pricing would need to be 200% of API cost ($0.030 per call). At the current 150% markup, each API call generates only $0.0075 in gross margin. This means a paid developer making 2,000 calls/month generates $15/month in gross margin, not $22.50 as a 50% margin would imply.</w:t>
      </w:r>
    </w:p>
    <w:p>
      <w:pPr>
        <w:spacing w:after="120"/>
      </w:pPr>
      <w:r>
        <w:rPr>
          <w:rFonts w:ascii="Arial" w:cs="Arial" w:eastAsia="Arial" w:hAnsi="Arial"/>
          <w:b/>
          <w:bCs/>
          <w:sz w:val="22"/>
          <w:szCs w:val="22"/>
        </w:rPr>
        <w:t xml:space="preserve">Recommendation: Either increase the API markup to 200% of cost (still competitive for an ethical reasoning API with no alternatives) or update the business plan to reflect the actual 33% margin. The model in this document uses the actual 33% figure.</w:t>
      </w:r>
    </w:p>
    <w:p>
      <w:r>
        <w:br w:type="page"/>
      </w:r>
    </w:p>
    <w:p>
      <w:pPr>
        <w:pStyle w:val="Heading1"/>
      </w:pPr>
      <w:r>
        <w:rPr>
          <w:rFonts w:ascii="Arial" w:cs="Arial" w:eastAsia="Arial" w:hAnsi="Arial"/>
        </w:rPr>
        <w:t xml:space="preserve">5. Impact of the New Tier Architecture on Conversion</w:t>
      </w:r>
    </w:p>
    <w:p>
      <w:pPr>
        <w:spacing w:after="120"/>
      </w:pPr>
      <w:r>
        <w:rPr>
          <w:rFonts w:ascii="Arial" w:cs="Arial" w:eastAsia="Arial" w:hAnsi="Arial"/>
          <w:sz w:val="22"/>
          <w:szCs w:val="22"/>
        </w:rPr>
        <w:t xml:space="preserve">The single most important change to revenue projections is the new tier architecture documented in Agent_Assessment_Tier_Architecture.docx. Here is what changed and why it matters financially:</w:t>
      </w:r>
    </w:p>
    <w:p>
      <w:pPr>
        <w:pStyle w:val="Heading2"/>
      </w:pPr>
      <w:r>
        <w:rPr>
          <w:rFonts w:ascii="Arial" w:cs="Arial" w:eastAsia="Arial" w:hAnsi="Arial"/>
        </w:rPr>
        <w:t xml:space="preserve">5.1 Old Model (Deposit Before Value)</w:t>
      </w:r>
    </w:p>
    <w:p>
      <w:pPr>
        <w:spacing w:after="120"/>
      </w:pPr>
      <w:r>
        <w:rPr>
          <w:rFonts w:ascii="Arial" w:cs="Arial" w:eastAsia="Arial" w:hAnsi="Arial"/>
          <w:sz w:val="22"/>
          <w:szCs w:val="22"/>
        </w:rPr>
        <w:t xml:space="preserve">The original onboarding flow required a payment or deposit before an agent could experience any assessment value. The AX research (SageReasoning_Onboarding_AX_Research.docx) identified this as the primary conversion risk. Industry data on developer API products shows that payment-before-value flows typically convert at 2-3% of registered users.</w:t>
      </w:r>
    </w:p>
    <w:p>
      <w:pPr>
        <w:pStyle w:val="Heading2"/>
      </w:pPr>
      <w:r>
        <w:rPr>
          <w:rFonts w:ascii="Arial" w:cs="Arial" w:eastAsia="Arial" w:hAnsi="Arial"/>
        </w:rPr>
        <w:t xml:space="preserve">5.2 New Model (Value First, Then Payment)</w:t>
      </w:r>
    </w:p>
    <w:p>
      <w:pPr>
        <w:spacing w:after="120"/>
      </w:pPr>
      <w:r>
        <w:rPr>
          <w:rFonts w:ascii="Arial" w:cs="Arial" w:eastAsia="Arial" w:hAnsi="Arial"/>
          <w:sz w:val="22"/>
          <w:szCs w:val="22"/>
        </w:rPr>
        <w:t xml:space="preserve">The new architecture splits the 37-assessment framework into two tiers. The free Foundational Alignment Check (Phases 1-2, 11 assessments) runs as a single API call within the free tier limit. It produces a meaningful, standalone result: a foundational alignment score, tier placement, and driver analysis. The paid Full Virtue Alignment Assessment (all 7 phases, 37 assessments) unlocks individual virtue scores, all 16 sub-virtue analyses, weighted composite scoring, gap identification, and improvement direction.</w:t>
      </w:r>
    </w:p>
    <w:p>
      <w:pPr>
        <w:pStyle w:val="Heading2"/>
      </w:pPr>
      <w:r>
        <w:rPr>
          <w:rFonts w:ascii="Arial" w:cs="Arial" w:eastAsia="Arial" w:hAnsi="Arial"/>
        </w:rPr>
        <w:t xml:space="preserve">5.3 Projected Conversion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Old Model</w:t>
            </w:r>
          </w:p>
        </w:tc>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New Model</w:t>
            </w:r>
          </w:p>
        </w:tc>
        <w:tc>
          <w:tcPr>
            <w:tcW w:type="dxa" w:w="2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conversion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 to first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payment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Immediate (free tier)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Eliminates #1 friction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CTA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Generic upsell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Personalised to agent's 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Higher intent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Developer evaluation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deposit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Zero-risk trial</w:t>
            </w:r>
          </w:p>
        </w:tc>
      </w:tr>
    </w:tbl>
    <w:p>
      <w:pPr>
        <w:spacing w:after="120"/>
      </w:pPr>
      <w:r>
        <w:rPr>
          <w:rFonts w:ascii="Arial" w:cs="Arial" w:eastAsia="Arial" w:hAnsi="Arial"/>
          <w:sz w:val="22"/>
          <w:szCs w:val="22"/>
        </w:rPr>
        <w:t xml:space="preserve">This 3-4x improvement in agent conversion is the single largest driver of improved revenue projections compared to the original business plan. At 8% conversion on 340 registered agent developers, the base case projects 27 paid agent developers by Month 12. At the old 2-3% rate, that would be only 7-10 paid developers, cutting API revenue by roughly 60%.</w:t>
      </w:r>
    </w:p>
    <w:p>
      <w:pPr>
        <w:pStyle w:val="Heading1"/>
      </w:pPr>
      <w:r>
        <w:rPr>
          <w:rFonts w:ascii="Arial" w:cs="Arial" w:eastAsia="Arial" w:hAnsi="Arial"/>
        </w:rPr>
        <w:t xml:space="preserve">6. Twelve-Month Base Case Projection</w:t>
      </w:r>
    </w:p>
    <w:p>
      <w:pPr>
        <w:spacing w:after="120"/>
      </w:pPr>
      <w:r>
        <w:rPr>
          <w:rFonts w:ascii="Arial" w:cs="Arial" w:eastAsia="Arial" w:hAnsi="Arial"/>
          <w:sz w:val="22"/>
          <w:szCs w:val="22"/>
        </w:rPr>
        <w:t xml:space="preserve">The base case uses conservative organic growth assumptions: no paid advertising, no viral moments, steady community building per the Growth Strategy document. Full details are in the accompanying spreadsheet (SageReasoning_BreakEven_Analysis.xlsx).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38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Key Numbers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Prokoptos subscriber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subscriber, $7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paid agent developer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developer, $45 API revenue</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Monthly break-even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Month 6</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Rev $583 &gt; Cost $561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licensing begins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+$500/month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12 revenue run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$2,585/month ($31K annualised)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1 total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year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$11,808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1 total costs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year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$8,059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Year 1 net (excl. upfront)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Full year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+$3,749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Cumulative position at Month 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-$1,925 (upfront not yet recouped)</w:t>
            </w:r>
          </w:p>
        </w:tc>
      </w:tr>
    </w:tbl>
    <w:p>
      <w:pPr>
        <w:spacing w:after="120"/>
      </w:pPr>
      <w:r>
        <w:rPr>
          <w:rFonts w:ascii="Arial" w:cs="Arial" w:eastAsia="Arial" w:hAnsi="Arial"/>
          <w:sz w:val="22"/>
          <w:szCs w:val="22"/>
        </w:rPr>
        <w:t xml:space="preserve">The base case generates $3,749 more revenue than costs in Year 1, but the $5,674 upfront investment means the cumulative position is still -$1,925 at Month 12. Full payback of all capital occurs at approximately Month 14.</w:t>
      </w:r>
    </w:p>
    <w:p>
      <w:pPr>
        <w:pStyle w:val="Heading1"/>
      </w:pPr>
      <w:r>
        <w:rPr>
          <w:rFonts w:ascii="Arial" w:cs="Arial" w:eastAsia="Arial" w:hAnsi="Arial"/>
        </w:rPr>
        <w:t xml:space="preserve">7. Scenario Comparison</w:t>
      </w:r>
    </w:p>
    <w:p>
      <w:pPr>
        <w:spacing w:after="120"/>
      </w:pPr>
      <w:r>
        <w:rPr>
          <w:rFonts w:ascii="Arial" w:cs="Arial" w:eastAsia="Arial" w:hAnsi="Arial"/>
          <w:sz w:val="22"/>
          <w:szCs w:val="22"/>
        </w:rPr>
        <w:t xml:space="preserve">Three scenarios bracket the range of outcomes at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Bear Case</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22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Bull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Registered humans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developers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Paid agent developers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12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$2,055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$16,600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12 costs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$1,189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$9,379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12 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-$192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+$866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+$7,221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Annualised run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$24,660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$199,200</w:t>
            </w:r>
          </w:p>
        </w:tc>
      </w:tr>
    </w:tbl>
    <w:p>
      <w:pPr>
        <w:spacing w:after="120"/>
      </w:pPr>
      <w:r>
        <w:rPr>
          <w:rFonts w:ascii="Arial" w:cs="Arial" w:eastAsia="Arial" w:hAnsi="Arial"/>
          <w:sz w:val="22"/>
          <w:szCs w:val="22"/>
        </w:rPr>
        <w:t xml:space="preserve">The bear case represents a world where MCP server registration generates minimal traffic, Hacker News and Product Hunt posts get limited attention, and the Stoic community is slow to adopt. Even in this case, the total money lost is modest: roughly $7,348 in maximum capital at risk (upfront costs plus six months of losses).</w:t>
      </w:r>
    </w:p>
    <w:p>
      <w:pPr>
        <w:spacing w:after="120"/>
      </w:pPr>
      <w:r>
        <w:rPr>
          <w:rFonts w:ascii="Arial" w:cs="Arial" w:eastAsia="Arial" w:hAnsi="Arial"/>
          <w:sz w:val="22"/>
          <w:szCs w:val="22"/>
        </w:rPr>
        <w:t xml:space="preserve">The bull case represents a world where one piece of content goes moderately viral in the AI developer community, the MCP server gets traction on Smithery, and 2-3 enterprise customers sign up by Month 9. The $199K annualised run rate at that point would represent a meaningful solo-founder business.</w:t>
      </w:r>
    </w:p>
    <w:p>
      <w:pPr>
        <w:pStyle w:val="Heading1"/>
      </w:pPr>
      <w:r>
        <w:rPr>
          <w:rFonts w:ascii="Arial" w:cs="Arial" w:eastAsia="Arial" w:hAnsi="Arial"/>
        </w:rPr>
        <w:t xml:space="preserve">8. Risks That Could Invalidate This Analysis</w:t>
      </w:r>
    </w:p>
    <w:p>
      <w:pPr>
        <w:pStyle w:val="Heading2"/>
      </w:pPr>
      <w:r>
        <w:rPr>
          <w:rFonts w:ascii="Arial" w:cs="Arial" w:eastAsia="Arial" w:hAnsi="Arial"/>
        </w:rPr>
        <w:t xml:space="preserve">8.1 Demand Risk (Highest Impact)</w:t>
      </w:r>
    </w:p>
    <w:p>
      <w:pPr>
        <w:spacing w:after="120"/>
      </w:pPr>
      <w:r>
        <w:rPr>
          <w:rFonts w:ascii="Arial" w:cs="Arial" w:eastAsia="Arial" w:hAnsi="Arial"/>
          <w:sz w:val="22"/>
          <w:szCs w:val="22"/>
        </w:rPr>
        <w:t xml:space="preserve">The PMF assessment document states it clearly: there is no validated evidence that AI agent developers want virtue-based reasoning. The entire financial model rests on an untested assumption. If the demand does not exist, no amount of marketing will generate agent API revenue. Mitigation: the Growth Strategy recommends validating with 10 real agent developers before scaling marketing spend. This costs nothing and should happen in Month 1.</w:t>
      </w:r>
    </w:p>
    <w:p>
      <w:pPr>
        <w:pStyle w:val="Heading2"/>
      </w:pPr>
      <w:r>
        <w:rPr>
          <w:rFonts w:ascii="Arial" w:cs="Arial" w:eastAsia="Arial" w:hAnsi="Arial"/>
        </w:rPr>
        <w:t xml:space="preserve">8.2 Platform Risk</w:t>
      </w:r>
    </w:p>
    <w:p>
      <w:pPr>
        <w:spacing w:after="120"/>
      </w:pPr>
      <w:r>
        <w:rPr>
          <w:rFonts w:ascii="Arial" w:cs="Arial" w:eastAsia="Arial" w:hAnsi="Arial"/>
          <w:sz w:val="22"/>
          <w:szCs w:val="22"/>
        </w:rPr>
        <w:t xml:space="preserve">If Anthropic, OpenAI, or Google add native ethical reasoning features to their models, the need for an external API diminishes. The Stoic Brain data itself remains valuable, but the API revenue stream could be disrupted. Mitigation: the enterprise licensing model and self-hosted deployment option provide a hedge. The philosophical depth of the framework is not easily replicated by a generic ethics feature.</w:t>
      </w:r>
    </w:p>
    <w:p>
      <w:pPr>
        <w:pStyle w:val="Heading2"/>
      </w:pPr>
      <w:r>
        <w:rPr>
          <w:rFonts w:ascii="Arial" w:cs="Arial" w:eastAsia="Arial" w:hAnsi="Arial"/>
        </w:rPr>
        <w:t xml:space="preserve">8.3 Pricing Risk</w:t>
      </w:r>
    </w:p>
    <w:p>
      <w:pPr>
        <w:spacing w:after="120"/>
      </w:pPr>
      <w:r>
        <w:rPr>
          <w:rFonts w:ascii="Arial" w:cs="Arial" w:eastAsia="Arial" w:hAnsi="Arial"/>
          <w:sz w:val="22"/>
          <w:szCs w:val="22"/>
        </w:rPr>
        <w:t xml:space="preserve">At $0.0225 per API call, a busy agent making 1,000 ethical checks per day costs $22.50/day ($675/month). Developers may resist per-call pricing and demand flat-rate plans. The PMF document notes this as Assumption 3 that needs validation. Mitigation: offer both per-call and monthly plans once there is enough usage data to set flat-rate pricing confidently.</w:t>
      </w:r>
    </w:p>
    <w:p>
      <w:pPr>
        <w:pStyle w:val="Heading2"/>
      </w:pPr>
      <w:r>
        <w:rPr>
          <w:rFonts w:ascii="Arial" w:cs="Arial" w:eastAsia="Arial" w:hAnsi="Arial"/>
        </w:rPr>
        <w:t xml:space="preserve">8.4 Solo Founder Risk</w:t>
      </w:r>
    </w:p>
    <w:p>
      <w:pPr>
        <w:spacing w:after="120"/>
      </w:pPr>
      <w:r>
        <w:rPr>
          <w:rFonts w:ascii="Arial" w:cs="Arial" w:eastAsia="Arial" w:hAnsi="Arial"/>
          <w:sz w:val="22"/>
          <w:szCs w:val="22"/>
        </w:rPr>
        <w:t xml:space="preserve">The Growth Strategy, revenue model, and technical implementation all depend on one person. Any health, personal, or motivation disruption halts all progress. This is not reflected in the financial model but is the most realistic operational risk for a solo founder. There is no mitigation beyond awareness and pacing.</w:t>
      </w:r>
    </w:p>
    <w:p>
      <w:pPr>
        <w:pStyle w:val="Heading1"/>
      </w:pPr>
      <w:r>
        <w:rPr>
          <w:rFonts w:ascii="Arial" w:cs="Arial" w:eastAsia="Arial" w:hAnsi="Arial"/>
        </w:rPr>
        <w:t xml:space="preserve">9. Final Verdict: Do the Returns Warrant the Investment?</w:t>
      </w:r>
    </w:p>
    <w:p>
      <w:pPr>
        <w:spacing w:after="120"/>
      </w:pPr>
      <w:r>
        <w:rPr>
          <w:rFonts w:ascii="Arial" w:cs="Arial" w:eastAsia="Arial" w:hAnsi="Arial"/>
          <w:b/>
          <w:bCs/>
          <w:sz w:val="22"/>
          <w:szCs w:val="22"/>
        </w:rPr>
        <w:t xml:space="preserve">Yes. Here is the reasoning:</w:t>
      </w:r>
    </w:p>
    <w:p>
      <w:pPr>
        <w:pStyle w:val="ListParagraph"/>
        <w:numPr>
          <w:ilvl w:val="0"/>
          <w:numId w:val="2"/>
        </w:numPr>
        <w:spacing w:after="120"/>
      </w:pPr>
      <w:r>
        <w:rPr>
          <w:rFonts w:ascii="Arial" w:cs="Arial" w:eastAsia="Arial" w:hAnsi="Arial"/>
          <w:b/>
          <w:bCs/>
          <w:sz w:val="22"/>
          <w:szCs w:val="22"/>
        </w:rPr>
        <w:t xml:space="preserve">The maximum capital at risk is $7,348. </w:t>
      </w:r>
      <w:r>
        <w:rPr>
          <w:rFonts w:ascii="Arial" w:cs="Arial" w:eastAsia="Arial" w:hAnsi="Arial"/>
          <w:sz w:val="22"/>
          <w:szCs w:val="22"/>
        </w:rPr>
        <w:t xml:space="preserve">This includes all upfront costs plus six months of worst-case operating losses. For a business with genuine product differentiation, proprietary data, and multiple revenue streams, this is a remarkably low threshold. Many founders spend more on a single conference.</w:t>
      </w:r>
    </w:p>
    <w:p>
      <w:pPr>
        <w:pStyle w:val="ListParagraph"/>
        <w:numPr>
          <w:ilvl w:val="0"/>
          <w:numId w:val="2"/>
        </w:numPr>
        <w:spacing w:after="120"/>
      </w:pPr>
      <w:r>
        <w:rPr>
          <w:rFonts w:ascii="Arial" w:cs="Arial" w:eastAsia="Arial" w:hAnsi="Arial"/>
          <w:b/>
          <w:bCs/>
          <w:sz w:val="22"/>
          <w:szCs w:val="22"/>
        </w:rPr>
        <w:t xml:space="preserve">The new tier architecture materially improves conversion economics. </w:t>
      </w:r>
      <w:r>
        <w:rPr>
          <w:rFonts w:ascii="Arial" w:cs="Arial" w:eastAsia="Arial" w:hAnsi="Arial"/>
          <w:sz w:val="22"/>
          <w:szCs w:val="22"/>
        </w:rPr>
        <w:t xml:space="preserve">Moving from deposit-before-value to value-first-then-payment is projected to increase agent developer conversion by 3-4x. This single change shifts the break-even timeline forward by several months.</w:t>
      </w:r>
    </w:p>
    <w:p>
      <w:pPr>
        <w:pStyle w:val="ListParagraph"/>
        <w:numPr>
          <w:ilvl w:val="0"/>
          <w:numId w:val="2"/>
        </w:numPr>
        <w:spacing w:after="120"/>
      </w:pPr>
      <w:r>
        <w:rPr>
          <w:rFonts w:ascii="Arial" w:cs="Arial" w:eastAsia="Arial" w:hAnsi="Arial"/>
          <w:b/>
          <w:bCs/>
          <w:sz w:val="22"/>
          <w:szCs w:val="22"/>
        </w:rPr>
        <w:t xml:space="preserve">The base case reaches monthly profitability by Month 6. </w:t>
      </w:r>
      <w:r>
        <w:rPr>
          <w:rFonts w:ascii="Arial" w:cs="Arial" w:eastAsia="Arial" w:hAnsi="Arial"/>
          <w:sz w:val="22"/>
          <w:szCs w:val="22"/>
        </w:rPr>
        <w:t xml:space="preserve">Full capital payback by Month 14. A $31K annualised run rate by Month 12 is modest but sustainable for a solo founder with no employees and no debt.</w:t>
      </w:r>
    </w:p>
    <w:p>
      <w:pPr>
        <w:pStyle w:val="ListParagraph"/>
        <w:numPr>
          <w:ilvl w:val="0"/>
          <w:numId w:val="2"/>
        </w:numPr>
        <w:spacing w:after="120"/>
      </w:pPr>
      <w:r>
        <w:rPr>
          <w:rFonts w:ascii="Arial" w:cs="Arial" w:eastAsia="Arial" w:hAnsi="Arial"/>
          <w:b/>
          <w:bCs/>
          <w:sz w:val="22"/>
          <w:szCs w:val="22"/>
        </w:rPr>
        <w:t xml:space="preserve">The bear case is survivable. </w:t>
      </w:r>
      <w:r>
        <w:rPr>
          <w:rFonts w:ascii="Arial" w:cs="Arial" w:eastAsia="Arial" w:hAnsi="Arial"/>
          <w:sz w:val="22"/>
          <w:szCs w:val="22"/>
        </w:rPr>
        <w:t xml:space="preserve">Even if growth disappoints, you lose $7,348 and gain a fully built, publicly accessible product with proprietary data assets. That is not a sunk cost in the traditional sense; the IP and infrastructure retain value.</w:t>
      </w:r>
    </w:p>
    <w:p>
      <w:pPr>
        <w:pStyle w:val="ListParagraph"/>
        <w:numPr>
          <w:ilvl w:val="0"/>
          <w:numId w:val="2"/>
        </w:numPr>
        <w:spacing w:after="120"/>
      </w:pPr>
      <w:r>
        <w:rPr>
          <w:rFonts w:ascii="Arial" w:cs="Arial" w:eastAsia="Arial" w:hAnsi="Arial"/>
          <w:b/>
          <w:bCs/>
          <w:sz w:val="22"/>
          <w:szCs w:val="22"/>
        </w:rPr>
        <w:t xml:space="preserve">The bull case is genuinely exciting. </w:t>
      </w:r>
      <w:r>
        <w:rPr>
          <w:rFonts w:ascii="Arial" w:cs="Arial" w:eastAsia="Arial" w:hAnsi="Arial"/>
          <w:sz w:val="22"/>
          <w:szCs w:val="22"/>
        </w:rPr>
        <w:t xml:space="preserve">A $199K annualised run rate at Month 12 would make SageReasoning a profitable solo business with room to hire. The AI agent market is growing rapidly, and SageReasoning occupies a unique position in it.</w:t>
      </w:r>
    </w:p>
    <w:p>
      <w:pPr>
        <w:spacing w:after="120" w:before="240"/>
      </w:pPr>
      <w:r>
        <w:rPr>
          <w:rFonts w:ascii="Arial" w:cs="Arial" w:eastAsia="Arial" w:hAnsi="Arial"/>
          <w:b/>
          <w:bCs/>
          <w:sz w:val="22"/>
          <w:szCs w:val="22"/>
        </w:rPr>
        <w:t xml:space="preserve">One condition: </w:t>
      </w:r>
      <w:r>
        <w:rPr>
          <w:rFonts w:ascii="Arial" w:cs="Arial" w:eastAsia="Arial" w:hAnsi="Arial"/>
          <w:sz w:val="22"/>
          <w:szCs w:val="22"/>
        </w:rPr>
        <w:t xml:space="preserve">validate agent developer demand before spending the legal and insurance money. Talk to 10 real developers. If none express genuine interest in a virtue-scoring API, reconsider. If 3 or more would use it, proceed with confidence. The $5,674 upfront cost is not urgent: the product is built and the free tier works today. The investment is only needed when you are ready to collect revenue.</w:t>
      </w:r>
    </w:p>
    <w:p>
      <w:pPr>
        <w:spacing w:before="480"/>
        <w:jc w:val="center"/>
      </w:pPr>
      <w:r>
        <w:rPr>
          <w:rFonts w:ascii="Arial" w:cs="Arial" w:eastAsia="Arial" w:hAnsi="Arial"/>
          <w:i/>
          <w:iCs/>
          <w:color w:val="666666"/>
          <w:sz w:val="22"/>
          <w:szCs w:val="22"/>
        </w:rPr>
        <w:t xml:space="preserve">"The impediment to action advances action. What stands in the way becomes the way."</w:t>
      </w:r>
    </w:p>
    <w:p>
      <w:pPr>
        <w:spacing w:after="240"/>
        <w:jc w:val="center"/>
      </w:pPr>
      <w:r>
        <w:rPr>
          <w:rFonts w:ascii="Arial" w:cs="Arial" w:eastAsia="Arial" w:hAnsi="Arial"/>
          <w:color w:val="808080"/>
          <w:sz w:val="18"/>
          <w:szCs w:val="18"/>
        </w:rPr>
        <w:t xml:space="preserve">Marcus Aurelius, Meditations 5.20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SageReasoning Break-Even &amp; Investment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2026-03-29T11:12:53.477Z</dcterms:created>
  <dcterms:modified xsi:type="dcterms:W3CDTF">2026-03-29T11:12:53.477Z</dcterms:modified>
</cp:coreProperties>
</file>

<file path=docProps/custom.xml><?xml version="1.0" encoding="utf-8"?>
<Properties xmlns="http://schemas.openxmlformats.org/officeDocument/2006/custom-properties" xmlns:vt="http://schemas.openxmlformats.org/officeDocument/2006/docPropsVTypes"/>
</file>