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i w:val="false"/>
          <w:iCs w:val="false"/>
          <w:color w:val="1F4E79"/>
          <w:sz w:val="40"/>
          <w:szCs w:val="40"/>
        </w:rPr>
        <w:t xml:space="preserve">SageReasoning</w:t>
      </w:r>
    </w:p>
    <w:p>
      <w:pPr>
        <w:spacing w:after="100"/>
        <w:jc w:val="center"/>
      </w:pPr>
      <w:r>
        <w:rPr>
          <w:rFonts w:ascii="Arial" w:cs="Arial" w:eastAsia="Arial" w:hAnsi="Arial"/>
          <w:b w:val="false"/>
          <w:bCs w:val="false"/>
          <w:i w:val="false"/>
          <w:iCs w:val="false"/>
          <w:color w:val="2E75B6"/>
          <w:sz w:val="28"/>
          <w:szCs w:val="28"/>
        </w:rPr>
        <w:t xml:space="preserve">Deep Market Research &amp; Pricing Analysis v2</w:t>
      </w:r>
    </w:p>
    <w:p>
      <w:pPr>
        <w:spacing w:after="400"/>
        <w:jc w:val="center"/>
      </w:pPr>
      <w:r>
        <w:rPr>
          <w:rFonts w:ascii="Arial" w:cs="Arial" w:eastAsia="Arial" w:hAnsi="Arial"/>
          <w:b w:val="false"/>
          <w:bCs w:val="false"/>
          <w:i/>
          <w:iCs/>
          <w:color w:val="666666"/>
          <w:sz w:val="22"/>
          <w:szCs w:val="22"/>
        </w:rPr>
        <w:t xml:space="preserve">Wrapper Economics | Assessment Benchmarks | Tidings Model</w:t>
      </w:r>
    </w:p>
    <w:p>
      <w:pPr>
        <w:spacing w:after="600"/>
        <w:jc w:val="center"/>
      </w:pPr>
      <w:r>
        <w:rPr>
          <w:rFonts w:ascii="Arial" w:cs="Arial" w:eastAsia="Arial" w:hAnsi="Arial"/>
          <w:b w:val="false"/>
          <w:bCs w:val="false"/>
          <w:i w:val="false"/>
          <w:iCs w:val="false"/>
          <w:color w:val="999999"/>
          <w:sz w:val="20"/>
          <w:szCs w:val="20"/>
        </w:rPr>
        <w:t xml:space="preserve">April 2026 | Confidential</w:t>
      </w:r>
    </w:p>
    <w:p>
      <w:pPr>
        <w:pStyle w:val="Heading1"/>
        <w:spacing w:after="200" w:before="360"/>
      </w:pPr>
      <w:r>
        <w:rPr>
          <w:rFonts w:ascii="Arial" w:cs="Arial" w:eastAsia="Arial" w:hAnsi="Arial"/>
          <w:b/>
          <w:bCs/>
        </w:rPr>
        <w:t xml:space="preserve">Executive Summary</w:t>
      </w:r>
    </w:p>
    <w:p>
      <w:pPr>
        <w:spacing w:after="200"/>
        <w:jc w:val="left"/>
      </w:pPr>
      <w:r>
        <w:rPr>
          <w:rFonts w:ascii="Arial" w:cs="Arial" w:eastAsia="Arial" w:hAnsi="Arial"/>
          <w:b w:val="false"/>
          <w:bCs w:val="false"/>
          <w:i w:val="false"/>
          <w:iCs w:val="false"/>
          <w:color w:val="333333"/>
          <w:sz w:val="22"/>
          <w:szCs w:val="22"/>
        </w:rPr>
        <w:t xml:space="preserve">This report addresses four gaps identified in the initial market research that failed to account for what makes SageReasoning distinct. The original analysis benchmarked SageReasoning against AWS infrastructure APIs, which is the wrong comparison category. SageReasoning delivers a complete philosophical reasoning assessment in 2-4 seconds — an "assessment" model, not an "infrastructure" model.</w:t>
      </w:r>
    </w:p>
    <w:p>
      <w:pPr>
        <w:spacing w:after="200"/>
        <w:jc w:val="left"/>
      </w:pPr>
      <w:r>
        <w:rPr>
          <w:rFonts w:ascii="Arial" w:cs="Arial" w:eastAsia="Arial" w:hAnsi="Arial"/>
          <w:b w:val="false"/>
          <w:bCs w:val="false"/>
          <w:i w:val="false"/>
          <w:iCs w:val="false"/>
          <w:color w:val="333333"/>
          <w:sz w:val="22"/>
          <w:szCs w:val="22"/>
        </w:rPr>
        <w:t xml:space="preserve">The four areas analysed are: (1) how wrapper architecture changes evaluation economics and whether call requirements should vary by product type; (2) which pricing benchmarks are appropriate given that SageReasoning delivers per-unit analytical value; (3) the viability of a "tidings" donation model to support a completely free human experience; and (4) wrapper revenue models and conversion rates from market data.</w:t>
      </w:r>
    </w:p>
    <w:p>
      <w:pPr>
        <w:spacing w:after="100"/>
        <w:jc w:val="left"/>
      </w:pPr>
      <w:r>
        <w:rPr>
          <w:rFonts w:ascii="Arial" w:cs="Arial" w:eastAsia="Arial" w:hAnsi="Arial"/>
          <w:b/>
          <w:bCs/>
          <w:i w:val="false"/>
          <w:iCs w:val="false"/>
          <w:color w:val="333333"/>
          <w:sz w:val="22"/>
          <w:szCs w:val="22"/>
        </w:rPr>
        <w:t xml:space="preserve">Key findings:</w:t>
      </w:r>
    </w:p>
    <w:p>
      <w:pPr>
        <w:pStyle w:val="ListParagraph"/>
        <w:numPr>
          <w:ilvl w:val="0"/>
          <w:numId w:val="2"/>
        </w:numPr>
      </w:pPr>
      <w:r>
        <w:rPr>
          <w:rFonts w:ascii="Arial" w:cs="Arial" w:eastAsia="Arial" w:hAnsi="Arial"/>
          <w:sz w:val="22"/>
          <w:szCs w:val="22"/>
        </w:rPr>
        <w:t xml:space="preserve">Wrappers consume 2-3 API calls per invocation but should count as 1 action in rate limits. Rate limits must vary by product type to reflect the actual cost structure — sage-guard at $0.001 is 66x cheaper than sage-scenario at $0.066.</w:t>
      </w:r>
    </w:p>
    <w:p>
      <w:pPr>
        <w:pStyle w:val="ListParagraph"/>
        <w:numPr>
          <w:ilvl w:val="0"/>
          <w:numId w:val="2"/>
        </w:numPr>
      </w:pPr>
      <w:r>
        <w:rPr>
          <w:rFonts w:ascii="Arial" w:cs="Arial" w:eastAsia="Arial" w:hAnsi="Arial"/>
          <w:sz w:val="22"/>
          <w:szCs w:val="22"/>
        </w:rPr>
        <w:t xml:space="preserve">The correct pricing benchmarks are assessment/enrichment APIs (Hume AI, Clearbit, Crystal Knows) — tools that deliver analytical value per evaluation in seconds. SageReasoning is 14x cheaper than Clearbit and 30-150x cheaper than Crystal Knows per assessment.</w:t>
      </w:r>
    </w:p>
    <w:p>
      <w:pPr>
        <w:pStyle w:val="ListParagraph"/>
        <w:numPr>
          <w:ilvl w:val="0"/>
          <w:numId w:val="2"/>
        </w:numPr>
      </w:pPr>
      <w:r>
        <w:rPr>
          <w:rFonts w:ascii="Arial" w:cs="Arial" w:eastAsia="Arial" w:hAnsi="Arial"/>
          <w:sz w:val="22"/>
          <w:szCs w:val="22"/>
        </w:rPr>
        <w:t xml:space="preserve">The tidings model becomes viable when the free human tier is designed around sage-guard ($0.001/call). At guard-only pricing, cost per user drops to $0.03-0.06/month, and even Wikipedia-level donation rates (2% at $10 avg) generate surplus. With niche Stoic community uplift (5-8% at $15-20), the model is comfortably sustainable.</w:t>
      </w:r>
    </w:p>
    <w:p>
      <w:pPr>
        <w:pStyle w:val="ListParagraph"/>
        <w:numPr>
          <w:ilvl w:val="0"/>
          <w:numId w:val="2"/>
        </w:numPr>
        <w:spacing w:after="400"/>
      </w:pPr>
      <w:r>
        <w:rPr>
          <w:rFonts w:ascii="Arial" w:cs="Arial" w:eastAsia="Arial" w:hAnsi="Arial"/>
          <w:sz w:val="22"/>
          <w:szCs w:val="22"/>
        </w:rPr>
        <w:t xml:space="preserve">80% of AI wrapper startups are predicted to fail — the survival factor is domain expertise depth. SageReasoning's 8 JSON data files, 4-stage evaluation sequence, and philosophical IP (R4) constitute a moat that generic wrapper startups lack.</w:t>
      </w:r>
    </w:p>
    <w:p>
      <w:r>
        <w:br w:type="page"/>
      </w:r>
    </w:p>
    <w:p>
      <w:pPr>
        <w:pStyle w:val="Heading1"/>
        <w:spacing w:after="200" w:before="360"/>
      </w:pPr>
      <w:r>
        <w:rPr>
          <w:rFonts w:ascii="Arial" w:cs="Arial" w:eastAsia="Arial" w:hAnsi="Arial"/>
          <w:b/>
          <w:bCs/>
        </w:rPr>
        <w:t xml:space="preserve">1. Wrapper Economics &amp; Evaluation Count Variability</w:t>
      </w:r>
    </w:p>
    <w:p>
      <w:pPr>
        <w:pStyle w:val="Heading2"/>
        <w:spacing w:after="200" w:before="240"/>
      </w:pPr>
      <w:r>
        <w:rPr>
          <w:rFonts w:ascii="Arial" w:cs="Arial" w:eastAsia="Arial" w:hAnsi="Arial"/>
          <w:b/>
          <w:bCs/>
        </w:rPr>
        <w:t xml:space="preserve">1.1 How Wrappers Change the Call Equation</w:t>
      </w:r>
    </w:p>
    <w:p>
      <w:pPr>
        <w:spacing w:after="200"/>
        <w:jc w:val="left"/>
      </w:pPr>
      <w:r>
        <w:rPr>
          <w:rFonts w:ascii="Arial" w:cs="Arial" w:eastAsia="Arial" w:hAnsi="Arial"/>
          <w:b w:val="false"/>
          <w:bCs w:val="false"/>
          <w:i w:val="false"/>
          <w:iCs w:val="false"/>
          <w:color w:val="333333"/>
          <w:sz w:val="22"/>
          <w:szCs w:val="22"/>
        </w:rPr>
        <w:t xml:space="preserve">SageReasoning has three distinct consumption patterns, each with different cost implications:</w:t>
      </w:r>
    </w:p>
    <w:p>
      <w:pPr>
        <w:pStyle w:val="ListParagraph"/>
        <w:numPr>
          <w:ilvl w:val="0"/>
          <w:numId w:val="2"/>
        </w:numPr>
      </w:pPr>
      <w:r>
        <w:rPr>
          <w:rFonts w:ascii="Arial" w:cs="Arial" w:eastAsia="Arial" w:hAnsi="Arial"/>
          <w:b/>
          <w:bCs/>
          <w:sz w:val="22"/>
          <w:szCs w:val="22"/>
        </w:rPr>
        <w:t xml:space="preserve">Direct skills (Tier 1 &amp; 2 core): </w:t>
      </w:r>
      <w:r>
        <w:rPr>
          <w:rFonts w:ascii="Arial" w:cs="Arial" w:eastAsia="Arial" w:hAnsi="Arial"/>
          <w:sz w:val="22"/>
          <w:szCs w:val="22"/>
        </w:rPr>
        <w:t xml:space="preserve">1 API call = 1 evaluation. The developer calls sage-reason, sage-score, or sage-guard and gets a single result. This is the simplest model.</w:t>
      </w:r>
    </w:p>
    <w:p>
      <w:pPr>
        <w:pStyle w:val="ListParagraph"/>
        <w:numPr>
          <w:ilvl w:val="0"/>
          <w:numId w:val="2"/>
        </w:numPr>
      </w:pPr>
      <w:r>
        <w:rPr>
          <w:rFonts w:ascii="Arial" w:cs="Arial" w:eastAsia="Arial" w:hAnsi="Arial"/>
          <w:b/>
          <w:bCs/>
          <w:sz w:val="22"/>
          <w:szCs w:val="22"/>
        </w:rPr>
        <w:t xml:space="preserve">Context template skills (Tier 2 marketplace): </w:t>
      </w:r>
      <w:r>
        <w:rPr>
          <w:rFonts w:ascii="Arial" w:cs="Arial" w:eastAsia="Arial" w:hAnsi="Arial"/>
          <w:sz w:val="22"/>
          <w:szCs w:val="22"/>
        </w:rPr>
        <w:t xml:space="preserve">1 API call = 1 evaluation. The internal sage-reason call is transparent to the developer. They call sage-premortem, sage-negotiate, etc. and get a domain-framed result. The developer sees 1 call; internally it's 1 sage-reason invocation.</w:t>
      </w:r>
    </w:p>
    <w:p>
      <w:pPr>
        <w:pStyle w:val="ListParagraph"/>
        <w:numPr>
          <w:ilvl w:val="0"/>
          <w:numId w:val="2"/>
        </w:numPr>
      </w:pPr>
      <w:r>
        <w:rPr>
          <w:rFonts w:ascii="Arial" w:cs="Arial" w:eastAsia="Arial" w:hAnsi="Arial"/>
          <w:b/>
          <w:bCs/>
          <w:sz w:val="22"/>
          <w:szCs w:val="22"/>
        </w:rPr>
        <w:t xml:space="preserve">Tier 3 wrappers (planned, per R11): </w:t>
      </w:r>
      <w:r>
        <w:rPr>
          <w:rFonts w:ascii="Arial" w:cs="Arial" w:eastAsia="Arial" w:hAnsi="Arial"/>
          <w:sz w:val="22"/>
          <w:szCs w:val="22"/>
        </w:rPr>
        <w:t xml:space="preserve">1 wrapper invocation = 2-3 separate API calls (guard + score + optional iterate). Per R5, each call counts against the monthly quota. A developer using wrappers needs 2-3x the quota per "action" compared to direct skills.</w:t>
      </w:r>
    </w:p>
    <w:p>
      <w:pPr>
        <w:spacing w:after="200"/>
        <w:jc w:val="left"/>
      </w:pPr>
      <w:r>
        <w:rPr>
          <w:rFonts w:ascii="Arial" w:cs="Arial" w:eastAsia="Arial" w:hAnsi="Arial"/>
          <w:b w:val="false"/>
          <w:bCs w:val="false"/>
          <w:i w:val="false"/>
          <w:iCs w:val="false"/>
          <w:color w:val="333333"/>
          <w:sz w:val="22"/>
          <w:szCs w:val="22"/>
        </w:rPr>
        <w:t xml:space="preserve">This creates a fundamental tension: wrappers deliver the most complete value per user action (a full guard-then-evaluate-then-refine cycle) but consume the most quota. If rate limits treat wrapper calls the same as direct calls, wrapper users hit their limits 2-3x faster, which actively discourages the highest-value usage pattern.</w:t>
      </w:r>
    </w:p>
    <w:p>
      <w:pPr>
        <w:pStyle w:val="Heading2"/>
        <w:spacing w:after="200" w:before="240"/>
      </w:pPr>
      <w:r>
        <w:rPr>
          <w:rFonts w:ascii="Arial" w:cs="Arial" w:eastAsia="Arial" w:hAnsi="Arial"/>
          <w:b/>
          <w:bCs/>
        </w:rPr>
        <w:t xml:space="preserve">1.2 Recommendation: Action-Based Rate Limits</w:t>
      </w:r>
    </w:p>
    <w:p>
      <w:pPr>
        <w:spacing w:after="200"/>
        <w:jc w:val="left"/>
      </w:pPr>
      <w:r>
        <w:rPr>
          <w:rFonts w:ascii="Arial" w:cs="Arial" w:eastAsia="Arial" w:hAnsi="Arial"/>
          <w:b w:val="false"/>
          <w:bCs w:val="false"/>
          <w:i w:val="false"/>
          <w:iCs w:val="false"/>
          <w:color w:val="333333"/>
          <w:sz w:val="22"/>
          <w:szCs w:val="22"/>
        </w:rPr>
        <w:t xml:space="preserve">Rate limits should count wrapper invocations as a single "action" regardless of the number of internal API calls. This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Product Type</w:t>
            </w:r>
          </w:p>
        </w:tc>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Free Tier</w:t>
            </w:r>
          </w:p>
        </w:tc>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Prokoptos</w:t>
            </w:r>
          </w:p>
        </w:tc>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sage-guard (gate check)</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000000"/>
                <w:sz w:val="20"/>
                <w:szCs w:val="20"/>
              </w:rPr>
              <w:t xml:space="preserve">500/mo</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000000"/>
                <w:sz w:val="20"/>
                <w:szCs w:val="20"/>
              </w:rPr>
              <w:t xml:space="preserve">5,000/mo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Cheapest call ($0.001); high-volume gate use case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sage-reason / sage-score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000000"/>
                <w:sz w:val="20"/>
                <w:szCs w:val="20"/>
              </w:rPr>
              <w:t xml:space="preserve">100/mo</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000000"/>
                <w:sz w:val="20"/>
                <w:szCs w:val="20"/>
              </w:rPr>
              <w:t xml:space="preserve">1,000/mo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Core evaluations at moderate cost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sage-iterate (per chain)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000000"/>
                <w:sz w:val="20"/>
                <w:szCs w:val="20"/>
              </w:rPr>
              <w:t xml:space="preserve">50/mo</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000000"/>
                <w:sz w:val="20"/>
                <w:szCs w:val="20"/>
              </w:rPr>
              <w:t xml:space="preserve">500/mo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Chains = 2-5 iterations; limit chains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Tier 3 wrappers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000000"/>
                <w:sz w:val="20"/>
                <w:szCs w:val="20"/>
              </w:rPr>
              <w:t xml:space="preserve">50/mo</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000000"/>
                <w:sz w:val="20"/>
                <w:szCs w:val="20"/>
              </w:rPr>
              <w:t xml:space="preserve">500/mo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Count as 1 action despite 2-3 internal calls</w:t>
            </w:r>
          </w:p>
        </w:tc>
      </w:tr>
    </w:tbl>
    <w:p>
      <w:pPr>
        <w:spacing w:after="200"/>
        <w:jc w:val="left"/>
      </w:pPr>
      <w:r>
        <w:rPr>
          <w:rFonts w:ascii="Arial" w:cs="Arial" w:eastAsia="Arial" w:hAnsi="Arial"/>
          <w:b w:val="false"/>
          <w:bCs w:val="false"/>
          <w:i w:val="false"/>
          <w:iCs w:val="false"/>
          <w:color w:val="333333"/>
          <w:sz w:val="22"/>
          <w:szCs w:val="22"/>
        </w:rPr>
        <w:t xml:space="preserve"/>
      </w:r>
    </w:p>
    <w:p>
      <w:pPr>
        <w:spacing w:after="200"/>
        <w:jc w:val="left"/>
      </w:pPr>
      <w:r>
        <w:rPr>
          <w:rFonts w:ascii="Arial" w:cs="Arial" w:eastAsia="Arial" w:hAnsi="Arial"/>
          <w:b w:val="false"/>
          <w:bCs w:val="false"/>
          <w:i w:val="false"/>
          <w:iCs w:val="false"/>
          <w:color w:val="333333"/>
          <w:sz w:val="22"/>
          <w:szCs w:val="22"/>
        </w:rPr>
        <w:t xml:space="preserve">This approach has two benefits: it aligns rate limits with the actual value delivered per user action, and it removes the perverse incentive for developers to avoid wrappers in favour of manual multi-call sequences that produce the same result but with worse developer experience.</w:t>
      </w:r>
    </w:p>
    <w:p>
      <w:pPr>
        <w:pStyle w:val="Heading2"/>
        <w:spacing w:after="200" w:before="240"/>
      </w:pPr>
      <w:r>
        <w:rPr>
          <w:rFonts w:ascii="Arial" w:cs="Arial" w:eastAsia="Arial" w:hAnsi="Arial"/>
          <w:b/>
          <w:bCs/>
        </w:rPr>
        <w:t xml:space="preserve">1.3 Wrapper Bundled Pricing</w:t>
      </w:r>
    </w:p>
    <w:p>
      <w:pPr>
        <w:spacing w:after="200"/>
        <w:jc w:val="left"/>
      </w:pPr>
      <w:r>
        <w:rPr>
          <w:rFonts w:ascii="Arial" w:cs="Arial" w:eastAsia="Arial" w:hAnsi="Arial"/>
          <w:b w:val="false"/>
          <w:bCs w:val="false"/>
          <w:i w:val="false"/>
          <w:iCs w:val="false"/>
          <w:color w:val="333333"/>
          <w:sz w:val="22"/>
          <w:szCs w:val="22"/>
        </w:rPr>
        <w:t xml:space="preserve">For API-tier developers, wrapper invocations should have a bundled price that reflects the convenience premium:</w:t>
      </w:r>
    </w:p>
    <w:p>
      <w:pPr>
        <w:pStyle w:val="ListParagraph"/>
        <w:numPr>
          <w:ilvl w:val="0"/>
          <w:numId w:val="2"/>
        </w:numPr>
      </w:pPr>
      <w:r>
        <w:rPr>
          <w:rFonts w:ascii="Arial" w:cs="Arial" w:eastAsia="Arial" w:hAnsi="Arial"/>
          <w:sz w:val="22"/>
          <w:szCs w:val="22"/>
        </w:rPr>
        <w:t xml:space="preserve">Guard + Score wrapper: $0.050 per invocation (vs $0.034 a la carte) — 47% premium for convenience.</w:t>
      </w:r>
    </w:p>
    <w:p>
      <w:pPr>
        <w:pStyle w:val="ListParagraph"/>
        <w:numPr>
          <w:ilvl w:val="0"/>
          <w:numId w:val="2"/>
        </w:numPr>
      </w:pPr>
      <w:r>
        <w:rPr>
          <w:rFonts w:ascii="Arial" w:cs="Arial" w:eastAsia="Arial" w:hAnsi="Arial"/>
          <w:sz w:val="22"/>
          <w:szCs w:val="22"/>
        </w:rPr>
        <w:t xml:space="preserve">Guard + Score + Iterate wrapper: $0.080 per invocation (vs $0.067 a la carte) — 19% premium.</w:t>
      </w:r>
    </w:p>
    <w:p>
      <w:pPr>
        <w:spacing w:after="200"/>
        <w:jc w:val="left"/>
      </w:pPr>
      <w:r>
        <w:rPr>
          <w:rFonts w:ascii="Arial" w:cs="Arial" w:eastAsia="Arial" w:hAnsi="Arial"/>
          <w:b w:val="false"/>
          <w:bCs w:val="false"/>
          <w:i w:val="false"/>
          <w:iCs w:val="false"/>
          <w:color w:val="333333"/>
          <w:sz w:val="22"/>
          <w:szCs w:val="22"/>
        </w:rPr>
        <w:t xml:space="preserve">The R5 requirement (2x cost coverage) is maintained: the bundled price still exceeds 2x the LLM cost for each constituent call. The convenience premium generates additional margin.</w:t>
      </w:r>
    </w:p>
    <w:p>
      <w:r>
        <w:br w:type="page"/>
      </w:r>
    </w:p>
    <w:p>
      <w:pPr>
        <w:pStyle w:val="Heading1"/>
        <w:spacing w:after="200" w:before="360"/>
      </w:pPr>
      <w:r>
        <w:rPr>
          <w:rFonts w:ascii="Arial" w:cs="Arial" w:eastAsia="Arial" w:hAnsi="Arial"/>
          <w:b/>
          <w:bCs/>
        </w:rPr>
        <w:t xml:space="preserve">2. Assessment-Appropriate Benchmarking</w:t>
      </w:r>
    </w:p>
    <w:p>
      <w:pPr>
        <w:pStyle w:val="Heading2"/>
        <w:spacing w:after="200" w:before="240"/>
      </w:pPr>
      <w:r>
        <w:rPr>
          <w:rFonts w:ascii="Arial" w:cs="Arial" w:eastAsia="Arial" w:hAnsi="Arial"/>
          <w:b/>
          <w:bCs/>
        </w:rPr>
        <w:t xml:space="preserve">2.1 Why AWS Is the Wrong Benchmark</w:t>
      </w:r>
    </w:p>
    <w:p>
      <w:pPr>
        <w:spacing w:after="200"/>
        <w:jc w:val="left"/>
      </w:pPr>
      <w:r>
        <w:rPr>
          <w:rFonts w:ascii="Arial" w:cs="Arial" w:eastAsia="Arial" w:hAnsi="Arial"/>
          <w:b w:val="false"/>
          <w:bCs w:val="false"/>
          <w:i w:val="false"/>
          <w:iCs w:val="false"/>
          <w:color w:val="333333"/>
          <w:sz w:val="22"/>
          <w:szCs w:val="22"/>
        </w:rPr>
        <w:t xml:space="preserve">The initial report benchmarked SageReasoning's rate limits against AWS Bedrock and similar infrastructure APIs. This comparison is flawed because:</w:t>
      </w:r>
    </w:p>
    <w:p>
      <w:pPr>
        <w:pStyle w:val="ListParagraph"/>
        <w:numPr>
          <w:ilvl w:val="0"/>
          <w:numId w:val="2"/>
        </w:numPr>
      </w:pPr>
      <w:r>
        <w:rPr>
          <w:rFonts w:ascii="Arial" w:cs="Arial" w:eastAsia="Arial" w:hAnsi="Arial"/>
          <w:sz w:val="22"/>
          <w:szCs w:val="22"/>
        </w:rPr>
        <w:t xml:space="preserve">AWS delivers continuous infrastructure (uptime, throughput, streaming). SageReasoning delivers a discrete assessment result in 2-4 seconds.</w:t>
      </w:r>
    </w:p>
    <w:p>
      <w:pPr>
        <w:pStyle w:val="ListParagraph"/>
        <w:numPr>
          <w:ilvl w:val="0"/>
          <w:numId w:val="2"/>
        </w:numPr>
      </w:pPr>
      <w:r>
        <w:rPr>
          <w:rFonts w:ascii="Arial" w:cs="Arial" w:eastAsia="Arial" w:hAnsi="Arial"/>
          <w:sz w:val="22"/>
          <w:szCs w:val="22"/>
        </w:rPr>
        <w:t xml:space="preserve">AWS pricing is per-second/per-GB. SageReasoning pricing is per-evaluation.</w:t>
      </w:r>
    </w:p>
    <w:p>
      <w:pPr>
        <w:pStyle w:val="ListParagraph"/>
        <w:numPr>
          <w:ilvl w:val="0"/>
          <w:numId w:val="2"/>
        </w:numPr>
      </w:pPr>
      <w:r>
        <w:rPr>
          <w:rFonts w:ascii="Arial" w:cs="Arial" w:eastAsia="Arial" w:hAnsi="Arial"/>
          <w:sz w:val="22"/>
          <w:szCs w:val="22"/>
        </w:rPr>
        <w:t xml:space="preserve">AWS free tiers exist to test scalability. SageReasoning's free tier exists to test assessment quality.</w:t>
      </w:r>
    </w:p>
    <w:p>
      <w:pPr>
        <w:pStyle w:val="Heading2"/>
        <w:spacing w:after="200" w:before="240"/>
      </w:pPr>
      <w:r>
        <w:rPr>
          <w:rFonts w:ascii="Arial" w:cs="Arial" w:eastAsia="Arial" w:hAnsi="Arial"/>
          <w:b/>
          <w:bCs/>
        </w:rPr>
        <w:t xml:space="preserve">2.2 The Right Comparables</w:t>
      </w:r>
    </w:p>
    <w:p>
      <w:pPr>
        <w:spacing w:after="200"/>
        <w:jc w:val="left"/>
      </w:pPr>
      <w:r>
        <w:rPr>
          <w:rFonts w:ascii="Arial" w:cs="Arial" w:eastAsia="Arial" w:hAnsi="Arial"/>
          <w:b w:val="false"/>
          <w:bCs w:val="false"/>
          <w:i w:val="false"/>
          <w:iCs w:val="false"/>
          <w:color w:val="333333"/>
          <w:sz w:val="22"/>
          <w:szCs w:val="22"/>
        </w:rPr>
        <w:t xml:space="preserve">SageReasoning belongs in the "assessment/enrichment API" category — tools that deliver per-unit analytical value in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Platform</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Category</w:t>
            </w:r>
          </w:p>
        </w:tc>
        <w:tc>
          <w:tcPr>
            <w:tcW w:type="dxa" w:w="26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Price per Unit</w:t>
            </w:r>
          </w:p>
        </w:tc>
        <w:tc>
          <w:tcPr>
            <w:tcW w:type="dxa" w:w="26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SageReasoning Position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Hume AI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Emotion Assessment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$0.064-$0.083/min</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$0.001-$0.066/eval; comparable range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Clearbit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Data Enrichment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~$0.36/lookup</w:t>
            </w:r>
          </w:p>
        </w:tc>
        <w:tc>
          <w:tcPr>
            <w:tcW w:type="dxa" w:w="2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14x cheaper per unit at $0.025 avg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Crystal Knows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Personality Assessment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Est. $1-5/profile</w:t>
            </w:r>
          </w:p>
        </w:tc>
        <w:tc>
          <w:tcPr>
            <w:tcW w:type="dxa" w:w="2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30-150x cheaper per assessment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Guardrails AI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LLM Guardrail</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$0.005-$0.02/check</w:t>
            </w:r>
          </w:p>
        </w:tc>
        <w:tc>
          <w:tcPr>
            <w:tcW w:type="dxa" w:w="2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sage-guard 5-20x cheaper at $0.001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Galileo Protect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LLM Evaluation</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$0.01-$0.05/eval</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Comparable range; deeper output</w:t>
            </w:r>
          </w:p>
        </w:tc>
      </w:tr>
    </w:tbl>
    <w:p>
      <w:pPr>
        <w:spacing w:after="200"/>
        <w:jc w:val="left"/>
      </w:pPr>
      <w:r>
        <w:rPr>
          <w:rFonts w:ascii="Arial" w:cs="Arial" w:eastAsia="Arial" w:hAnsi="Arial"/>
          <w:b w:val="false"/>
          <w:bCs w:val="false"/>
          <w:i w:val="false"/>
          <w:iCs w:val="false"/>
          <w:color w:val="333333"/>
          <w:sz w:val="22"/>
          <w:szCs w:val="22"/>
        </w:rPr>
        <w:t xml:space="preserve"/>
      </w:r>
    </w:p>
    <w:p>
      <w:pPr>
        <w:spacing w:after="200"/>
        <w:jc w:val="left"/>
      </w:pPr>
      <w:r>
        <w:rPr>
          <w:rFonts w:ascii="Arial" w:cs="Arial" w:eastAsia="Arial" w:hAnsi="Arial"/>
          <w:b w:val="false"/>
          <w:bCs w:val="false"/>
          <w:i w:val="false"/>
          <w:iCs w:val="false"/>
          <w:color w:val="333333"/>
          <w:sz w:val="22"/>
          <w:szCs w:val="22"/>
        </w:rPr>
        <w:t xml:space="preserve">The competitive picture is materially different from the AWS comparison. Against assessment APIs, SageReasoning is among the cheapest per evaluation while delivering deeper analytical output (philosophical reasoning quality assessment with improvement paths, not just binary pass/fail or sentiment scores).</w:t>
      </w:r>
    </w:p>
    <w:p>
      <w:pPr>
        <w:pStyle w:val="Heading2"/>
        <w:spacing w:after="200" w:before="240"/>
      </w:pPr>
      <w:r>
        <w:rPr>
          <w:rFonts w:ascii="Arial" w:cs="Arial" w:eastAsia="Arial" w:hAnsi="Arial"/>
          <w:b/>
          <w:bCs/>
        </w:rPr>
        <w:t xml:space="preserve">2.3 Free Tier Positioning</w:t>
      </w:r>
    </w:p>
    <w:p>
      <w:pPr>
        <w:spacing w:after="200"/>
        <w:jc w:val="left"/>
      </w:pPr>
      <w:r>
        <w:rPr>
          <w:rFonts w:ascii="Arial" w:cs="Arial" w:eastAsia="Arial" w:hAnsi="Arial"/>
          <w:b w:val="false"/>
          <w:bCs w:val="false"/>
          <w:i w:val="false"/>
          <w:iCs w:val="false"/>
          <w:color w:val="333333"/>
          <w:sz w:val="22"/>
          <w:szCs w:val="22"/>
        </w:rPr>
        <w:t xml:space="preserve">Assessment APIs benchmark free tiers differently from infrastructure APIs:</w:t>
      </w:r>
    </w:p>
    <w:p>
      <w:pPr>
        <w:pStyle w:val="ListParagraph"/>
        <w:numPr>
          <w:ilvl w:val="0"/>
          <w:numId w:val="2"/>
        </w:numPr>
      </w:pPr>
      <w:r>
        <w:rPr>
          <w:rFonts w:ascii="Arial" w:cs="Arial" w:eastAsia="Arial" w:hAnsi="Arial"/>
          <w:sz w:val="22"/>
          <w:szCs w:val="22"/>
        </w:rPr>
        <w:t xml:space="preserve">Hume AI: 10,000 characters (~10 minutes of audio) + $20 in starting credits.</w:t>
      </w:r>
    </w:p>
    <w:p>
      <w:pPr>
        <w:pStyle w:val="ListParagraph"/>
        <w:numPr>
          <w:ilvl w:val="0"/>
          <w:numId w:val="2"/>
        </w:numPr>
      </w:pPr>
      <w:r>
        <w:rPr>
          <w:rFonts w:ascii="Arial" w:cs="Arial" w:eastAsia="Arial" w:hAnsi="Arial"/>
          <w:sz w:val="22"/>
          <w:szCs w:val="22"/>
        </w:rPr>
        <w:t xml:space="preserve">Galileo: 1,000 free evaluations per month.</w:t>
      </w:r>
    </w:p>
    <w:p>
      <w:pPr>
        <w:pStyle w:val="ListParagraph"/>
        <w:numPr>
          <w:ilvl w:val="0"/>
          <w:numId w:val="2"/>
        </w:numPr>
      </w:pPr>
      <w:r>
        <w:rPr>
          <w:rFonts w:ascii="Arial" w:cs="Arial" w:eastAsia="Arial" w:hAnsi="Arial"/>
          <w:sz w:val="22"/>
          <w:szCs w:val="22"/>
        </w:rPr>
        <w:t xml:space="preserve">SageReasoning current: 100 calls per month (R5). This is competitive. The recommended change is to vary this by product type (500 for guard, 100 for core, 50 for wrappers).</w:t>
      </w:r>
    </w:p>
    <w:p>
      <w:r>
        <w:br w:type="page"/>
      </w:r>
    </w:p>
    <w:p>
      <w:pPr>
        <w:pStyle w:val="Heading1"/>
        <w:spacing w:after="200" w:before="360"/>
      </w:pPr>
      <w:r>
        <w:rPr>
          <w:rFonts w:ascii="Arial" w:cs="Arial" w:eastAsia="Arial" w:hAnsi="Arial"/>
          <w:b/>
          <w:bCs/>
        </w:rPr>
        <w:t xml:space="preserve">3. Tidings Model — Free Human Experience via Voluntary Donation</w:t>
      </w:r>
    </w:p>
    <w:p>
      <w:pPr>
        <w:pStyle w:val="Heading2"/>
        <w:spacing w:after="200" w:before="240"/>
      </w:pPr>
      <w:r>
        <w:rPr>
          <w:rFonts w:ascii="Arial" w:cs="Arial" w:eastAsia="Arial" w:hAnsi="Arial"/>
          <w:b/>
          <w:bCs/>
        </w:rPr>
        <w:t xml:space="preserve">3.1 Philosophical Basis</w:t>
      </w:r>
    </w:p>
    <w:p>
      <w:pPr>
        <w:spacing w:after="200"/>
        <w:jc w:val="left"/>
      </w:pPr>
      <w:r>
        <w:rPr>
          <w:rFonts w:ascii="Arial" w:cs="Arial" w:eastAsia="Arial" w:hAnsi="Arial"/>
          <w:b w:val="false"/>
          <w:bCs w:val="false"/>
          <w:i w:val="false"/>
          <w:iCs w:val="false"/>
          <w:color w:val="333333"/>
          <w:sz w:val="22"/>
          <w:szCs w:val="22"/>
        </w:rPr>
        <w:t xml:space="preserve">The tidings model aligns with a well-documented Stoic tradition: the prokopton (student making progress) voluntarily contributing to their teacher's practice. This was not payment for services rendered — it was an expression of gratitude and commitment to shared philosophical growth. Seneca, Epictetus, and Musonius Rufus all operated within variations of this model.</w:t>
      </w:r>
    </w:p>
    <w:p>
      <w:pPr>
        <w:spacing w:after="200"/>
        <w:jc w:val="left"/>
      </w:pPr>
      <w:r>
        <w:rPr>
          <w:rFonts w:ascii="Arial" w:cs="Arial" w:eastAsia="Arial" w:hAnsi="Arial"/>
          <w:b w:val="false"/>
          <w:bCs w:val="false"/>
          <w:i w:val="false"/>
          <w:iCs w:val="false"/>
          <w:color w:val="333333"/>
          <w:sz w:val="22"/>
          <w:szCs w:val="22"/>
        </w:rPr>
        <w:t xml:space="preserve">For SageReasoning, "tidings" would mean: the human web experience is entirely free. No paywall, no feature gating, no premium tier. Instead, users who find value are invited to contribute voluntarily through suggested monthly amounts ($5, $10, $25), framed as prokopton practice rather than subscription payment.</w:t>
      </w:r>
    </w:p>
    <w:p>
      <w:pPr>
        <w:pStyle w:val="Heading2"/>
        <w:spacing w:after="200" w:before="240"/>
      </w:pPr>
      <w:r>
        <w:rPr>
          <w:rFonts w:ascii="Arial" w:cs="Arial" w:eastAsia="Arial" w:hAnsi="Arial"/>
          <w:b/>
          <w:bCs/>
        </w:rPr>
        <w:t xml:space="preserve">3.2 Donation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Platform / Model</w:t>
            </w:r>
          </w:p>
        </w:tc>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Donor Rate</w:t>
            </w:r>
          </w:p>
        </w:tc>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Avg Donation</w:t>
            </w:r>
          </w:p>
        </w:tc>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Annual/Donor</w:t>
            </w:r>
          </w:p>
        </w:tc>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Context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Wikipedia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$10.58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$10.58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Mass audience, annual campaigns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Patreon (avg)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$12/mo</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$144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Fan-to-patron; monthly recurring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Patreon (education)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$15/mo</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$180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Higher engagement for learning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Monthly donors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$14/mo</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$168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Monthly donors give 42% more yearly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iCs/>
                <w:color w:val="000000"/>
                <w:sz w:val="20"/>
                <w:szCs w:val="20"/>
              </w:rPr>
              <w:t xml:space="preserve">Niche philosophy (est.)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$20/mo</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$240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High-alignment Stoic community</w:t>
            </w:r>
          </w:p>
        </w:tc>
      </w:tr>
    </w:tbl>
    <w:p>
      <w:pPr>
        <w:spacing w:after="200"/>
        <w:jc w:val="left"/>
      </w:pPr>
      <w:r>
        <w:rPr>
          <w:rFonts w:ascii="Arial" w:cs="Arial" w:eastAsia="Arial" w:hAnsi="Arial"/>
          <w:b w:val="false"/>
          <w:bCs w:val="false"/>
          <w:i w:val="false"/>
          <w:iCs w:val="false"/>
          <w:color w:val="333333"/>
          <w:sz w:val="22"/>
          <w:szCs w:val="22"/>
        </w:rPr>
        <w:t xml:space="preserve"/>
      </w:r>
    </w:p>
    <w:p>
      <w:pPr>
        <w:spacing w:after="200"/>
        <w:jc w:val="left"/>
      </w:pPr>
      <w:r>
        <w:rPr>
          <w:rFonts w:ascii="Arial" w:cs="Arial" w:eastAsia="Arial" w:hAnsi="Arial"/>
          <w:b w:val="false"/>
          <w:bCs w:val="false"/>
          <w:i w:val="false"/>
          <w:iCs w:val="false"/>
          <w:color w:val="333333"/>
          <w:sz w:val="22"/>
          <w:szCs w:val="22"/>
        </w:rPr>
        <w:t xml:space="preserve">Key data point: monthly donors give 42% more annually than one-time donors. The tidings model should encourage monthly recurring contributions, which both increases revenue and strengthens community identity.</w:t>
      </w:r>
    </w:p>
    <w:p>
      <w:pPr>
        <w:pStyle w:val="Heading2"/>
        <w:spacing w:after="200" w:before="240"/>
      </w:pPr>
      <w:r>
        <w:rPr>
          <w:rFonts w:ascii="Arial" w:cs="Arial" w:eastAsia="Arial" w:hAnsi="Arial"/>
          <w:b/>
          <w:bCs/>
        </w:rPr>
        <w:t xml:space="preserve">3.3 The Critical Variable: Free Tier Cost Design</w:t>
      </w:r>
    </w:p>
    <w:p>
      <w:pPr>
        <w:spacing w:after="200"/>
        <w:jc w:val="left"/>
      </w:pPr>
      <w:r>
        <w:rPr>
          <w:rFonts w:ascii="Arial" w:cs="Arial" w:eastAsia="Arial" w:hAnsi="Arial"/>
          <w:b w:val="false"/>
          <w:bCs w:val="false"/>
          <w:i w:val="false"/>
          <w:iCs w:val="false"/>
          <w:color w:val="333333"/>
          <w:sz w:val="22"/>
          <w:szCs w:val="22"/>
        </w:rPr>
        <w:t xml:space="preserve">The viability of the tidings model depends almost entirely on what the free human tier costs SageReasoning to operate. There are two design options:</w:t>
      </w:r>
    </w:p>
    <w:p>
      <w:pPr>
        <w:spacing w:after="100"/>
        <w:jc w:val="left"/>
      </w:pPr>
      <w:r>
        <w:rPr>
          <w:rFonts w:ascii="Arial" w:cs="Arial" w:eastAsia="Arial" w:hAnsi="Arial"/>
          <w:b w:val="false"/>
          <w:bCs w:val="false"/>
          <w:i w:val="false"/>
          <w:iCs w:val="false"/>
          <w:color w:val="333333"/>
          <w:sz w:val="22"/>
          <w:szCs w:val="22"/>
        </w:rPr>
        <w:t xml:space="preserve">Option A — Full evaluation access (sage-reason quick): Cost per user = $0.30-1.50/month depending on usage. At this cost level, the tidings model requires either very high donation rates (8%+) or very high average donations ($25+) to break even. This is achievable but fragile.</w:t>
      </w:r>
    </w:p>
    <w:p>
      <w:pPr>
        <w:spacing w:after="100"/>
        <w:jc w:val="left"/>
      </w:pPr>
      <w:r>
        <w:rPr>
          <w:rFonts w:ascii="Arial" w:cs="Arial" w:eastAsia="Arial" w:hAnsi="Arial"/>
          <w:b w:val="false"/>
          <w:bCs w:val="false"/>
          <w:i w:val="false"/>
          <w:iCs w:val="false"/>
          <w:color w:val="333333"/>
          <w:sz w:val="22"/>
          <w:szCs w:val="22"/>
        </w:rPr>
        <w:t xml:space="preserve">Option B — Guard-centred access (sage-guard + limited sage-reason): Cost per user = $0.03-0.06/month. At this cost level, even Wikipedia-level donation rates (2% at $10 average) generate surplus. With niche community uplift (5% at $15), the model is comfortably sustainable.</w:t>
      </w:r>
    </w:p>
    <w:p>
      <w:pPr>
        <w:spacing w:after="200"/>
        <w:jc w:val="left"/>
      </w:pPr>
      <w:r>
        <w:rPr>
          <w:rFonts w:ascii="Arial" w:cs="Arial" w:eastAsia="Arial" w:hAnsi="Arial"/>
          <w:b w:val="false"/>
          <w:bCs w:val="false"/>
          <w:i w:val="false"/>
          <w:iCs w:val="false"/>
          <w:color w:val="333333"/>
          <w:sz w:val="22"/>
          <w:szCs w:val="22"/>
        </w:rPr>
        <w:t xml:space="preserve">Option B is strongly recommended. sage-guard provides a meaningful "gate check" experience — users can evaluate whether a decision is worth deeper reflection in under 100ms. This delivers real value while keeping costs 10-50x lower than full evaluation access. Users who want the full evaluation stack are the exact users most likely to contribute tidings.</w:t>
      </w:r>
    </w:p>
    <w:p>
      <w:pPr>
        <w:pStyle w:val="Heading2"/>
        <w:spacing w:after="200" w:before="240"/>
      </w:pPr>
      <w:r>
        <w:rPr>
          <w:rFonts w:ascii="Arial" w:cs="Arial" w:eastAsia="Arial" w:hAnsi="Arial"/>
          <w:b/>
          <w:bCs/>
        </w:rPr>
        <w:t xml:space="preserve">3.4 Tidings Viability by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1560"/>
        <w:gridCol w:w="1560"/>
        <w:gridCol w:w="1560"/>
      </w:tblGrid>
      <w:tr>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Scenario</w:t>
            </w:r>
          </w:p>
        </w:tc>
        <w:tc>
          <w:tcPr>
            <w:tcW w:type="dxa" w:w="117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Donor %</w:t>
            </w:r>
          </w:p>
        </w:tc>
        <w:tc>
          <w:tcPr>
            <w:tcW w:type="dxa" w:w="117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Avg $/mo</w:t>
            </w:r>
          </w:p>
        </w:tc>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Rev/MAU</w:t>
            </w:r>
          </w:p>
        </w:tc>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Cost/MAU</w:t>
            </w:r>
          </w:p>
        </w:tc>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Viable?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Guard-only + Wikipedia</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2%</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$10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$0.20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$0.03</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i w:val="false"/>
                <w:iCs w:val="false"/>
                <w:color w:val="000000"/>
                <w:sz w:val="20"/>
                <w:szCs w:val="20"/>
              </w:rPr>
              <w:t xml:space="preserve">YES (+567%)</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Guard-only + Niche</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5%</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$15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$0.75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$0.03</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i w:val="false"/>
                <w:iCs w:val="false"/>
                <w:color w:val="000000"/>
                <w:sz w:val="20"/>
                <w:szCs w:val="20"/>
              </w:rPr>
              <w:t xml:space="preserve">YES (+2,400%)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Guard-only + Stoic</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8%</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$20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$1.60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$0.03</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i w:val="false"/>
                <w:iCs w:val="false"/>
                <w:color w:val="000000"/>
                <w:sz w:val="20"/>
                <w:szCs w:val="20"/>
              </w:rPr>
              <w:t xml:space="preserve">YES (+5,233%)</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Full eval + Wikipedia</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2%</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$10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$0.20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$0.60</w:t>
            </w:r>
          </w:p>
        </w:tc>
        <w:tc>
          <w:tcPr>
            <w:tcW w:type="dxa" w:w="156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r>
              <w:rPr>
                <w:rFonts w:ascii="Arial" w:cs="Arial" w:eastAsia="Arial" w:hAnsi="Arial"/>
                <w:b/>
                <w:bCs/>
                <w:i w:val="false"/>
                <w:iCs w:val="false"/>
                <w:color w:val="000000"/>
                <w:sz w:val="20"/>
                <w:szCs w:val="20"/>
              </w:rPr>
              <w:t xml:space="preserve">NO (-67%)</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Full eval + Niche</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5%</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$15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$0.75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$0.60</w:t>
            </w:r>
          </w:p>
        </w:tc>
        <w:tc>
          <w:tcPr>
            <w:tcW w:type="dxa" w:w="15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i w:val="false"/>
                <w:iCs w:val="false"/>
                <w:color w:val="000000"/>
                <w:sz w:val="20"/>
                <w:szCs w:val="20"/>
              </w:rPr>
              <w:t xml:space="preserve">MARGINAL (+25%)</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Full eval + Stoic</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8%</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$20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$1.60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$0.60</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i w:val="false"/>
                <w:iCs w:val="false"/>
                <w:color w:val="000000"/>
                <w:sz w:val="20"/>
                <w:szCs w:val="20"/>
              </w:rPr>
              <w:t xml:space="preserve">YES (+167%)</w:t>
            </w:r>
          </w:p>
        </w:tc>
      </w:tr>
    </w:tbl>
    <w:p>
      <w:pPr>
        <w:spacing w:after="200"/>
        <w:jc w:val="left"/>
      </w:pPr>
      <w:r>
        <w:rPr>
          <w:rFonts w:ascii="Arial" w:cs="Arial" w:eastAsia="Arial" w:hAnsi="Arial"/>
          <w:b w:val="false"/>
          <w:bCs w:val="false"/>
          <w:i w:val="false"/>
          <w:iCs w:val="false"/>
          <w:color w:val="333333"/>
          <w:sz w:val="22"/>
          <w:szCs w:val="22"/>
        </w:rPr>
        <w:t xml:space="preserve"/>
      </w:r>
    </w:p>
    <w:p>
      <w:pPr>
        <w:pStyle w:val="Heading2"/>
        <w:spacing w:after="200" w:before="240"/>
      </w:pPr>
      <w:r>
        <w:rPr>
          <w:rFonts w:ascii="Arial" w:cs="Arial" w:eastAsia="Arial" w:hAnsi="Arial"/>
          <w:b/>
          <w:bCs/>
        </w:rPr>
        <w:t xml:space="preserve">3.5 Scale Projection (Guard-Only + Niche Scenario)</w:t>
      </w:r>
    </w:p>
    <w:p>
      <w:pPr>
        <w:spacing w:after="200"/>
        <w:jc w:val="left"/>
      </w:pPr>
      <w:r>
        <w:rPr>
          <w:rFonts w:ascii="Arial" w:cs="Arial" w:eastAsia="Arial" w:hAnsi="Arial"/>
          <w:b w:val="false"/>
          <w:bCs w:val="false"/>
          <w:i w:val="false"/>
          <w:iCs w:val="false"/>
          <w:color w:val="333333"/>
          <w:sz w:val="22"/>
          <w:szCs w:val="22"/>
        </w:rPr>
        <w:t xml:space="preserve">At the recommended configuration (guard-centred free tier, 5% donor rate, $15 average monthly tidings):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MAU</w:t>
            </w:r>
          </w:p>
        </w:tc>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Donors</w:t>
            </w:r>
          </w:p>
        </w:tc>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Monthly Rev</w:t>
            </w:r>
          </w:p>
        </w:tc>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Monthly Cost</w:t>
            </w:r>
          </w:p>
        </w:tc>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Net/Month</w:t>
            </w:r>
          </w:p>
        </w:tc>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Net/Year</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500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25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$375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$15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$360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$4,320</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1,000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50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$750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$30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$720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$8,640</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2,500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125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$1,875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$75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$1,800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$21,600</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5,000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250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$3,750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$150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$3,600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$43,200</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10,000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500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$7,500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$300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$7,200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$86,400</w:t>
            </w:r>
          </w:p>
        </w:tc>
      </w:tr>
    </w:tbl>
    <w:p>
      <w:pPr>
        <w:spacing w:after="200"/>
        <w:jc w:val="left"/>
      </w:pPr>
      <w:r>
        <w:rPr>
          <w:rFonts w:ascii="Arial" w:cs="Arial" w:eastAsia="Arial" w:hAnsi="Arial"/>
          <w:b w:val="false"/>
          <w:bCs w:val="false"/>
          <w:i w:val="false"/>
          <w:iCs w:val="false"/>
          <w:color w:val="333333"/>
          <w:sz w:val="22"/>
          <w:szCs w:val="22"/>
        </w:rPr>
        <w:t xml:space="preserve"/>
      </w:r>
    </w:p>
    <w:p>
      <w:pPr>
        <w:spacing w:after="200"/>
        <w:jc w:val="left"/>
      </w:pPr>
      <w:r>
        <w:rPr>
          <w:rFonts w:ascii="Arial" w:cs="Arial" w:eastAsia="Arial" w:hAnsi="Arial"/>
          <w:b w:val="false"/>
          <w:bCs w:val="false"/>
          <w:i w:val="false"/>
          <w:iCs w:val="false"/>
          <w:color w:val="333333"/>
          <w:sz w:val="22"/>
          <w:szCs w:val="22"/>
        </w:rPr>
        <w:t xml:space="preserve">At 2,500 monthly active humans, the tidings model generates $1,800/month in net revenue — exceeding the break-even model's projected monthly fixed costs of $279. The tidings revenue would be additive to API revenue from agents.</w:t>
      </w:r>
    </w:p>
    <w:p>
      <w:r>
        <w:br w:type="page"/>
      </w:r>
    </w:p>
    <w:p>
      <w:pPr>
        <w:pStyle w:val="Heading1"/>
        <w:spacing w:after="200" w:before="360"/>
      </w:pPr>
      <w:r>
        <w:rPr>
          <w:rFonts w:ascii="Arial" w:cs="Arial" w:eastAsia="Arial" w:hAnsi="Arial"/>
          <w:b/>
          <w:bCs/>
        </w:rPr>
        <w:t xml:space="preserve">4. Wrapper Revenue Models &amp; Market Data</w:t>
      </w:r>
    </w:p>
    <w:p>
      <w:pPr>
        <w:pStyle w:val="Heading2"/>
        <w:spacing w:after="200" w:before="240"/>
      </w:pPr>
      <w:r>
        <w:rPr>
          <w:rFonts w:ascii="Arial" w:cs="Arial" w:eastAsia="Arial" w:hAnsi="Arial"/>
          <w:b/>
          <w:bCs/>
        </w:rPr>
        <w:t xml:space="preserve">4.1 Market Context</w:t>
      </w:r>
    </w:p>
    <w:p>
      <w:pPr>
        <w:spacing w:after="200"/>
        <w:jc w:val="left"/>
      </w:pPr>
      <w:r>
        <w:rPr>
          <w:rFonts w:ascii="Arial" w:cs="Arial" w:eastAsia="Arial" w:hAnsi="Arial"/>
          <w:b w:val="false"/>
          <w:bCs w:val="false"/>
          <w:i w:val="false"/>
          <w:iCs w:val="false"/>
          <w:color w:val="333333"/>
          <w:sz w:val="22"/>
          <w:szCs w:val="22"/>
        </w:rPr>
        <w:t xml:space="preserve">Industry analysis projects that 80% of AI wrapper startups will fail. The primary survival factor is depth of domain expertise — generic wrappers that add a thin layer over foundation model APIs are commoditised rapidly. SageReasoning's moat is structural: 8 JSON data files encoding Stoic philosophy, a 4-stage evaluation sequence derived from primary sources, and intellectual property protection under R4.</w:t>
      </w:r>
    </w:p>
    <w:p>
      <w:pPr>
        <w:spacing w:after="200"/>
        <w:jc w:val="left"/>
      </w:pPr>
      <w:r>
        <w:rPr>
          <w:rFonts w:ascii="Arial" w:cs="Arial" w:eastAsia="Arial" w:hAnsi="Arial"/>
          <w:b w:val="false"/>
          <w:bCs w:val="false"/>
          <w:i w:val="false"/>
          <w:iCs w:val="false"/>
          <w:color w:val="333333"/>
          <w:sz w:val="22"/>
          <w:szCs w:val="22"/>
        </w:rPr>
        <w:t xml:space="preserve">The credits pricing model is growing 126% year-over-year in SaaS (from 35 to 79 companies in the PricingSaaS 500 Index). This is relevant for wrapper bundling: 1 credit = 1 wrapper action regardless of internal call count simplifies the developer experience.</w:t>
      </w:r>
    </w:p>
    <w:p>
      <w:pPr>
        <w:pStyle w:val="Heading2"/>
        <w:spacing w:after="200" w:before="240"/>
      </w:pPr>
      <w:r>
        <w:rPr>
          <w:rFonts w:ascii="Arial" w:cs="Arial" w:eastAsia="Arial" w:hAnsi="Arial"/>
          <w:b/>
          <w:bCs/>
        </w:rPr>
        <w:t xml:space="preserve">4.2 Revenue Model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Model</w:t>
            </w:r>
          </w:p>
        </w:tc>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Revenue Structure</w:t>
            </w:r>
          </w:p>
        </w:tc>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Conversion Rate</w:t>
            </w:r>
          </w:p>
        </w:tc>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SR Application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Open-source + managed API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Free wrapper; paid API calls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5-15%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R11 pattern: OSS checkpoint, paid server eval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Freemium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Basic free; premium paid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2-5%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Guard free; full stack paid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Embedded B2B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White-label API usage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80-90% retention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R13 embedding; highest lock-in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Bundled pricing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Single price per action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15-25% prefer bundles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Wrapper = 1 action at bundled price</w:t>
            </w:r>
          </w:p>
        </w:tc>
      </w:tr>
    </w:tbl>
    <w:p>
      <w:pPr>
        <w:spacing w:after="200"/>
        <w:jc w:val="left"/>
      </w:pPr>
      <w:r>
        <w:rPr>
          <w:rFonts w:ascii="Arial" w:cs="Arial" w:eastAsia="Arial" w:hAnsi="Arial"/>
          <w:b w:val="false"/>
          <w:bCs w:val="false"/>
          <w:i w:val="false"/>
          <w:iCs w:val="false"/>
          <w:color w:val="333333"/>
          <w:sz w:val="22"/>
          <w:szCs w:val="22"/>
        </w:rPr>
        <w:t xml:space="preserve"/>
      </w:r>
    </w:p>
    <w:p>
      <w:pPr>
        <w:spacing w:after="200"/>
        <w:jc w:val="left"/>
      </w:pPr>
      <w:r>
        <w:rPr>
          <w:rFonts w:ascii="Arial" w:cs="Arial" w:eastAsia="Arial" w:hAnsi="Arial"/>
          <w:b w:val="false"/>
          <w:bCs w:val="false"/>
          <w:i w:val="false"/>
          <w:iCs w:val="false"/>
          <w:color w:val="333333"/>
          <w:sz w:val="22"/>
          <w:szCs w:val="22"/>
        </w:rPr>
        <w:t xml:space="preserve">The recommended approach combines open-source distribution (R11: wrappers contain only checkpoint patterns) with managed API pricing. This is the proven model: free adoption driver with paid evaluation server. The embedded B2B model (R13) offers the highest retention but requires enterprise sales capability.</w:t>
      </w:r>
    </w:p>
    <w:p>
      <w:r>
        <w:br w:type="page"/>
      </w:r>
    </w:p>
    <w:p>
      <w:pPr>
        <w:pStyle w:val="Heading1"/>
        <w:spacing w:after="200" w:before="360"/>
      </w:pPr>
      <w:r>
        <w:rPr>
          <w:rFonts w:ascii="Arial" w:cs="Arial" w:eastAsia="Arial" w:hAnsi="Arial"/>
          <w:b/>
          <w:bCs/>
        </w:rPr>
        <w:t xml:space="preserve">5. Revised Recommendations</w:t>
      </w:r>
    </w:p>
    <w:p>
      <w:pPr>
        <w:spacing w:after="200"/>
        <w:jc w:val="left"/>
      </w:pPr>
      <w:r>
        <w:rPr>
          <w:rFonts w:ascii="Arial" w:cs="Arial" w:eastAsia="Arial" w:hAnsi="Arial"/>
          <w:b w:val="false"/>
          <w:bCs w:val="false"/>
          <w:i w:val="false"/>
          <w:iCs w:val="false"/>
          <w:color w:val="333333"/>
          <w:sz w:val="22"/>
          <w:szCs w:val="22"/>
        </w:rPr>
        <w:t xml:space="preserve">The following recommendations replace and supersede the P1-P10 list from the initial report, incorporating wrapper economics, assessment benchmarks, and tidings model findings.</w:t>
      </w:r>
    </w:p>
    <w:p>
      <w:pPr>
        <w:pStyle w:val="ListParagraph"/>
        <w:numPr>
          <w:ilvl w:val="0"/>
          <w:numId w:val="3"/>
        </w:numPr>
        <w:spacing w:after="200"/>
      </w:pPr>
      <w:r>
        <w:rPr>
          <w:rFonts w:ascii="Arial" w:cs="Arial" w:eastAsia="Arial" w:hAnsi="Arial"/>
          <w:b/>
          <w:bCs/>
          <w:sz w:val="22"/>
          <w:szCs w:val="22"/>
        </w:rPr>
        <w:t xml:space="preserve">P1 (HIGH): Count wrapper invocations as single actions. </w:t>
      </w:r>
      <w:r>
        <w:rPr>
          <w:rFonts w:ascii="Arial" w:cs="Arial" w:eastAsia="Arial" w:hAnsi="Arial"/>
          <w:sz w:val="22"/>
          <w:szCs w:val="22"/>
        </w:rPr>
        <w:t xml:space="preserve">A guard+score+iterate sequence = 1 action in rate limits, not 3 calls. Charge a bundled wrapper price. This aligns developer experience with value delivery.</w:t>
      </w:r>
    </w:p>
    <w:p>
      <w:pPr>
        <w:pStyle w:val="ListParagraph"/>
        <w:numPr>
          <w:ilvl w:val="0"/>
          <w:numId w:val="3"/>
        </w:numPr>
        <w:spacing w:after="200"/>
      </w:pPr>
      <w:r>
        <w:rPr>
          <w:rFonts w:ascii="Arial" w:cs="Arial" w:eastAsia="Arial" w:hAnsi="Arial"/>
          <w:b/>
          <w:bCs/>
          <w:sz w:val="22"/>
          <w:szCs w:val="22"/>
        </w:rPr>
        <w:t xml:space="preserve">P2 (HIGH): Vary rate limits by product type. </w:t>
      </w:r>
      <w:r>
        <w:rPr>
          <w:rFonts w:ascii="Arial" w:cs="Arial" w:eastAsia="Arial" w:hAnsi="Arial"/>
          <w:sz w:val="22"/>
          <w:szCs w:val="22"/>
        </w:rPr>
        <w:t xml:space="preserve">sage-guard: 500/mo free. sage-reason/score: 100/mo. sage-iterate: 50 chains/mo. Reflects 66x cost difference between cheapest and most expensive calls.</w:t>
      </w:r>
    </w:p>
    <w:p>
      <w:pPr>
        <w:pStyle w:val="ListParagraph"/>
        <w:numPr>
          <w:ilvl w:val="0"/>
          <w:numId w:val="3"/>
        </w:numPr>
        <w:spacing w:after="200"/>
      </w:pPr>
      <w:r>
        <w:rPr>
          <w:rFonts w:ascii="Arial" w:cs="Arial" w:eastAsia="Arial" w:hAnsi="Arial"/>
          <w:b/>
          <w:bCs/>
          <w:sz w:val="22"/>
          <w:szCs w:val="22"/>
        </w:rPr>
        <w:t xml:space="preserve">P3 (HIGH): Benchmark against assessment APIs. </w:t>
      </w:r>
      <w:r>
        <w:rPr>
          <w:rFonts w:ascii="Arial" w:cs="Arial" w:eastAsia="Arial" w:hAnsi="Arial"/>
          <w:sz w:val="22"/>
          <w:szCs w:val="22"/>
        </w:rPr>
        <w:t xml:space="preserve">Position pricing against Hume AI, Clearbit, Crystal Knows — per-evaluation tools that deliver analytical value in seconds. Drop AWS/Azure from all comparison materials.</w:t>
      </w:r>
    </w:p>
    <w:p>
      <w:pPr>
        <w:pStyle w:val="ListParagraph"/>
        <w:numPr>
          <w:ilvl w:val="0"/>
          <w:numId w:val="3"/>
        </w:numPr>
        <w:spacing w:after="200"/>
      </w:pPr>
      <w:r>
        <w:rPr>
          <w:rFonts w:ascii="Arial" w:cs="Arial" w:eastAsia="Arial" w:hAnsi="Arial"/>
          <w:b/>
          <w:bCs/>
          <w:sz w:val="22"/>
          <w:szCs w:val="22"/>
        </w:rPr>
        <w:t xml:space="preserve">P4 (HIGH): Design free human tier around sage-guard. </w:t>
      </w:r>
      <w:r>
        <w:rPr>
          <w:rFonts w:ascii="Arial" w:cs="Arial" w:eastAsia="Arial" w:hAnsi="Arial"/>
          <w:sz w:val="22"/>
          <w:szCs w:val="22"/>
        </w:rPr>
        <w:t xml:space="preserve">If pursuing tidings: free humans get sage-guard (unlimited gate checks) + limited sage-reason (10/day). Cost per user drops to $0.03-0.06/mo, enabling donation sustainability.</w:t>
      </w:r>
    </w:p>
    <w:p>
      <w:pPr>
        <w:pStyle w:val="ListParagraph"/>
        <w:numPr>
          <w:ilvl w:val="0"/>
          <w:numId w:val="3"/>
        </w:numPr>
        <w:spacing w:after="200"/>
      </w:pPr>
      <w:r>
        <w:rPr>
          <w:rFonts w:ascii="Arial" w:cs="Arial" w:eastAsia="Arial" w:hAnsi="Arial"/>
          <w:b/>
          <w:bCs/>
          <w:sz w:val="22"/>
          <w:szCs w:val="22"/>
        </w:rPr>
        <w:t xml:space="preserve">P5 (HIGH): Separate human and agent rate limit pools. </w:t>
      </w:r>
      <w:r>
        <w:rPr>
          <w:rFonts w:ascii="Arial" w:cs="Arial" w:eastAsia="Arial" w:hAnsi="Arial"/>
          <w:sz w:val="22"/>
          <w:szCs w:val="22"/>
        </w:rPr>
        <w:t xml:space="preserve">Human actions (web UI) and agent actions (API) need independent quotas. This enables tidings for humans while maintaining usage-based pricing for agents.</w:t>
      </w:r>
    </w:p>
    <w:p>
      <w:pPr>
        <w:pStyle w:val="ListParagraph"/>
        <w:numPr>
          <w:ilvl w:val="0"/>
          <w:numId w:val="3"/>
        </w:numPr>
        <w:spacing w:after="200"/>
      </w:pPr>
      <w:r>
        <w:rPr>
          <w:rFonts w:ascii="Arial" w:cs="Arial" w:eastAsia="Arial" w:hAnsi="Arial"/>
          <w:b/>
          <w:bCs/>
          <w:sz w:val="22"/>
          <w:szCs w:val="22"/>
        </w:rPr>
        <w:t xml:space="preserve">P6 (MEDIUM): Implement tidings with suggested amounts. </w:t>
      </w:r>
      <w:r>
        <w:rPr>
          <w:rFonts w:ascii="Arial" w:cs="Arial" w:eastAsia="Arial" w:hAnsi="Arial"/>
          <w:sz w:val="22"/>
          <w:szCs w:val="22"/>
        </w:rPr>
        <w:t xml:space="preserve">Offer $5/$10/$25 monthly. Frame as prokopton contribution. Monthly recurring is 42% more valuable annually than one-time. Target 5% conversion at $15 avg.</w:t>
      </w:r>
    </w:p>
    <w:p>
      <w:pPr>
        <w:pStyle w:val="ListParagraph"/>
        <w:numPr>
          <w:ilvl w:val="0"/>
          <w:numId w:val="3"/>
        </w:numPr>
        <w:spacing w:after="200"/>
      </w:pPr>
      <w:r>
        <w:rPr>
          <w:rFonts w:ascii="Arial" w:cs="Arial" w:eastAsia="Arial" w:hAnsi="Arial"/>
          <w:b/>
          <w:bCs/>
          <w:sz w:val="22"/>
          <w:szCs w:val="22"/>
        </w:rPr>
        <w:t xml:space="preserve">P7 (MEDIUM): Add wrapper bundled pricing. </w:t>
      </w:r>
      <w:r>
        <w:rPr>
          <w:rFonts w:ascii="Arial" w:cs="Arial" w:eastAsia="Arial" w:hAnsi="Arial"/>
          <w:sz w:val="22"/>
          <w:szCs w:val="22"/>
        </w:rPr>
        <w:t xml:space="preserve">Guard+score: $0.05/action. Guard+score+iterate: $0.08/action. Convenience premium over a la carte while maintaining R5 margin.</w:t>
      </w:r>
    </w:p>
    <w:p>
      <w:pPr>
        <w:pStyle w:val="ListParagraph"/>
        <w:numPr>
          <w:ilvl w:val="0"/>
          <w:numId w:val="3"/>
        </w:numPr>
        <w:spacing w:after="200"/>
      </w:pPr>
      <w:r>
        <w:rPr>
          <w:rFonts w:ascii="Arial" w:cs="Arial" w:eastAsia="Arial" w:hAnsi="Arial"/>
          <w:b/>
          <w:bCs/>
          <w:sz w:val="22"/>
          <w:szCs w:val="22"/>
        </w:rPr>
        <w:t xml:space="preserve">P8 (MEDIUM): Adopt credits model for API consumption. </w:t>
      </w:r>
      <w:r>
        <w:rPr>
          <w:rFonts w:ascii="Arial" w:cs="Arial" w:eastAsia="Arial" w:hAnsi="Arial"/>
          <w:sz w:val="22"/>
          <w:szCs w:val="22"/>
        </w:rPr>
        <w:t xml:space="preserve">1 credit = 1 action. Wrappers = 1 credit. Growing 126% YoY in SaaS. Simpler billing, better developer UX.</w:t>
      </w:r>
    </w:p>
    <w:p>
      <w:pPr>
        <w:pStyle w:val="ListParagraph"/>
        <w:numPr>
          <w:ilvl w:val="0"/>
          <w:numId w:val="3"/>
        </w:numPr>
        <w:spacing w:after="200"/>
      </w:pPr>
      <w:r>
        <w:rPr>
          <w:rFonts w:ascii="Arial" w:cs="Arial" w:eastAsia="Arial" w:hAnsi="Arial"/>
          <w:b/>
          <w:bCs/>
          <w:sz w:val="22"/>
          <w:szCs w:val="22"/>
        </w:rPr>
        <w:t xml:space="preserve">P9 (HIGH): Position sage-guard as loss leader. </w:t>
      </w:r>
      <w:r>
        <w:rPr>
          <w:rFonts w:ascii="Arial" w:cs="Arial" w:eastAsia="Arial" w:hAnsi="Arial"/>
          <w:sz w:val="22"/>
          <w:szCs w:val="22"/>
        </w:rPr>
        <w:t xml:space="preserve">At $0.001/call ($0.002 to developer), sage-guard is cheaper than any competitor. Use as entry point for the evaluation stack.</w:t>
      </w:r>
    </w:p>
    <w:p>
      <w:pPr>
        <w:pStyle w:val="ListParagraph"/>
        <w:numPr>
          <w:ilvl w:val="0"/>
          <w:numId w:val="3"/>
        </w:numPr>
        <w:spacing w:after="200"/>
      </w:pPr>
      <w:r>
        <w:rPr>
          <w:rFonts w:ascii="Arial" w:cs="Arial" w:eastAsia="Arial" w:hAnsi="Arial"/>
          <w:b/>
          <w:bCs/>
          <w:sz w:val="22"/>
          <w:szCs w:val="22"/>
        </w:rPr>
        <w:t xml:space="preserve">P10 (MEDIUM): Track wrapper-to-paid conversion funnel. </w:t>
      </w:r>
      <w:r>
        <w:rPr>
          <w:rFonts w:ascii="Arial" w:cs="Arial" w:eastAsia="Arial" w:hAnsi="Arial"/>
          <w:sz w:val="22"/>
          <w:szCs w:val="22"/>
        </w:rPr>
        <w:t xml:space="preserve">Measure: wrapper downloads, API key signup, first paid call, monthly active. Target 5-15% conversion at each stage.</w:t>
      </w:r>
    </w:p>
    <w:p>
      <w:r>
        <w:br w:type="page"/>
      </w:r>
    </w:p>
    <w:p>
      <w:pPr>
        <w:pStyle w:val="Heading1"/>
        <w:spacing w:after="200" w:before="360"/>
      </w:pPr>
      <w:r>
        <w:rPr>
          <w:rFonts w:ascii="Arial" w:cs="Arial" w:eastAsia="Arial" w:hAnsi="Arial"/>
          <w:b/>
          <w:bCs/>
        </w:rPr>
        <w:t xml:space="preserve">6. Cross-Check Against Break-Even Model</w:t>
      </w:r>
    </w:p>
    <w:p>
      <w:pPr>
        <w:spacing w:after="200"/>
        <w:jc w:val="left"/>
      </w:pPr>
      <w:r>
        <w:rPr>
          <w:rFonts w:ascii="Arial" w:cs="Arial" w:eastAsia="Arial" w:hAnsi="Arial"/>
          <w:b w:val="false"/>
          <w:bCs w:val="false"/>
          <w:i w:val="false"/>
          <w:iCs w:val="false"/>
          <w:color w:val="333333"/>
          <w:sz w:val="22"/>
          <w:szCs w:val="22"/>
        </w:rPr>
        <w:t xml:space="preserve">The revised pricing recommendations are compatible with the existing break-even model (SageReasoning_BreakEven_Analysis.xlsx). Key alignment points:</w:t>
      </w:r>
    </w:p>
    <w:p>
      <w:pPr>
        <w:pStyle w:val="ListParagraph"/>
        <w:numPr>
          <w:ilvl w:val="0"/>
          <w:numId w:val="2"/>
        </w:numPr>
      </w:pPr>
      <w:r>
        <w:rPr>
          <w:rFonts w:ascii="Arial" w:cs="Arial" w:eastAsia="Arial" w:hAnsi="Arial"/>
          <w:b/>
          <w:bCs/>
          <w:sz w:val="22"/>
          <w:szCs w:val="22"/>
        </w:rPr>
        <w:t xml:space="preserve">R5 margin preserved: </w:t>
      </w:r>
      <w:r>
        <w:rPr>
          <w:rFonts w:ascii="Arial" w:cs="Arial" w:eastAsia="Arial" w:hAnsi="Arial"/>
          <w:sz w:val="22"/>
          <w:szCs w:val="22"/>
        </w:rPr>
        <w:t xml:space="preserve">All pricing (including wrapper bundles) maintains the 200% markup / 50% gross margin structure. Bundled wrapper prices ($0.05 and $0.08) exceed 2x the sum of constituent LLM costs.</w:t>
      </w:r>
    </w:p>
    <w:p>
      <w:pPr>
        <w:pStyle w:val="ListParagraph"/>
        <w:numPr>
          <w:ilvl w:val="0"/>
          <w:numId w:val="2"/>
        </w:numPr>
      </w:pPr>
      <w:r>
        <w:rPr>
          <w:rFonts w:ascii="Arial" w:cs="Arial" w:eastAsia="Arial" w:hAnsi="Arial"/>
          <w:b/>
          <w:bCs/>
          <w:sz w:val="22"/>
          <w:szCs w:val="22"/>
        </w:rPr>
        <w:t xml:space="preserve">Agent revenue unaffected: </w:t>
      </w:r>
      <w:r>
        <w:rPr>
          <w:rFonts w:ascii="Arial" w:cs="Arial" w:eastAsia="Arial" w:hAnsi="Arial"/>
          <w:sz w:val="22"/>
          <w:szCs w:val="22"/>
        </w:rPr>
        <w:t xml:space="preserve">The break-even model's M12 projection of $3,023/mo agent revenue remains valid. The tidings model adds a separate human revenue stream ($720-7,500/mo at 1K-10K MAU) that is entirely additive.</w:t>
      </w:r>
    </w:p>
    <w:p>
      <w:pPr>
        <w:pStyle w:val="ListParagraph"/>
        <w:numPr>
          <w:ilvl w:val="0"/>
          <w:numId w:val="2"/>
        </w:numPr>
      </w:pPr>
      <w:r>
        <w:rPr>
          <w:rFonts w:ascii="Arial" w:cs="Arial" w:eastAsia="Arial" w:hAnsi="Arial"/>
          <w:b/>
          <w:bCs/>
          <w:sz w:val="22"/>
          <w:szCs w:val="22"/>
        </w:rPr>
        <w:t xml:space="preserve">Break-even timeline unchanged: </w:t>
      </w:r>
      <w:r>
        <w:rPr>
          <w:rFonts w:ascii="Arial" w:cs="Arial" w:eastAsia="Arial" w:hAnsi="Arial"/>
          <w:sz w:val="22"/>
          <w:szCs w:val="22"/>
        </w:rPr>
        <w:t xml:space="preserve">Month 5-6 break-even from agent revenue alone. Tidings revenue accelerates this if human adoption precedes agent adoption.</w:t>
      </w:r>
    </w:p>
    <w:p>
      <w:pPr>
        <w:pStyle w:val="ListParagraph"/>
        <w:numPr>
          <w:ilvl w:val="0"/>
          <w:numId w:val="2"/>
        </w:numPr>
      </w:pPr>
      <w:r>
        <w:rPr>
          <w:rFonts w:ascii="Arial" w:cs="Arial" w:eastAsia="Arial" w:hAnsi="Arial"/>
          <w:b/>
          <w:bCs/>
          <w:sz w:val="22"/>
          <w:szCs w:val="22"/>
        </w:rPr>
        <w:t xml:space="preserve">Monthly fixed costs ($279) easily covered: </w:t>
      </w:r>
      <w:r>
        <w:rPr>
          <w:rFonts w:ascii="Arial" w:cs="Arial" w:eastAsia="Arial" w:hAnsi="Arial"/>
          <w:sz w:val="22"/>
          <w:szCs w:val="22"/>
        </w:rPr>
        <w:t xml:space="preserve">Even the conservative tidings scenario (guard-only + Wikipedia-level 2% at $10) at 500 MAU generates $97/mo in tidings. Combined with agent revenue, total revenue would exceed costs by Month 3-4.</w:t>
      </w:r>
    </w:p>
    <w:p>
      <w:pPr>
        <w:pStyle w:val="ListParagraph"/>
        <w:numPr>
          <w:ilvl w:val="0"/>
          <w:numId w:val="2"/>
        </w:numPr>
      </w:pPr>
      <w:r>
        <w:rPr>
          <w:rFonts w:ascii="Arial" w:cs="Arial" w:eastAsia="Arial" w:hAnsi="Arial"/>
          <w:b/>
          <w:bCs/>
          <w:sz w:val="22"/>
          <w:szCs w:val="22"/>
        </w:rPr>
        <w:t xml:space="preserve">Product-specific rate limits increase effective free tier value: </w:t>
      </w:r>
      <w:r>
        <w:rPr>
          <w:rFonts w:ascii="Arial" w:cs="Arial" w:eastAsia="Arial" w:hAnsi="Arial"/>
          <w:sz w:val="22"/>
          <w:szCs w:val="22"/>
        </w:rPr>
        <w:t xml:space="preserve">Moving from flat 100 calls/mo to 500 guard + 100 reason + 50 iterate gives agents significantly more free usage for the cheapest calls while maintaining cost control on expensive ones.</w:t>
      </w:r>
    </w:p>
    <w:p>
      <w:pPr>
        <w:spacing w:after="200"/>
        <w:jc w:val="left"/>
      </w:pPr>
      <w:r>
        <w:rPr>
          <w:rFonts w:ascii="Arial" w:cs="Arial" w:eastAsia="Arial" w:hAnsi="Arial"/>
          <w:b w:val="false"/>
          <w:bCs w:val="false"/>
          <w:i w:val="false"/>
          <w:iCs w:val="false"/>
          <w:color w:val="333333"/>
          <w:sz w:val="22"/>
          <w:szCs w:val="22"/>
        </w:rPr>
        <w:t xml:space="preserve"/>
      </w:r>
    </w:p>
    <w:p>
      <w:pPr>
        <w:spacing w:after="200"/>
        <w:jc w:val="left"/>
      </w:pPr>
      <w:r>
        <w:rPr>
          <w:rFonts w:ascii="Arial" w:cs="Arial" w:eastAsia="Arial" w:hAnsi="Arial"/>
          <w:b w:val="false"/>
          <w:bCs w:val="false"/>
          <w:i w:val="false"/>
          <w:iCs w:val="false"/>
          <w:color w:val="333333"/>
          <w:sz w:val="22"/>
          <w:szCs w:val="22"/>
        </w:rPr>
        <w:t xml:space="preserve">The one area requiring a break-even model update is the addition of a human cost line. If the tidings model is adopted, the break-even spreadsheet should add a "Human Tier" sheet modelling MAU growth, per-user cost (guard-centred), donor conversion, and tidings revenue as a separate revenue stream alongside agent revenue.</w:t>
      </w:r>
    </w:p>
    <w:p>
      <w:pPr>
        <w:spacing w:after="600"/>
        <w:jc w:val="left"/>
      </w:pPr>
      <w:r>
        <w:rPr>
          <w:rFonts w:ascii="Arial" w:cs="Arial" w:eastAsia="Arial" w:hAnsi="Arial"/>
          <w:b w:val="false"/>
          <w:bCs w:val="false"/>
          <w:i w:val="false"/>
          <w:iCs w:val="false"/>
          <w:color w:val="333333"/>
          <w:sz w:val="22"/>
          <w:szCs w:val="22"/>
        </w:rPr>
        <w:t xml:space="preserve"/>
      </w:r>
    </w:p>
    <w:p>
      <w:pPr>
        <w:spacing w:after="200"/>
        <w:jc w:val="center"/>
      </w:pPr>
      <w:r>
        <w:rPr>
          <w:rFonts w:ascii="Arial" w:cs="Arial" w:eastAsia="Arial" w:hAnsi="Arial"/>
          <w:b w:val="false"/>
          <w:bCs w:val="false"/>
          <w:i/>
          <w:iCs/>
          <w:color w:val="999999"/>
          <w:sz w:val="22"/>
          <w:szCs w:val="22"/>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SageReasoning Deep Market Research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2026-04-03T00:12:56.666Z</dcterms:created>
  <dcterms:modified xsi:type="dcterms:W3CDTF">2026-04-03T00:12:56.666Z</dcterms:modified>
</cp:coreProperties>
</file>

<file path=docProps/custom.xml><?xml version="1.0" encoding="utf-8"?>
<Properties xmlns="http://schemas.openxmlformats.org/officeDocument/2006/custom-properties" xmlns:vt="http://schemas.openxmlformats.org/officeDocument/2006/docPropsVTypes"/>
</file>