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2C3E2C"/>
          <w:sz w:val="48"/>
          <w:szCs w:val="48"/>
        </w:rPr>
        <w:t xml:space="preserve">SageReasoning.com</w:t>
      </w:r>
    </w:p>
    <w:p>
      <w:pPr>
        <w:spacing w:after="200"/>
        <w:jc w:val="center"/>
      </w:pPr>
      <w:r>
        <w:rPr>
          <w:rFonts w:ascii="Arial" w:cs="Arial" w:eastAsia="Arial" w:hAnsi="Arial"/>
          <w:color w:val="3D5C3D"/>
          <w:sz w:val="36"/>
          <w:szCs w:val="36"/>
        </w:rPr>
        <w:t xml:space="preserve">Competitive Moat Analysis</w:t>
      </w:r>
    </w:p>
    <w:p>
      <w:pPr>
        <w:spacing w:after="200"/>
        <w:jc w:val="center"/>
      </w:pPr>
      <w:r>
        <w:rPr>
          <w:rFonts w:ascii="Arial" w:cs="Arial" w:eastAsia="Arial" w:hAnsi="Arial"/>
          <w:i/>
          <w:iCs/>
          <w:color w:val="666666"/>
          <w:sz w:val="24"/>
          <w:szCs w:val="24"/>
        </w:rPr>
        <w:t xml:space="preserve">Why SageReasoning Becomes More Valuable as AI Models Advance</w:t>
      </w:r>
    </w:p>
    <w:p>
      <w:pPr>
        <w:spacing w:after="800"/>
        <w:jc w:val="center"/>
      </w:pPr>
      <w:r>
        <w:rPr>
          <w:rFonts w:ascii="Arial" w:cs="Arial" w:eastAsia="Arial" w:hAnsi="Arial"/>
          <w:color w:val="666666"/>
          <w:sz w:val="22"/>
          <w:szCs w:val="22"/>
        </w:rPr>
        <w:t xml:space="preserve">April 2026 — Post-Mythos Assessment</w:t>
      </w:r>
    </w:p>
    <w:p>
      <w:pPr>
        <w:jc w:val="center"/>
      </w:pPr>
      <w:r>
        <w:rPr>
          <w:rFonts w:ascii="Arial" w:cs="Arial" w:eastAsia="Arial" w:hAnsi="Arial"/>
          <w:color w:val="999999"/>
          <w:sz w:val="20"/>
          <w:szCs w:val="20"/>
        </w:rPr>
        <w:t xml:space="preserve">Prepared for Clinton Aitkenhead, Sole Founder</w:t>
      </w:r>
    </w:p>
    <w:p>
      <w:r>
        <w:br w:type="page"/>
      </w:r>
    </w:p>
    <w:p>
      <w:pPr>
        <w:pStyle w:val="Heading1"/>
        <w:spacing w:after="200" w:before="360"/>
      </w:pPr>
      <w:r>
        <w:rPr>
          <w:rFonts w:ascii="Arial" w:cs="Arial" w:eastAsia="Arial" w:hAnsi="Arial"/>
          <w:b/>
          <w:bCs/>
          <w:color w:val="2C3E2C"/>
          <w:sz w:val="32"/>
          <w:szCs w:val="32"/>
        </w:rPr>
        <w:t xml:space="preserve">1. The Challenge</w:t>
      </w:r>
    </w:p>
    <w:p>
      <w:pPr>
        <w:spacing w:after="160"/>
      </w:pPr>
      <w:r>
        <w:rPr>
          <w:rFonts w:ascii="Arial" w:cs="Arial" w:eastAsia="Arial" w:hAnsi="Arial"/>
          <w:color w:val="333333"/>
          <w:sz w:val="22"/>
          <w:szCs w:val="22"/>
        </w:rPr>
        <w:t xml:space="preserve">In late March 2026, details leaked about Claude Mythos (codename Capybara), Anthropic’s next-generation AI model. Multiple credible sources confirm it represents a step change in coding, reasoning, and cybersecurity capabilities. Anthropic describes it as their most powerful model to date, in a new tier above Opus.</w:t>
      </w:r>
    </w:p>
    <w:p>
      <w:pPr>
        <w:spacing w:after="160"/>
      </w:pPr>
      <w:r>
        <w:rPr>
          <w:rFonts w:ascii="Arial" w:cs="Arial" w:eastAsia="Arial" w:hAnsi="Arial"/>
          <w:color w:val="333333"/>
          <w:sz w:val="22"/>
          <w:szCs w:val="22"/>
        </w:rPr>
        <w:t xml:space="preserve">This raises a direct question for SageReasoning: if a model like Mythos can reason about Stoic philosophy from a raw prompt, why would anyone pay for an API that does the same thing?</w:t>
      </w:r>
    </w:p>
    <w:p>
      <w:pPr>
        <w:spacing w:after="160"/>
      </w:pPr>
      <w:r>
        <w:rPr>
          <w:rFonts w:ascii="Arial" w:cs="Arial" w:eastAsia="Arial" w:hAnsi="Arial"/>
          <w:color w:val="333333"/>
          <w:sz w:val="22"/>
          <w:szCs w:val="22"/>
        </w:rPr>
        <w:t xml:space="preserve">This document answers that question by identifying what SageReasoning provides that raw prompting cannot, regardless of model capability.</w:t>
      </w:r>
    </w:p>
    <w:p>
      <w:pPr>
        <w:pStyle w:val="Heading1"/>
        <w:spacing w:after="200" w:before="360"/>
      </w:pPr>
      <w:r>
        <w:rPr>
          <w:rFonts w:ascii="Arial" w:cs="Arial" w:eastAsia="Arial" w:hAnsi="Arial"/>
          <w:b/>
          <w:bCs/>
          <w:color w:val="2C3E2C"/>
          <w:sz w:val="32"/>
          <w:szCs w:val="32"/>
        </w:rPr>
        <w:t xml:space="preserve">2. What Raw Prompting Produces vs. What SageReasoning Produces</w:t>
      </w:r>
    </w:p>
    <w:p>
      <w:pPr>
        <w:spacing w:after="160"/>
      </w:pPr>
      <w:r>
        <w:rPr>
          <w:rFonts w:ascii="Arial" w:cs="Arial" w:eastAsia="Arial" w:hAnsi="Arial"/>
          <w:color w:val="333333"/>
          <w:sz w:val="22"/>
          <w:szCs w:val="22"/>
        </w:rPr>
        <w:t xml:space="preserve">A developer could prompt Mythos with something like: “Evaluate this decision using Stoic virtue ethics. Consider wisdom, justice, courage, and temperance.” The model would produce a plausible, well-reasoned response. But it would lack several things that SageReasoning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2C3E2C"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400"/>
            <w:tcBorders>
              <w:top w:val="single" w:color="CCCCCC" w:sz="1"/>
              <w:left w:val="single" w:color="CCCCCC" w:sz="1"/>
              <w:bottom w:val="single" w:color="CCCCCC" w:sz="1"/>
              <w:right w:val="single" w:color="CCCCCC" w:sz="1"/>
            </w:tcBorders>
            <w:shd w:fill="2C3E2C" w:val="clear"/>
            <w:tcMar>
              <w:top w:type="dxa" w:w="80"/>
              <w:left w:type="dxa" w:w="120"/>
              <w:bottom w:type="dxa" w:w="80"/>
              <w:right w:type="dxa" w:w="120"/>
            </w:tcMar>
          </w:tcPr>
          <w:p>
            <w:r>
              <w:rPr>
                <w:rFonts w:ascii="Arial" w:cs="Arial" w:eastAsia="Arial" w:hAnsi="Arial"/>
                <w:b/>
                <w:bCs/>
                <w:color w:val="FFFFFF"/>
                <w:sz w:val="20"/>
                <w:szCs w:val="20"/>
              </w:rPr>
              <w:t xml:space="preserve">Raw Prompting</w:t>
            </w:r>
          </w:p>
        </w:tc>
        <w:tc>
          <w:tcPr>
            <w:tcW w:type="dxa" w:w="3760"/>
            <w:tcBorders>
              <w:top w:val="single" w:color="CCCCCC" w:sz="1"/>
              <w:left w:val="single" w:color="CCCCCC" w:sz="1"/>
              <w:bottom w:val="single" w:color="CCCCCC" w:sz="1"/>
              <w:right w:val="single" w:color="CCCCCC" w:sz="1"/>
            </w:tcBorders>
            <w:shd w:fill="2C3E2C" w:val="clear"/>
            <w:tcMar>
              <w:top w:type="dxa" w:w="80"/>
              <w:left w:type="dxa" w:w="120"/>
              <w:bottom w:type="dxa" w:w="80"/>
              <w:right w:type="dxa" w:w="120"/>
            </w:tcMar>
          </w:tcPr>
          <w:p>
            <w:r>
              <w:rPr>
                <w:rFonts w:ascii="Arial" w:cs="Arial" w:eastAsia="Arial" w:hAnsi="Arial"/>
                <w:b/>
                <w:bCs/>
                <w:color w:val="FFFFFF"/>
                <w:sz w:val="20"/>
                <w:szCs w:val="20"/>
              </w:rPr>
              <w:t xml:space="preserve">SageReasoning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 citations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may reference Stoic texts but cannot guarantee accuracy or traceability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 concept traces to a named primary source (Stobaeus, DL, Cicero, Epictetus, Seneca, Marcus Aurelius) per R7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Reproducible evaluation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Same prompt may produce different evaluation structures each time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4-stage evaluation sequence (prohairesis filter, kathekon, passion diagnosis, unified virtue assessment) produces consistent, structured output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Passions taxonomy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knows about Stoic passions generally but may confuse or invent sub-species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 documented sub-species across 4 root passions, each with mapped false judgements, derived from passions.json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Governance guarantees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None. Model may frame output as therapeutic, make outcome promises, or score virtues independently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 manifest rules enforced: no therapeutic implication (R1), no employment evaluation (R2), disclaimers on all output (R3), no outcome promises (R9)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Qualitative consistency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may default to numeric scores or inconsistent scales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Qualitative proximity levels (reflexive through sage-like) enforced by R6c. No numeric 0-100 scoring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Unity of virtue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may score virtues independently (common in pop-Stoicism)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Virtues assessed as expressions of one unified excellence per R6b, grounded in the unity thesis from virtue.json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Audit trail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persistence, no chain tracking, no receipts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Deliberation chains, reasoning receipts, pattern analysis across evaluation history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Embedding compliance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Platforms using raw prompting have no enforceable ethical constraints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R13 requires embedding platforms to comply with R1, R2, R3, R9. API access revocable for violations</w:t>
            </w:r>
          </w:p>
        </w:tc>
      </w:tr>
    </w:tbl>
    <w:p>
      <w:pPr>
        <w:spacing w:after="200"/>
      </w:pPr>
    </w:p>
    <w:p>
      <w:pPr>
        <w:pStyle w:val="Heading1"/>
        <w:spacing w:after="200" w:before="360"/>
      </w:pPr>
      <w:r>
        <w:rPr>
          <w:rFonts w:ascii="Arial" w:cs="Arial" w:eastAsia="Arial" w:hAnsi="Arial"/>
          <w:b/>
          <w:bCs/>
          <w:color w:val="2C3E2C"/>
          <w:sz w:val="32"/>
          <w:szCs w:val="32"/>
        </w:rPr>
        <w:t xml:space="preserve">3. The Durable Asset: Data + Governance</w:t>
      </w:r>
    </w:p>
    <w:p>
      <w:pPr>
        <w:spacing w:after="160"/>
      </w:pPr>
      <w:r>
        <w:rPr>
          <w:rFonts w:ascii="Arial" w:cs="Arial" w:eastAsia="Arial" w:hAnsi="Arial"/>
          <w:color w:val="333333"/>
          <w:sz w:val="22"/>
          <w:szCs w:val="22"/>
        </w:rPr>
        <w:t xml:space="preserve">SageReasoning’s moat is not its prompts or its scaffolding. Smarter models make those less valuable, not more. The durable assets are:</w:t>
      </w:r>
    </w:p>
    <w:p>
      <w:pPr>
        <w:pStyle w:val="Heading2"/>
        <w:spacing w:after="160" w:before="280"/>
      </w:pPr>
      <w:r>
        <w:rPr>
          <w:rFonts w:ascii="Arial" w:cs="Arial" w:eastAsia="Arial" w:hAnsi="Arial"/>
          <w:b/>
          <w:bCs/>
          <w:color w:val="3D5C3D"/>
          <w:sz w:val="26"/>
          <w:szCs w:val="26"/>
        </w:rPr>
        <w:t xml:space="preserve">3.1 The V3 Stoic Brain Dataset</w:t>
      </w:r>
    </w:p>
    <w:p>
      <w:pPr>
        <w:spacing w:after="160"/>
      </w:pPr>
      <w:r>
        <w:rPr>
          <w:rFonts w:ascii="Arial" w:cs="Arial" w:eastAsia="Arial" w:hAnsi="Arial"/>
          <w:color w:val="333333"/>
          <w:sz w:val="22"/>
          <w:szCs w:val="22"/>
        </w:rPr>
        <w:t xml:space="preserve">Eight structured JSON files encoding 2,000 years of Stoic philosophy into machine-readable evaluation frameworks. Each file is derived from 9 primary source translations (Greek and Latin TEI XML), with passage-level citations. This dataset took months of scholarly work to produce and cannot be replicated by prompting a model, no matter how capable.</w:t>
      </w:r>
    </w:p>
    <w:p>
      <w:pPr>
        <w:spacing w:after="160"/>
      </w:pPr>
      <w:r>
        <w:rPr>
          <w:rFonts w:ascii="Arial" w:cs="Arial" w:eastAsia="Arial" w:hAnsi="Arial"/>
          <w:color w:val="333333"/>
          <w:sz w:val="22"/>
          <w:szCs w:val="22"/>
        </w:rPr>
        <w:t xml:space="preserve">The dataset includes domain-specific structures that no model can infer: the passions taxonomy with 25 sub-species and mapped false judgements, the oikeiosis sequence with 5 expanding circles of social obligation, Cicero’s 5-question deliberation framework, and the Senecan 3-grade progress model with 4 measurable dimensions.</w:t>
      </w:r>
    </w:p>
    <w:p>
      <w:pPr>
        <w:pStyle w:val="Heading2"/>
        <w:spacing w:after="160" w:before="280"/>
      </w:pPr>
      <w:r>
        <w:rPr>
          <w:rFonts w:ascii="Arial" w:cs="Arial" w:eastAsia="Arial" w:hAnsi="Arial"/>
          <w:b/>
          <w:bCs/>
          <w:color w:val="3D5C3D"/>
          <w:sz w:val="26"/>
          <w:szCs w:val="26"/>
        </w:rPr>
        <w:t xml:space="preserve">3.2 The 13 Governance Rules (Manifest)</w:t>
      </w:r>
    </w:p>
    <w:p>
      <w:pPr>
        <w:spacing w:after="160"/>
      </w:pPr>
      <w:r>
        <w:rPr>
          <w:rFonts w:ascii="Arial" w:cs="Arial" w:eastAsia="Arial" w:hAnsi="Arial"/>
          <w:color w:val="333333"/>
          <w:sz w:val="22"/>
          <w:szCs w:val="22"/>
        </w:rPr>
        <w:t xml:space="preserve">The manifest (R1–R13) is a compliance framework that constrains how Stoic reasoning is applied. It prevents therapeutic misuse, employment discrimination, outcome promises, and IP exposure. These rules are enforced server-side and cannot be bypassed by the client model.</w:t>
      </w:r>
    </w:p>
    <w:p>
      <w:pPr>
        <w:spacing w:after="160"/>
      </w:pPr>
      <w:r>
        <w:rPr>
          <w:rFonts w:ascii="Arial" w:cs="Arial" w:eastAsia="Arial" w:hAnsi="Arial"/>
          <w:color w:val="333333"/>
          <w:sz w:val="22"/>
          <w:szCs w:val="22"/>
        </w:rPr>
        <w:t xml:space="preserve">This is the critical difference: a raw prompt can ask a model to reason like a Stoic, but it cannot guarantee that the output won’t be framed as therapy, used for hiring decisions, or presented without disclaimers. SageReasoning’s governance rules provide that guarantee.</w:t>
      </w:r>
    </w:p>
    <w:p>
      <w:pPr>
        <w:pStyle w:val="Heading2"/>
        <w:spacing w:after="160" w:before="280"/>
      </w:pPr>
      <w:r>
        <w:rPr>
          <w:rFonts w:ascii="Arial" w:cs="Arial" w:eastAsia="Arial" w:hAnsi="Arial"/>
          <w:b/>
          <w:bCs/>
          <w:color w:val="3D5C3D"/>
          <w:sz w:val="26"/>
          <w:szCs w:val="26"/>
        </w:rPr>
        <w:t xml:space="preserve">3.3 The Evaluation Sequence Design</w:t>
      </w:r>
    </w:p>
    <w:p>
      <w:pPr>
        <w:spacing w:after="160"/>
      </w:pPr>
      <w:r>
        <w:rPr>
          <w:rFonts w:ascii="Arial" w:cs="Arial" w:eastAsia="Arial" w:hAnsi="Arial"/>
          <w:color w:val="333333"/>
          <w:sz w:val="22"/>
          <w:szCs w:val="22"/>
        </w:rPr>
        <w:t xml:space="preserve">The 4-stage evaluation sequence (prohairesis filter, kathekon assessment, passion diagnosis, unified virtue assessment) is a novel application of Stoic philosophy to structured reasoning evaluation. It is protected as intellectual property under R4 and is not exposed in API responses. A model can produce Stoic-flavoured reasoning, but it cannot reproduce this specific evaluation architecture without access to the server-side logic.</w:t>
      </w:r>
    </w:p>
    <w:p>
      <w:r>
        <w:br w:type="page"/>
      </w:r>
    </w:p>
    <w:p>
      <w:pPr>
        <w:pStyle w:val="Heading1"/>
        <w:spacing w:after="200" w:before="360"/>
      </w:pPr>
      <w:r>
        <w:rPr>
          <w:rFonts w:ascii="Arial" w:cs="Arial" w:eastAsia="Arial" w:hAnsi="Arial"/>
          <w:b/>
          <w:bCs/>
          <w:color w:val="2C3E2C"/>
          <w:sz w:val="32"/>
          <w:szCs w:val="32"/>
        </w:rPr>
        <w:t xml:space="preserve">4. Reframing: Compliance Infrastructure, Not Convenience Wrapper</w:t>
      </w:r>
    </w:p>
    <w:p>
      <w:pPr>
        <w:spacing w:after="160"/>
      </w:pPr>
      <w:r>
        <w:rPr>
          <w:rFonts w:ascii="Arial" w:cs="Arial" w:eastAsia="Arial" w:hAnsi="Arial"/>
          <w:color w:val="333333"/>
          <w:sz w:val="22"/>
          <w:szCs w:val="22"/>
        </w:rPr>
        <w:t xml:space="preserve">The pre-Mythos positioning of SageReasoning was primarily as a convenience API: call one endpoint, get a Stoic evaluation. With Mythos-class models, that convenience value diminishes because the model can produce similar output directly.</w:t>
      </w:r>
    </w:p>
    <w:p>
      <w:pPr>
        <w:spacing w:after="160"/>
      </w:pPr>
      <w:r>
        <w:rPr>
          <w:rFonts w:ascii="Arial" w:cs="Arial" w:eastAsia="Arial" w:hAnsi="Arial"/>
          <w:color w:val="333333"/>
          <w:sz w:val="22"/>
          <w:szCs w:val="22"/>
        </w:rPr>
        <w:t xml:space="preserve">The post-Mythos positioning should be: SageReasoning is compliance infrastructure for Stoic reasoning. It provides:</w:t>
      </w:r>
    </w:p>
    <w:p>
      <w:pPr>
        <w:spacing w:after="160"/>
      </w:pPr>
      <w:r>
        <w:rPr>
          <w:rFonts w:ascii="Arial" w:cs="Arial" w:eastAsia="Arial" w:hAnsi="Arial"/>
          <w:b/>
          <w:bCs/>
          <w:color w:val="333333"/>
          <w:sz w:val="22"/>
          <w:szCs w:val="22"/>
        </w:rPr>
        <w:t xml:space="preserve">Verified reasoning: </w:t>
      </w:r>
      <w:r>
        <w:rPr>
          <w:rFonts w:ascii="Arial" w:cs="Arial" w:eastAsia="Arial" w:hAnsi="Arial"/>
          <w:color w:val="333333"/>
          <w:sz w:val="22"/>
          <w:szCs w:val="22"/>
        </w:rPr>
        <w:t xml:space="preserve">Every evaluation traces to primary sources. An agent using SageReasoning can cite Stobaeus Ecl. 2.59-63 for its virtue assessment. An agent using raw prompting cannot guarantee citation accuracy.</w:t>
      </w:r>
    </w:p>
    <w:p>
      <w:pPr>
        <w:spacing w:after="160"/>
      </w:pPr>
      <w:r>
        <w:rPr>
          <w:rFonts w:ascii="Arial" w:cs="Arial" w:eastAsia="Arial" w:hAnsi="Arial"/>
          <w:b/>
          <w:bCs/>
          <w:color w:val="333333"/>
          <w:sz w:val="22"/>
          <w:szCs w:val="22"/>
        </w:rPr>
        <w:t xml:space="preserve">Auditable output: </w:t>
      </w:r>
      <w:r>
        <w:rPr>
          <w:rFonts w:ascii="Arial" w:cs="Arial" w:eastAsia="Arial" w:hAnsi="Arial"/>
          <w:color w:val="333333"/>
          <w:sz w:val="22"/>
          <w:szCs w:val="22"/>
        </w:rPr>
        <w:t xml:space="preserve">Reasoning receipts, deliberation chains, and pattern analysis create an audit trail. Enterprises and regulated industries need this.</w:t>
      </w:r>
    </w:p>
    <w:p>
      <w:pPr>
        <w:spacing w:after="160"/>
      </w:pPr>
      <w:r>
        <w:rPr>
          <w:rFonts w:ascii="Arial" w:cs="Arial" w:eastAsia="Arial" w:hAnsi="Arial"/>
          <w:b/>
          <w:bCs/>
          <w:color w:val="333333"/>
          <w:sz w:val="22"/>
          <w:szCs w:val="22"/>
        </w:rPr>
        <w:t xml:space="preserve">Governed evaluation: </w:t>
      </w:r>
      <w:r>
        <w:rPr>
          <w:rFonts w:ascii="Arial" w:cs="Arial" w:eastAsia="Arial" w:hAnsi="Arial"/>
          <w:color w:val="333333"/>
          <w:sz w:val="22"/>
          <w:szCs w:val="22"/>
        </w:rPr>
        <w:t xml:space="preserve">The 13 manifest rules provide contractual guarantees about what the output will and will not contain. This is essential for platforms embedding Stoic reasoning in their products (R13).</w:t>
      </w:r>
    </w:p>
    <w:p>
      <w:pPr>
        <w:spacing w:after="160"/>
      </w:pPr>
      <w:r>
        <w:rPr>
          <w:rFonts w:ascii="Arial" w:cs="Arial" w:eastAsia="Arial" w:hAnsi="Arial"/>
          <w:b/>
          <w:bCs/>
          <w:color w:val="333333"/>
          <w:sz w:val="22"/>
          <w:szCs w:val="22"/>
        </w:rPr>
        <w:t xml:space="preserve">Model-agnostic operation: </w:t>
      </w:r>
      <w:r>
        <w:rPr>
          <w:rFonts w:ascii="Arial" w:cs="Arial" w:eastAsia="Arial" w:hAnsi="Arial"/>
          <w:color w:val="333333"/>
          <w:sz w:val="22"/>
          <w:szCs w:val="22"/>
        </w:rPr>
        <w:t xml:space="preserve">SageReasoning works with any sufficiently capable model. When Mythos is publicly available, the API can switch to it without any consumer-facing changes. The value is in the data layer and governance, not the model.</w:t>
      </w:r>
    </w:p>
    <w:p>
      <w:pPr>
        <w:pStyle w:val="Heading1"/>
        <w:spacing w:after="200" w:before="360"/>
      </w:pPr>
      <w:r>
        <w:rPr>
          <w:rFonts w:ascii="Arial" w:cs="Arial" w:eastAsia="Arial" w:hAnsi="Arial"/>
          <w:b/>
          <w:bCs/>
          <w:color w:val="2C3E2C"/>
          <w:sz w:val="32"/>
          <w:szCs w:val="32"/>
        </w:rPr>
        <w:t xml:space="preserve">5. What Mythos Makes Better, Not Worse</w:t>
      </w:r>
    </w:p>
    <w:p>
      <w:pPr>
        <w:spacing w:after="160"/>
      </w:pPr>
      <w:r>
        <w:rPr>
          <w:rFonts w:ascii="Arial" w:cs="Arial" w:eastAsia="Arial" w:hAnsi="Arial"/>
          <w:color w:val="333333"/>
          <w:sz w:val="22"/>
          <w:szCs w:val="22"/>
        </w:rPr>
        <w:t xml:space="preserve">Smarter models are better consumers of SageReasoning’s API, not competitors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C3E2C"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560"/>
            <w:tcBorders>
              <w:top w:val="single" w:color="CCCCCC" w:sz="1"/>
              <w:left w:val="single" w:color="CCCCCC" w:sz="1"/>
              <w:bottom w:val="single" w:color="CCCCCC" w:sz="1"/>
              <w:right w:val="single" w:color="CCCCCC" w:sz="1"/>
            </w:tcBorders>
            <w:shd w:fill="2C3E2C" w:val="clear"/>
            <w:tcMar>
              <w:top w:type="dxa" w:w="80"/>
              <w:left w:type="dxa" w:w="120"/>
              <w:bottom w:type="dxa" w:w="80"/>
              <w:right w:type="dxa" w:w="120"/>
            </w:tcMar>
          </w:tcPr>
          <w:p>
            <w:r>
              <w:rPr>
                <w:rFonts w:ascii="Arial" w:cs="Arial" w:eastAsia="Arial" w:hAnsi="Arial"/>
                <w:b/>
                <w:bCs/>
                <w:color w:val="FFFFFF"/>
                <w:sz w:val="20"/>
                <w:szCs w:val="20"/>
              </w:rPr>
              <w:t xml:space="preserve">Impact on SageReasoning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Better coding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Agents can integrate the API faster and with fewer errors. Lower barrier to adoption.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Better reasoning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Agents understand the qualitative proximity levels, passions taxonomy, and deliberation chains more accurately. Higher-quality use of the evaluation output.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Better orchestration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Agents can autonomously chain sage-guard, sage-reason, and sage-iterate without human orchestration. The skill contract model becomes more natural.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Better cybersecurity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Increases urgency for ethical guardrails on AI agents. SageReasoning’s guardrail endpoint (sub-100ms virtue gate) becomes more relevant, not less.</w:t>
            </w:r>
          </w:p>
        </w:tc>
      </w:tr>
    </w:tbl>
    <w:p>
      <w:pPr>
        <w:spacing w:after="200"/>
      </w:pPr>
    </w:p>
    <w:p>
      <w:pPr>
        <w:pStyle w:val="Heading1"/>
        <w:spacing w:after="200" w:before="360"/>
      </w:pPr>
      <w:r>
        <w:rPr>
          <w:rFonts w:ascii="Arial" w:cs="Arial" w:eastAsia="Arial" w:hAnsi="Arial"/>
          <w:b/>
          <w:bCs/>
          <w:color w:val="2C3E2C"/>
          <w:sz w:val="32"/>
          <w:szCs w:val="32"/>
        </w:rPr>
        <w:t xml:space="preserve">6. Competitive Landscape Update</w:t>
      </w:r>
    </w:p>
    <w:p>
      <w:pPr>
        <w:spacing w:after="160"/>
      </w:pPr>
      <w:r>
        <w:rPr>
          <w:rFonts w:ascii="Arial" w:cs="Arial" w:eastAsia="Arial" w:hAnsi="Arial"/>
          <w:color w:val="333333"/>
          <w:sz w:val="22"/>
          <w:szCs w:val="22"/>
        </w:rPr>
        <w:t xml:space="preserve">The competitive landscape has not changed in kind since the March 2026 growth strategy. No new commercial product offers machine-readable Stoic reasoning with primary source citations. The Mythos announcement does not create new competitors; it creates better potential customers.</w:t>
      </w:r>
    </w:p>
    <w:p>
      <w:pPr>
        <w:spacing w:after="160"/>
      </w:pPr>
      <w:r>
        <w:rPr>
          <w:rFonts w:ascii="Arial" w:cs="Arial" w:eastAsia="Arial" w:hAnsi="Arial"/>
          <w:color w:val="333333"/>
          <w:sz w:val="22"/>
          <w:szCs w:val="22"/>
        </w:rPr>
        <w:t xml:space="preserve">The risk is not competition from other Stoic reasoning products. The risk is that developers conclude they don’t need a specialised API at all because the model can do it natively. The response to this risk is the compliance infrastructure framing: raw prompting cannot provide governance guarantees, source fidelity, audit trails, or embedding obligations.</w:t>
      </w:r>
    </w:p>
    <w:p>
      <w:pPr>
        <w:pStyle w:val="Heading1"/>
        <w:spacing w:after="200" w:before="360"/>
      </w:pPr>
      <w:r>
        <w:rPr>
          <w:rFonts w:ascii="Arial" w:cs="Arial" w:eastAsia="Arial" w:hAnsi="Arial"/>
          <w:b/>
          <w:bCs/>
          <w:color w:val="2C3E2C"/>
          <w:sz w:val="32"/>
          <w:szCs w:val="32"/>
        </w:rPr>
        <w:t xml:space="preserve">7. Recommended Updates to Business Documents</w:t>
      </w:r>
    </w:p>
    <w:p>
      <w:pPr>
        <w:pStyle w:val="Heading2"/>
        <w:spacing w:after="160" w:before="280"/>
      </w:pPr>
      <w:r>
        <w:rPr>
          <w:rFonts w:ascii="Arial" w:cs="Arial" w:eastAsia="Arial" w:hAnsi="Arial"/>
          <w:b/>
          <w:bCs/>
          <w:color w:val="3D5C3D"/>
          <w:sz w:val="26"/>
          <w:szCs w:val="26"/>
        </w:rPr>
        <w:t xml:space="preserve">7.1 Business Plan (SageReasoning_Legal_Revenue_Business_Plan.docx)</w:t>
      </w:r>
    </w:p>
    <w:p>
      <w:pPr>
        <w:spacing w:after="160"/>
      </w:pPr>
      <w:r>
        <w:rPr>
          <w:rFonts w:ascii="Arial" w:cs="Arial" w:eastAsia="Arial" w:hAnsi="Arial"/>
          <w:color w:val="333333"/>
          <w:sz w:val="22"/>
          <w:szCs w:val="22"/>
        </w:rPr>
        <w:t xml:space="preserve">Update the following sections:</w:t>
      </w:r>
    </w:p>
    <w:p>
      <w:pPr>
        <w:spacing w:after="160"/>
      </w:pPr>
      <w:r>
        <w:rPr>
          <w:rFonts w:ascii="Arial" w:cs="Arial" w:eastAsia="Arial" w:hAnsi="Arial"/>
          <w:b/>
          <w:bCs/>
          <w:color w:val="333333"/>
          <w:sz w:val="22"/>
          <w:szCs w:val="22"/>
        </w:rPr>
        <w:t xml:space="preserve">Part 4 Revenue Strategy: </w:t>
      </w:r>
      <w:r>
        <w:rPr>
          <w:rFonts w:ascii="Arial" w:cs="Arial" w:eastAsia="Arial" w:hAnsi="Arial"/>
          <w:color w:val="333333"/>
          <w:sz w:val="22"/>
          <w:szCs w:val="22"/>
        </w:rPr>
        <w:t xml:space="preserve">Replace references to “quantitative virtue scoring (0-100)” with “qualitative proximity levels (reflexive through sage-like).” Remove any mention of virtue weights. Add a note that the API pricing model is model-agnostic and cost estimates will be updated when Mythos pricing is confirmed.</w:t>
      </w:r>
    </w:p>
    <w:p>
      <w:pPr>
        <w:spacing w:after="160"/>
      </w:pPr>
      <w:r>
        <w:rPr>
          <w:rFonts w:ascii="Arial" w:cs="Arial" w:eastAsia="Arial" w:hAnsi="Arial"/>
          <w:b/>
          <w:bCs/>
          <w:color w:val="333333"/>
          <w:sz w:val="22"/>
          <w:szCs w:val="22"/>
        </w:rPr>
        <w:t xml:space="preserve">Part 4.2 Cost Structure: </w:t>
      </w:r>
      <w:r>
        <w:rPr>
          <w:rFonts w:ascii="Arial" w:cs="Arial" w:eastAsia="Arial" w:hAnsi="Arial"/>
          <w:color w:val="333333"/>
          <w:sz w:val="22"/>
          <w:szCs w:val="22"/>
        </w:rPr>
        <w:t xml:space="preserve">Add a line item for potential Mythos API costs (~$200/month premium access, higher per-token costs). Note that Phase 13 prompt simplification reduced per-call token usage by ~23%, partially offsetting model price increases.</w:t>
      </w:r>
    </w:p>
    <w:p>
      <w:pPr>
        <w:spacing w:after="160"/>
      </w:pPr>
      <w:r>
        <w:rPr>
          <w:rFonts w:ascii="Arial" w:cs="Arial" w:eastAsia="Arial" w:hAnsi="Arial"/>
          <w:b/>
          <w:bCs/>
          <w:color w:val="333333"/>
          <w:sz w:val="22"/>
          <w:szCs w:val="22"/>
        </w:rPr>
        <w:t xml:space="preserve">Competitive Position (if present): </w:t>
      </w:r>
      <w:r>
        <w:rPr>
          <w:rFonts w:ascii="Arial" w:cs="Arial" w:eastAsia="Arial" w:hAnsi="Arial"/>
          <w:color w:val="333333"/>
          <w:sz w:val="22"/>
          <w:szCs w:val="22"/>
        </w:rPr>
        <w:t xml:space="preserve">Add the compliance infrastructure framing from Section 4 of this document.</w:t>
      </w:r>
    </w:p>
    <w:p>
      <w:pPr>
        <w:pStyle w:val="Heading2"/>
        <w:spacing w:after="160" w:before="280"/>
      </w:pPr>
      <w:r>
        <w:rPr>
          <w:rFonts w:ascii="Arial" w:cs="Arial" w:eastAsia="Arial" w:hAnsi="Arial"/>
          <w:b/>
          <w:bCs/>
          <w:color w:val="3D5C3D"/>
          <w:sz w:val="26"/>
          <w:szCs w:val="26"/>
        </w:rPr>
        <w:t xml:space="preserve">7.2 Growth Strategy (SageReasoning_Growth_Strategy.docx)</w:t>
      </w:r>
    </w:p>
    <w:p>
      <w:pPr>
        <w:spacing w:after="160"/>
      </w:pPr>
      <w:r>
        <w:rPr>
          <w:rFonts w:ascii="Arial" w:cs="Arial" w:eastAsia="Arial" w:hAnsi="Arial"/>
          <w:color w:val="333333"/>
          <w:sz w:val="22"/>
          <w:szCs w:val="22"/>
        </w:rPr>
        <w:t xml:space="preserve">Update the following sections:</w:t>
      </w:r>
    </w:p>
    <w:p>
      <w:pPr>
        <w:spacing w:after="160"/>
      </w:pPr>
      <w:r>
        <w:rPr>
          <w:rFonts w:ascii="Arial" w:cs="Arial" w:eastAsia="Arial" w:hAnsi="Arial"/>
          <w:b/>
          <w:bCs/>
          <w:color w:val="333333"/>
          <w:sz w:val="22"/>
          <w:szCs w:val="22"/>
        </w:rPr>
        <w:t xml:space="preserve">Where SageReasoning Is Unique: </w:t>
      </w:r>
      <w:r>
        <w:rPr>
          <w:rFonts w:ascii="Arial" w:cs="Arial" w:eastAsia="Arial" w:hAnsi="Arial"/>
          <w:color w:val="333333"/>
          <w:sz w:val="22"/>
          <w:szCs w:val="22"/>
        </w:rPr>
        <w:t xml:space="preserve">Replace “quantitative virtue scoring (0–100 across Wisdom, Justice, Courage, and Temperance)” with “qualitative proximity evaluation (reflexive through sage-like) assessing virtues as one unified excellence.” Add source fidelity and governance guarantees as unique differentiators.</w:t>
      </w:r>
    </w:p>
    <w:p>
      <w:pPr>
        <w:spacing w:after="160"/>
      </w:pPr>
      <w:r>
        <w:rPr>
          <w:rFonts w:ascii="Arial" w:cs="Arial" w:eastAsia="Arial" w:hAnsi="Arial"/>
          <w:b/>
          <w:bCs/>
          <w:color w:val="333333"/>
          <w:sz w:val="22"/>
          <w:szCs w:val="22"/>
        </w:rPr>
        <w:t xml:space="preserve">Track 1 Developer messaging: </w:t>
      </w:r>
      <w:r>
        <w:rPr>
          <w:rFonts w:ascii="Arial" w:cs="Arial" w:eastAsia="Arial" w:hAnsi="Arial"/>
          <w:color w:val="333333"/>
          <w:sz w:val="22"/>
          <w:szCs w:val="22"/>
        </w:rPr>
        <w:t xml:space="preserve">Update technical article suggestions to address the Mythos question directly. Suggested new article: “Why Your AI Agent Needs a Stoic Compliance Layer (Even If It Can Already Reason About Ethics).”</w:t>
      </w:r>
    </w:p>
    <w:p>
      <w:pPr>
        <w:pStyle w:val="Heading2"/>
        <w:spacing w:after="160" w:before="280"/>
      </w:pPr>
      <w:r>
        <w:rPr>
          <w:rFonts w:ascii="Arial" w:cs="Arial" w:eastAsia="Arial" w:hAnsi="Arial"/>
          <w:b/>
          <w:bCs/>
          <w:color w:val="3D5C3D"/>
          <w:sz w:val="26"/>
          <w:szCs w:val="26"/>
        </w:rPr>
        <w:t xml:space="preserve">7.3 Break-Even Analysis (SageReasoning_BreakEven_Analysis.xlsx)</w:t>
      </w:r>
    </w:p>
    <w:p>
      <w:pPr>
        <w:spacing w:after="160"/>
      </w:pPr>
      <w:r>
        <w:rPr>
          <w:rFonts w:ascii="Arial" w:cs="Arial" w:eastAsia="Arial" w:hAnsi="Arial"/>
          <w:color w:val="333333"/>
          <w:sz w:val="22"/>
          <w:szCs w:val="22"/>
        </w:rPr>
        <w:t xml:space="preserve">Update the Anthropic Claude API cost line to include two scenarios: (1) current Opus 4.6 costs with 23% prompt reduction, (2) Mythos costs at estimated premium pricing. The prompt simplification from Phase 13 saves approximately 3,240 tokens per evaluation cycle, which at current pricing reduces per-call costs by approximately $0.003–$0.008. This offset should be modelled explicitly.</w:t>
      </w:r>
    </w:p>
    <w:p>
      <w:r>
        <w:br w:type="page"/>
      </w:r>
    </w:p>
    <w:p>
      <w:pPr>
        <w:pStyle w:val="Heading1"/>
        <w:spacing w:after="200" w:before="360"/>
      </w:pPr>
      <w:r>
        <w:rPr>
          <w:rFonts w:ascii="Arial" w:cs="Arial" w:eastAsia="Arial" w:hAnsi="Arial"/>
          <w:b/>
          <w:bCs/>
          <w:color w:val="2C3E2C"/>
          <w:sz w:val="32"/>
          <w:szCs w:val="32"/>
        </w:rPr>
        <w:t xml:space="preserve">8. Critical Investment Case Review</w:t>
      </w:r>
    </w:p>
    <w:p>
      <w:pPr>
        <w:spacing w:after="160"/>
      </w:pPr>
      <w:r>
        <w:rPr>
          <w:rFonts w:ascii="Arial" w:cs="Arial" w:eastAsia="Arial" w:hAnsi="Arial"/>
          <w:i/>
          <w:iCs/>
          <w:color w:val="333333"/>
          <w:sz w:val="22"/>
          <w:szCs w:val="22"/>
        </w:rPr>
        <w:t xml:space="preserve">This section directly addresses the project priority: does the business plan clearly justify why the potential returns warrant the upfront investment and ongoing operational costs?</w:t>
      </w:r>
    </w:p>
    <w:p>
      <w:pPr>
        <w:pStyle w:val="Heading2"/>
        <w:spacing w:after="160" w:before="280"/>
      </w:pPr>
      <w:r>
        <w:rPr>
          <w:rFonts w:ascii="Arial" w:cs="Arial" w:eastAsia="Arial" w:hAnsi="Arial"/>
          <w:b/>
          <w:bCs/>
          <w:color w:val="3D5C3D"/>
          <w:sz w:val="26"/>
          <w:szCs w:val="26"/>
        </w:rPr>
        <w:t xml:space="preserve">8.1 What the Investment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2C3E2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2C3E2C" w:val="clear"/>
            <w:tcMar>
              <w:top w:type="dxa" w:w="80"/>
              <w:left w:type="dxa" w:w="120"/>
              <w:bottom w:type="dxa" w:w="80"/>
              <w:right w:type="dxa" w:w="120"/>
            </w:tcMar>
          </w:tcPr>
          <w:p>
            <w:r>
              <w:rPr>
                <w:rFonts w:ascii="Arial" w:cs="Arial" w:eastAsia="Arial" w:hAnsi="Arial"/>
                <w:b/>
                <w:bCs/>
                <w:color w:val="FFFFFF"/>
                <w:sz w:val="20"/>
                <w:szCs w:val="20"/>
              </w:rPr>
              <w:t xml:space="preserve">Estimated Cost</w:t>
            </w:r>
          </w:p>
        </w:tc>
        <w:tc>
          <w:tcPr>
            <w:tcW w:type="dxa" w:w="2860"/>
            <w:tcBorders>
              <w:top w:val="single" w:color="CCCCCC" w:sz="1"/>
              <w:left w:val="single" w:color="CCCCCC" w:sz="1"/>
              <w:bottom w:val="single" w:color="CCCCCC" w:sz="1"/>
              <w:right w:val="single" w:color="CCCCCC" w:sz="1"/>
            </w:tcBorders>
            <w:shd w:fill="2C3E2C"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 registration (Pty Ltd)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$500–$1,000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Before revenue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Legal review (Terms + Privacy)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$1,300–$3,500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Before revenue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Insurance (PI + Cyber)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$900–$2,000/year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Before revenue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Accounting (Xero + BAS)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$350/year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After GST registration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Hosting at scale (Vercel + Supabase)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$45–$100/month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At 500+ users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LLM API costs (Anthropic)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$100–$400/month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Variable with usage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Founder 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Significant (unpaid)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Ongoing</w:t>
            </w:r>
          </w:p>
        </w:tc>
      </w:tr>
    </w:tbl>
    <w:p>
      <w:pPr>
        <w:spacing w:after="120"/>
      </w:pPr>
    </w:p>
    <w:p>
      <w:pPr>
        <w:spacing w:after="160"/>
      </w:pPr>
      <w:r>
        <w:rPr>
          <w:rFonts w:ascii="Arial" w:cs="Arial" w:eastAsia="Arial" w:hAnsi="Arial"/>
          <w:b/>
          <w:bCs/>
          <w:color w:val="333333"/>
          <w:sz w:val="22"/>
          <w:szCs w:val="22"/>
        </w:rPr>
        <w:t xml:space="preserve">Total upfront before revenue: </w:t>
      </w:r>
      <w:r>
        <w:rPr>
          <w:rFonts w:ascii="Arial" w:cs="Arial" w:eastAsia="Arial" w:hAnsi="Arial"/>
          <w:color w:val="333333"/>
          <w:sz w:val="22"/>
          <w:szCs w:val="22"/>
        </w:rPr>
        <w:t xml:space="preserve">approximately $2,700–$6,500. Total ongoing at modest scale: $280–$670/month.</w:t>
      </w:r>
    </w:p>
    <w:p>
      <w:pPr>
        <w:pStyle w:val="Heading2"/>
        <w:spacing w:after="160" w:before="280"/>
      </w:pPr>
      <w:r>
        <w:rPr>
          <w:rFonts w:ascii="Arial" w:cs="Arial" w:eastAsia="Arial" w:hAnsi="Arial"/>
          <w:b/>
          <w:bCs/>
          <w:color w:val="3D5C3D"/>
          <w:sz w:val="26"/>
          <w:szCs w:val="26"/>
        </w:rPr>
        <w:t xml:space="preserve">8.2 What the Returns Could Be</w:t>
      </w:r>
    </w:p>
    <w:p>
      <w:pPr>
        <w:spacing w:after="160"/>
      </w:pPr>
      <w:r>
        <w:rPr>
          <w:rFonts w:ascii="Arial" w:cs="Arial" w:eastAsia="Arial" w:hAnsi="Arial"/>
          <w:color w:val="333333"/>
          <w:sz w:val="22"/>
          <w:szCs w:val="22"/>
        </w:rPr>
        <w:t xml:space="preserve">The business plan projects 58 paid subscribers ($7/month) to break even at $400/month costs. At 24 months, the projection is 60–180 paid subscribers ($560–$1,510/month revenue) plus 10–25 API customers.</w:t>
      </w:r>
    </w:p>
    <w:p>
      <w:pPr>
        <w:spacing w:after="160"/>
      </w:pPr>
      <w:r>
        <w:rPr>
          <w:rFonts w:ascii="Arial" w:cs="Arial" w:eastAsia="Arial" w:hAnsi="Arial"/>
          <w:color w:val="333333"/>
          <w:sz w:val="22"/>
          <w:szCs w:val="22"/>
        </w:rPr>
        <w:t xml:space="preserve">These projections are conservative and achievable if the growth strategy executes as planned. The key assumption is a 5–10% paid conversion rate from registered users, which is consistent with B2C SaaS benchmarks for niche tools.</w:t>
      </w:r>
    </w:p>
    <w:p>
      <w:pPr>
        <w:pStyle w:val="Heading2"/>
        <w:spacing w:after="160" w:before="280"/>
      </w:pPr>
      <w:r>
        <w:rPr>
          <w:rFonts w:ascii="Arial" w:cs="Arial" w:eastAsia="Arial" w:hAnsi="Arial"/>
          <w:b/>
          <w:bCs/>
          <w:color w:val="3D5C3D"/>
          <w:sz w:val="26"/>
          <w:szCs w:val="26"/>
        </w:rPr>
        <w:t xml:space="preserve">8.3 What Mythos Changes</w:t>
      </w:r>
    </w:p>
    <w:p>
      <w:pPr>
        <w:spacing w:after="160"/>
      </w:pPr>
      <w:r>
        <w:rPr>
          <w:rFonts w:ascii="Arial" w:cs="Arial" w:eastAsia="Arial" w:hAnsi="Arial"/>
          <w:b/>
          <w:bCs/>
          <w:color w:val="333333"/>
          <w:sz w:val="22"/>
          <w:szCs w:val="22"/>
        </w:rPr>
        <w:t xml:space="preserve">Positive: </w:t>
      </w:r>
      <w:r>
        <w:rPr>
          <w:rFonts w:ascii="Arial" w:cs="Arial" w:eastAsia="Arial" w:hAnsi="Arial"/>
          <w:color w:val="333333"/>
          <w:sz w:val="22"/>
          <w:szCs w:val="22"/>
        </w:rPr>
        <w:t xml:space="preserve">Smarter models mean more AI agents that can consume the API effectively. The total addressable market for reasoning infrastructure grows as agent capabilities increase. The guardrail endpoint becomes more relevant as agents become more autonomous.</w:t>
      </w:r>
    </w:p>
    <w:p>
      <w:pPr>
        <w:spacing w:after="160"/>
      </w:pPr>
      <w:r>
        <w:rPr>
          <w:rFonts w:ascii="Arial" w:cs="Arial" w:eastAsia="Arial" w:hAnsi="Arial"/>
          <w:b/>
          <w:bCs/>
          <w:color w:val="333333"/>
          <w:sz w:val="22"/>
          <w:szCs w:val="22"/>
        </w:rPr>
        <w:t xml:space="preserve">Negative: </w:t>
      </w:r>
      <w:r>
        <w:rPr>
          <w:rFonts w:ascii="Arial" w:cs="Arial" w:eastAsia="Arial" w:hAnsi="Arial"/>
          <w:color w:val="333333"/>
          <w:sz w:val="22"/>
          <w:szCs w:val="22"/>
        </w:rPr>
        <w:t xml:space="preserve">The convenience value of the API decreases. Developers who would have used SageReasoning because they couldn’t build Stoic reasoning themselves may now prompt the model directly. This affects the low end of the market (hobbyists, small projects) more than the high end (enterprises needing audit trails and governance).</w:t>
      </w:r>
    </w:p>
    <w:p>
      <w:pPr>
        <w:spacing w:after="160"/>
      </w:pPr>
      <w:r>
        <w:rPr>
          <w:rFonts w:ascii="Arial" w:cs="Arial" w:eastAsia="Arial" w:hAnsi="Arial"/>
          <w:b/>
          <w:bCs/>
          <w:color w:val="333333"/>
          <w:sz w:val="22"/>
          <w:szCs w:val="22"/>
        </w:rPr>
        <w:t xml:space="preserve">Net assessment: </w:t>
      </w:r>
      <w:r>
        <w:rPr>
          <w:rFonts w:ascii="Arial" w:cs="Arial" w:eastAsia="Arial" w:hAnsi="Arial"/>
          <w:color w:val="333333"/>
          <w:sz w:val="22"/>
          <w:szCs w:val="22"/>
        </w:rPr>
        <w:t xml:space="preserve">The investment case is strengthened for the enterprise/compliance segment and weakened for the casual developer segment. The business plan should weight revenue projections toward API customers (higher ARPU, stickier) rather than individual Prokoptos subscribers.</w:t>
      </w:r>
    </w:p>
    <w:p>
      <w:pPr>
        <w:pStyle w:val="Heading2"/>
        <w:spacing w:after="160" w:before="280"/>
      </w:pPr>
      <w:r>
        <w:rPr>
          <w:rFonts w:ascii="Arial" w:cs="Arial" w:eastAsia="Arial" w:hAnsi="Arial"/>
          <w:b/>
          <w:bCs/>
          <w:color w:val="3D5C3D"/>
          <w:sz w:val="26"/>
          <w:szCs w:val="26"/>
        </w:rPr>
        <w:t xml:space="preserve">8.4 Does the Investment Case Hold?</w:t>
      </w:r>
    </w:p>
    <w:p>
      <w:pPr>
        <w:spacing w:after="160"/>
      </w:pPr>
      <w:r>
        <w:rPr>
          <w:rFonts w:ascii="Arial" w:cs="Arial" w:eastAsia="Arial" w:hAnsi="Arial"/>
          <w:b/>
          <w:bCs/>
          <w:color w:val="333333"/>
          <w:sz w:val="22"/>
          <w:szCs w:val="22"/>
        </w:rPr>
        <w:t xml:space="preserve">Yes, with conditions. </w:t>
      </w:r>
      <w:r>
        <w:rPr>
          <w:rFonts w:ascii="Arial" w:cs="Arial" w:eastAsia="Arial" w:hAnsi="Arial"/>
          <w:color w:val="333333"/>
          <w:sz w:val="22"/>
          <w:szCs w:val="22"/>
        </w:rPr>
        <w:t xml:space="preserve">The upfront investment ($2,700–$6,500) is modest for a technology startup. The ongoing costs ($280–$670/month) are manageable for a sole founder. Break-even at 58 subscribers is achievable.</w:t>
      </w:r>
    </w:p>
    <w:p>
      <w:pPr>
        <w:spacing w:after="160"/>
      </w:pPr>
      <w:r>
        <w:rPr>
          <w:rFonts w:ascii="Arial" w:cs="Arial" w:eastAsia="Arial" w:hAnsi="Arial"/>
          <w:color w:val="333333"/>
          <w:sz w:val="22"/>
          <w:szCs w:val="22"/>
        </w:rPr>
        <w:t xml:space="preserve">The conditions are:</w:t>
      </w:r>
    </w:p>
    <w:p>
      <w:pPr>
        <w:spacing w:after="160"/>
      </w:pPr>
      <w:r>
        <w:rPr>
          <w:rFonts w:ascii="Arial" w:cs="Arial" w:eastAsia="Arial" w:hAnsi="Arial"/>
          <w:b/>
          <w:bCs/>
          <w:color w:val="333333"/>
          <w:sz w:val="22"/>
          <w:szCs w:val="22"/>
        </w:rPr>
        <w:t xml:space="preserve">1. Positioning must shift </w:t>
      </w:r>
      <w:r>
        <w:rPr>
          <w:rFonts w:ascii="Arial" w:cs="Arial" w:eastAsia="Arial" w:hAnsi="Arial"/>
          <w:color w:val="333333"/>
          <w:sz w:val="22"/>
          <w:szCs w:val="22"/>
        </w:rPr>
        <w:t xml:space="preserve">from “convenience API” to “compliance infrastructure.” The growth strategy’s Track 1 (AI agents and developers) is the right primary channel. The compliance framing must be central to all developer-facing messaging.</w:t>
      </w:r>
    </w:p>
    <w:p>
      <w:pPr>
        <w:spacing w:after="160"/>
      </w:pPr>
      <w:r>
        <w:rPr>
          <w:rFonts w:ascii="Arial" w:cs="Arial" w:eastAsia="Arial" w:hAnsi="Arial"/>
          <w:b/>
          <w:bCs/>
          <w:color w:val="333333"/>
          <w:sz w:val="22"/>
          <w:szCs w:val="22"/>
        </w:rPr>
        <w:t xml:space="preserve">2. API revenue must be prioritised </w:t>
      </w:r>
      <w:r>
        <w:rPr>
          <w:rFonts w:ascii="Arial" w:cs="Arial" w:eastAsia="Arial" w:hAnsi="Arial"/>
          <w:color w:val="333333"/>
          <w:sz w:val="22"/>
          <w:szCs w:val="22"/>
        </w:rPr>
        <w:t xml:space="preserve">over individual subscriptions. A single enterprise API customer at $100–$500/month is worth 15–70 Prokoptos subscribers. The break-even analysis should model API-first scenarios.</w:t>
      </w:r>
    </w:p>
    <w:p>
      <w:pPr>
        <w:spacing w:after="160"/>
      </w:pPr>
      <w:r>
        <w:rPr>
          <w:rFonts w:ascii="Arial" w:cs="Arial" w:eastAsia="Arial" w:hAnsi="Arial"/>
          <w:b/>
          <w:bCs/>
          <w:color w:val="333333"/>
          <w:sz w:val="22"/>
          <w:szCs w:val="22"/>
        </w:rPr>
        <w:t xml:space="preserve">3. The V3 dataset is the moat. </w:t>
      </w:r>
      <w:r>
        <w:rPr>
          <w:rFonts w:ascii="Arial" w:cs="Arial" w:eastAsia="Arial" w:hAnsi="Arial"/>
          <w:color w:val="333333"/>
          <w:sz w:val="22"/>
          <w:szCs w:val="22"/>
        </w:rPr>
        <w:t xml:space="preserve">Continued investment in source fidelity (R7), citation completeness, and governance rule enforcement is essential. These are the assets that cannot be replicated by a smarter model.</w:t>
      </w:r>
    </w:p>
    <w:p>
      <w:pPr>
        <w:spacing w:after="160"/>
      </w:pPr>
      <w:r>
        <w:rPr>
          <w:rFonts w:ascii="Arial" w:cs="Arial" w:eastAsia="Arial" w:hAnsi="Arial"/>
          <w:b/>
          <w:bCs/>
          <w:color w:val="333333"/>
          <w:sz w:val="22"/>
          <w:szCs w:val="22"/>
        </w:rPr>
        <w:t xml:space="preserve">4. Do not rush to adopt Mythos. </w:t>
      </w:r>
      <w:r>
        <w:rPr>
          <w:rFonts w:ascii="Arial" w:cs="Arial" w:eastAsia="Arial" w:hAnsi="Arial"/>
          <w:color w:val="333333"/>
          <w:sz w:val="22"/>
          <w:szCs w:val="22"/>
        </w:rPr>
        <w:t xml:space="preserve">The current Opus 4.6 stack works. Completing the V3 adoption scope on the current model means a stable, tested foundation when Mythos arrives (estimated Q3–Q4 2026). Rebuilding mid-flight for an unreleased model is unnecessary risk.</w:t>
      </w:r>
    </w:p>
    <w:p>
      <w:pPr>
        <w:pStyle w:val="Heading2"/>
        <w:spacing w:after="160" w:before="280"/>
      </w:pPr>
      <w:r>
        <w:rPr>
          <w:rFonts w:ascii="Arial" w:cs="Arial" w:eastAsia="Arial" w:hAnsi="Arial"/>
          <w:b/>
          <w:bCs/>
          <w:color w:val="3D5C3D"/>
          <w:sz w:val="26"/>
          <w:szCs w:val="26"/>
        </w:rPr>
        <w:t xml:space="preserve">8.5 Assumptions That Mythos Could Invalidate</w:t>
      </w:r>
    </w:p>
    <w:p>
      <w:pPr>
        <w:spacing w:after="160"/>
      </w:pPr>
      <w:r>
        <w:rPr>
          <w:rFonts w:ascii="Arial" w:cs="Arial" w:eastAsia="Arial" w:hAnsi="Arial"/>
          <w:color w:val="333333"/>
          <w:sz w:val="22"/>
          <w:szCs w:val="22"/>
        </w:rPr>
        <w:t xml:space="preserve">The business plan should flag these assumptions explicitly:</w:t>
      </w:r>
    </w:p>
    <w:p>
      <w:pPr>
        <w:spacing w:after="160"/>
      </w:pPr>
      <w:r>
        <w:rPr>
          <w:rFonts w:ascii="Arial" w:cs="Arial" w:eastAsia="Arial" w:hAnsi="Arial"/>
          <w:b/>
          <w:bCs/>
          <w:color w:val="333333"/>
          <w:sz w:val="22"/>
          <w:szCs w:val="22"/>
        </w:rPr>
        <w:t xml:space="preserve">If Mythos can reliably cite primary Stoic sources: </w:t>
      </w:r>
      <w:r>
        <w:rPr>
          <w:rFonts w:ascii="Arial" w:cs="Arial" w:eastAsia="Arial" w:hAnsi="Arial"/>
          <w:color w:val="333333"/>
          <w:sz w:val="22"/>
          <w:szCs w:val="22"/>
        </w:rPr>
        <w:t xml:space="preserve">The source fidelity advantage (R7) diminishes. Monitor Mythos’s citation accuracy in early access testing.</w:t>
      </w:r>
    </w:p>
    <w:p>
      <w:pPr>
        <w:spacing w:after="160"/>
      </w:pPr>
      <w:r>
        <w:rPr>
          <w:rFonts w:ascii="Arial" w:cs="Arial" w:eastAsia="Arial" w:hAnsi="Arial"/>
          <w:b/>
          <w:bCs/>
          <w:color w:val="333333"/>
          <w:sz w:val="22"/>
          <w:szCs w:val="22"/>
        </w:rPr>
        <w:t xml:space="preserve">If Mythos natively produces structured evaluation output: </w:t>
      </w:r>
      <w:r>
        <w:rPr>
          <w:rFonts w:ascii="Arial" w:cs="Arial" w:eastAsia="Arial" w:hAnsi="Arial"/>
          <w:color w:val="333333"/>
          <w:sz w:val="22"/>
          <w:szCs w:val="22"/>
        </w:rPr>
        <w:t xml:space="preserve">The evaluation sequence design advantage (R4) diminishes. Monitor whether agents can replicate the 4-stage sequence from the publicly available Stoic Brain conceptual overview.</w:t>
      </w:r>
    </w:p>
    <w:p>
      <w:pPr>
        <w:spacing w:after="160"/>
      </w:pPr>
      <w:r>
        <w:rPr>
          <w:rFonts w:ascii="Arial" w:cs="Arial" w:eastAsia="Arial" w:hAnsi="Arial"/>
          <w:b/>
          <w:bCs/>
          <w:color w:val="333333"/>
          <w:sz w:val="22"/>
          <w:szCs w:val="22"/>
        </w:rPr>
        <w:t xml:space="preserve">If AI governance frameworks mandate specific compliance tools: </w:t>
      </w:r>
      <w:r>
        <w:rPr>
          <w:rFonts w:ascii="Arial" w:cs="Arial" w:eastAsia="Arial" w:hAnsi="Arial"/>
          <w:color w:val="333333"/>
          <w:sz w:val="22"/>
          <w:szCs w:val="22"/>
        </w:rPr>
        <w:t xml:space="preserve">This could be a major tailwind for SageReasoning. Monitor regulatory developments in the EU AI Act, Australian AI6, and NIST AI RMF.</w:t>
      </w:r>
    </w:p>
    <w:p>
      <w:pPr>
        <w:spacing w:after="160"/>
      </w:pPr>
      <w:r>
        <w:rPr>
          <w:rFonts w:ascii="Arial" w:cs="Arial" w:eastAsia="Arial" w:hAnsi="Arial"/>
          <w:color w:val="333333"/>
          <w:sz w:val="22"/>
          <w:szCs w:val="22"/>
        </w:rPr>
        <w:t xml:space="preserve">None of these assumptions are invalidated today. The recommendation is to proceed with the current investment plan while monitoring these factors quarterly.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999999"/>
        <w:sz w:val="16"/>
        <w:szCs w:val="16"/>
      </w:rPr>
      <w:t xml:space="preserve">SageReasoning — Competitive Moat Analysis (Mythos Era)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2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D5C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2026-04-02T20:09:50.944Z</dcterms:created>
  <dcterms:modified xsi:type="dcterms:W3CDTF">2026-04-02T20:09:50.944Z</dcterms:modified>
</cp:coreProperties>
</file>

<file path=docProps/custom.xml><?xml version="1.0" encoding="utf-8"?>
<Properties xmlns="http://schemas.openxmlformats.org/officeDocument/2006/custom-properties" xmlns:vt="http://schemas.openxmlformats.org/officeDocument/2006/docPropsVTypes"/>
</file>