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F3864"/>
          <w:sz w:val="48"/>
          <w:szCs w:val="48"/>
        </w:rPr>
        <w:t xml:space="preserve">SageReasoning</w:t>
      </w:r>
    </w:p>
    <w:p>
      <w:pPr>
        <w:spacing w:after="400"/>
        <w:jc w:val="center"/>
      </w:pPr>
      <w:r>
        <w:rPr>
          <w:rFonts w:ascii="Arial" w:cs="Arial" w:eastAsia="Arial" w:hAnsi="Arial"/>
          <w:color w:val="2E4057"/>
          <w:sz w:val="32"/>
          <w:szCs w:val="32"/>
        </w:rPr>
        <w:t xml:space="preserve">EU AI Act Article 6 Classification Self-Assessment</w:t>
      </w:r>
    </w:p>
    <w:p>
      <w:pPr>
        <w:pBdr>
          <w:top w:val="single" w:color="1F3864" w:sz="6" w:space="8"/>
        </w:pBdr>
        <w:spacing w:after="100" w:before="200"/>
        <w:jc w:val="center"/>
      </w:pPr>
      <w:r>
        <w:rPr>
          <w:rFonts w:ascii="Arial" w:cs="Arial" w:eastAsia="Arial" w:hAnsi="Arial"/>
          <w:color w:val="666666"/>
          <w:sz w:val="22"/>
          <w:szCs w:val="22"/>
        </w:rPr>
        <w:t xml:space="preserve">Regulation (EU) 2024/1689</w:t>
      </w:r>
    </w:p>
    <w:p>
      <w:pPr>
        <w:spacing w:before="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1F3864"/>
                <w:sz w:val="20"/>
                <w:szCs w:val="20"/>
              </w:rPr>
              <w:t xml:space="preserve">Document 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1F3864"/>
                <w:sz w:val="20"/>
                <w:szCs w:val="20"/>
              </w:rPr>
              <w:t xml:space="preserve">Assessment 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4 April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1F3864"/>
                <w:sz w:val="20"/>
                <w:szCs w:val="20"/>
              </w:rPr>
              <w:t xml:space="preserve">Assessor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Founder (with AI-assisted analysis)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1F3864"/>
                <w:sz w:val="20"/>
                <w:szCs w:val="20"/>
              </w:rPr>
              <w:t xml:space="preserve">Compliance Register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CR-2026-Q2-v2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1F3864"/>
                <w:sz w:val="20"/>
                <w:szCs w:val="20"/>
              </w:rPr>
              <w:t xml:space="preserve">Status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Draft — Pending Legal Counsel Review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1F3864"/>
                <w:sz w:val="20"/>
                <w:szCs w:val="20"/>
              </w:rPr>
              <w:t xml:space="preserve">Next Review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6 July 2026 (quarterly pipeline)</w:t>
            </w:r>
          </w:p>
        </w:tc>
      </w:tr>
    </w:tbl>
    <w:p>
      <w:pPr>
        <w:spacing w:before="800"/>
      </w:pP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This document records the provider’s self-assessment under Article 6(3) of the EU AI Act (Regulation 2024/1689), determining whether SageReasoning’s AI system is classified as high-risk. Article 6(3) requires providers to document this assessment before placing the system on the market. This document should be made available to national competent authorities upon request.</w:t>
      </w:r>
    </w:p>
    <w:p>
      <w:r>
        <w:br w:type="page"/>
      </w:r>
    </w:p>
    <w:p>
      <w:pPr>
        <w:pStyle w:val="Heading1"/>
      </w:pPr>
      <w:r>
        <w:t xml:space="preserve">1. System Description</w:t>
      </w:r>
    </w:p>
    <w:p>
      <w:pPr>
        <w:pStyle w:val="Heading2"/>
      </w:pPr>
      <w:r>
        <w:t xml:space="preserve">1.1 What SageReasoning Does</w:t>
      </w:r>
    </w:p>
    <w:p>
      <w:pPr>
        <w:spacing w:after="160"/>
      </w:pPr>
      <w:r>
        <w:rPr>
          <w:sz w:val="22"/>
          <w:szCs w:val="22"/>
        </w:rPr>
        <w:t xml:space="preserve">SageReasoning is an online platform that provides a Stoic philosophy-based reasoning evaluation engine (“sage-reason”) and derived evaluation tools. The system evaluates the quality of reasoning in actions, decisions, and documents against classical Stoic virtue ethics, producing qualitative philosophical assessments for personal reflection.</w:t>
      </w:r>
    </w:p>
    <w:p>
      <w:pPr>
        <w:spacing w:after="160"/>
      </w:pPr>
      <w:r>
        <w:rPr>
          <w:sz w:val="22"/>
          <w:szCs w:val="22"/>
        </w:rPr>
        <w:t xml:space="preserve">The system serves two audiences: (1) individual human users who submit their own decisions for philosophical reflection, and (2) AI agents that invoke the sage-reason API to add reasoning quality checks to their own workflows.</w:t>
      </w:r>
    </w:p>
    <w:p>
      <w:pPr>
        <w:pStyle w:val="Heading2"/>
      </w:pPr>
      <w:r>
        <w:t xml:space="preserve">1.2 What SageReasoning Does NOT Do</w:t>
      </w:r>
    </w:p>
    <w:p>
      <w:pPr>
        <w:spacing w:after="80"/>
      </w:pPr>
      <w:r>
        <w:rPr>
          <w:sz w:val="22"/>
          <w:szCs w:val="22"/>
        </w:rPr>
        <w:t xml:space="preserve">SageReasoning’s operating rules (manifest R1–R14) explicitly prohibit the following uses:</w:t>
      </w:r>
    </w:p>
    <w:p>
      <w:pPr>
        <w:pStyle w:val="ListParagraph"/>
        <w:numPr>
          <w:ilvl w:val="0"/>
          <w:numId w:val="2"/>
        </w:numPr>
        <w:spacing w:after="60"/>
      </w:pPr>
      <w:r>
        <w:rPr>
          <w:sz w:val="22"/>
          <w:szCs w:val="22"/>
        </w:rPr>
        <w:t xml:space="preserve">R1: No therapeutic, psychological, or clinical services</w:t>
      </w:r>
    </w:p>
    <w:p>
      <w:pPr>
        <w:pStyle w:val="ListParagraph"/>
        <w:numPr>
          <w:ilvl w:val="0"/>
          <w:numId w:val="2"/>
        </w:numPr>
        <w:spacing w:after="60"/>
      </w:pPr>
      <w:r>
        <w:rPr>
          <w:sz w:val="22"/>
          <w:szCs w:val="22"/>
        </w:rPr>
        <w:t xml:space="preserve">R2: No employment evaluation, hiring, screening, or HR assessment</w:t>
      </w:r>
    </w:p>
    <w:p>
      <w:pPr>
        <w:pStyle w:val="ListParagraph"/>
        <w:numPr>
          <w:ilvl w:val="0"/>
          <w:numId w:val="2"/>
        </w:numPr>
        <w:spacing w:after="60"/>
      </w:pPr>
      <w:r>
        <w:rPr>
          <w:sz w:val="22"/>
          <w:szCs w:val="22"/>
        </w:rPr>
        <w:t xml:space="preserve">R9: No outcome predictions or guarantees of results</w:t>
      </w:r>
    </w:p>
    <w:p>
      <w:pPr>
        <w:pStyle w:val="ListParagraph"/>
        <w:numPr>
          <w:ilvl w:val="0"/>
          <w:numId w:val="2"/>
        </w:numPr>
        <w:spacing w:after="160"/>
      </w:pPr>
      <w:r>
        <w:rPr>
          <w:sz w:val="22"/>
          <w:szCs w:val="22"/>
        </w:rPr>
        <w:t xml:space="preserve">These prohibitions are enforced at the code level, in the Terms of Service, and in the API acceptable use policy.</w:t>
      </w:r>
    </w:p>
    <w:p>
      <w:pPr>
        <w:pStyle w:val="Heading2"/>
      </w:pPr>
      <w:r>
        <w:t xml:space="preserve">1.3 Technical Architecture Summary</w:t>
      </w:r>
    </w:p>
    <w:p>
      <w:pPr>
        <w:spacing w:after="80"/>
      </w:pPr>
      <w:r>
        <w:rPr>
          <w:sz w:val="22"/>
          <w:szCs w:val="22"/>
        </w:rPr>
        <w:t xml:space="preserve">SageReasoning uses Anthropic’s Claude (a third-party GPAI model) via API to generate philosophical evaluations. SageReasoning does not train, fine-tune, or distribute any foundation model. Key components:</w:t>
      </w:r>
    </w:p>
    <w:p>
      <w:pPr>
        <w:pStyle w:val="ListParagraph"/>
        <w:numPr>
          <w:ilvl w:val="0"/>
          <w:numId w:val="2"/>
        </w:numPr>
        <w:spacing w:after="60"/>
      </w:pPr>
      <w:r>
        <w:rPr>
          <w:sz w:val="22"/>
          <w:szCs w:val="22"/>
        </w:rPr>
        <w:t xml:space="preserve">sage-reason engine: Evaluates reasoning quality against Stoic virtue ethics frameworks</w:t>
      </w:r>
    </w:p>
    <w:p>
      <w:pPr>
        <w:pStyle w:val="ListParagraph"/>
        <w:numPr>
          <w:ilvl w:val="0"/>
          <w:numId w:val="2"/>
        </w:numPr>
        <w:spacing w:after="60"/>
      </w:pPr>
      <w:r>
        <w:rPr>
          <w:sz w:val="22"/>
          <w:szCs w:val="22"/>
        </w:rPr>
        <w:t xml:space="preserve">Sage Mentor: Personalised philosophical mentorship using journal entries and interaction history</w:t>
      </w:r>
    </w:p>
    <w:p>
      <w:pPr>
        <w:pStyle w:val="ListParagraph"/>
        <w:numPr>
          <w:ilvl w:val="0"/>
          <w:numId w:val="2"/>
        </w:numPr>
        <w:spacing w:after="60"/>
      </w:pPr>
      <w:r>
        <w:rPr>
          <w:sz w:val="22"/>
          <w:szCs w:val="22"/>
        </w:rPr>
        <w:t xml:space="preserve">Agent Trust Layer: Evaluates AI agent reasoning quality (evaluates software agents, not natural persons)</w:t>
      </w:r>
    </w:p>
    <w:p>
      <w:pPr>
        <w:pStyle w:val="ListParagraph"/>
        <w:numPr>
          <w:ilvl w:val="0"/>
          <w:numId w:val="2"/>
        </w:numPr>
        <w:spacing w:after="160"/>
      </w:pPr>
      <w:r>
        <w:rPr>
          <w:sz w:val="22"/>
          <w:szCs w:val="22"/>
        </w:rPr>
        <w:t xml:space="preserve">Pattern Engine: Detects temporal reasoning patterns in a user’s own submissions for their personal reflection</w:t>
      </w:r>
    </w:p>
    <w:p>
      <w:r>
        <w:br w:type="page"/>
      </w:r>
    </w:p>
    <w:p>
      <w:pPr>
        <w:pStyle w:val="Heading1"/>
      </w:pPr>
      <w:r>
        <w:t xml:space="preserve">2. Annex III Category Assessment</w:t>
      </w:r>
    </w:p>
    <w:p>
      <w:pPr>
        <w:spacing w:after="200"/>
      </w:pPr>
      <w:r>
        <w:rPr>
          <w:sz w:val="22"/>
          <w:szCs w:val="22"/>
        </w:rPr>
        <w:t xml:space="preserve">Article 6(2) states that AI systems referred to in Annex III shall be considered high-risk. The following table assesses SageReasoning against each Annex III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Annex III Category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Applies?</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1. Biometrics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2E7D32"/>
                <w:sz w:val="20"/>
                <w:szCs w:val="20"/>
              </w:rPr>
              <w:t xml:space="preserve">NO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SageReasoning does not perform biometric identification, emotion recognition, or any biometric categorisation of natural persons.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2. Critical Infrastructure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2E7D32"/>
                <w:sz w:val="20"/>
                <w:szCs w:val="20"/>
              </w:rPr>
              <w:t xml:space="preserve">NO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SageReasoning does not manage or operate any critical infrastructure (energy, transport, water, digital infrastructure).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3. Education &amp; Vocational Training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2E7D32"/>
                <w:sz w:val="20"/>
                <w:szCs w:val="20"/>
              </w:rPr>
              <w:t xml:space="preserve">NO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SageReasoning does not determine access to education, evaluate learning outcomes, assess qualifications, or monitor student behaviour. Stoic philosophy exercises are philosophical practice, not educational assessment.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4. Employment &amp; Workers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2E7D32"/>
                <w:sz w:val="20"/>
                <w:szCs w:val="20"/>
              </w:rPr>
              <w:t xml:space="preserve">NO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Manifest rule R2 explicitly and unconditionally prohibits use for hiring, recruitment, screening, promotion, termination, task allocation, or performance evaluation. This prohibition is enforced in code, Terms of Service (Section 5), and API acceptable use policy. R2 is a structural safeguard, not merely a policy.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5. Essential Services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2E7D32"/>
                <w:sz w:val="20"/>
                <w:szCs w:val="20"/>
              </w:rPr>
              <w:t xml:space="preserve">NO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SageReasoning does not assess creditworthiness, set insurance premiums, triage healthcare, evaluate social benefits eligibility, or prioritise emergency services.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6. Law Enforcement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2E7D32"/>
                <w:sz w:val="20"/>
                <w:szCs w:val="20"/>
              </w:rPr>
              <w:t xml:space="preserve">NO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SageReasoning has no law enforcement application. It does not predict crime, assess evidence, profile suspects, or operate in any law enforcement context.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7. Migration, Asylum &amp; Border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2E7D32"/>
                <w:sz w:val="20"/>
                <w:szCs w:val="20"/>
              </w:rPr>
              <w:t xml:space="preserve">NO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SageReasoning has no migration, asylum, or border control application.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8. Justice &amp; Democracy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2E7D32"/>
                <w:sz w:val="20"/>
                <w:szCs w:val="20"/>
              </w:rPr>
              <w:t xml:space="preserve">NO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SageReasoning does not assist judicial authorities in applying law to facts, does not influence elections, and does not operate in democratic process contexts.</w:t>
            </w:r>
          </w:p>
        </w:tc>
      </w:tr>
    </w:tbl>
    <w:p>
      <w:pPr>
        <w:spacing w:after="200" w:before="300"/>
      </w:pPr>
      <w:r>
        <w:rPr>
          <w:b/>
          <w:bCs/>
          <w:color w:val="1F3864"/>
          <w:sz w:val="22"/>
          <w:szCs w:val="22"/>
        </w:rPr>
        <w:t xml:space="preserve">Conclusion: SageReasoning does not fall within any Annex III category. The system evaluates philosophical reasoning quality, not persons’ access to services, employment, education, or any listed domain.</w:t>
      </w:r>
    </w:p>
    <w:p>
      <w:r>
        <w:br w:type="page"/>
      </w:r>
    </w:p>
    <w:p>
      <w:pPr>
        <w:pStyle w:val="Heading1"/>
      </w:pPr>
      <w:r>
        <w:t xml:space="preserve">3. Article 6(3) Exemption Analysis</w:t>
      </w:r>
    </w:p>
    <w:p>
      <w:pPr>
        <w:spacing w:after="160"/>
      </w:pPr>
      <w:r>
        <w:rPr>
          <w:sz w:val="22"/>
          <w:szCs w:val="22"/>
        </w:rPr>
        <w:t xml:space="preserve">Even if SageReasoning were deemed to fall within an Annex III category (which this assessment concludes it does not), Article 6(3) provides that such a system is not high-risk where it does not pose a significant risk of harm to health, safety, or fundamental rights. This section analyses the four exemption conditions as a secondary safeguard.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Exemption Condition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Met?</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(a) Narrow procedural task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2E7D32"/>
                <w:sz w:val="20"/>
                <w:szCs w:val="20"/>
              </w:rPr>
              <w:t xml:space="preserve">YES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SageReasoning performs one narrow function: evaluating reasoning quality against Stoic virtue ethics. It does not make broader decisions, allocate resources, or determine outcomes.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(b) Improves previously completed human activity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2E7D32"/>
                <w:sz w:val="20"/>
                <w:szCs w:val="20"/>
              </w:rPr>
              <w:t xml:space="preserve">YES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Users submit their own decisions and actions for philosophical reflection after they have been made or while being considered. The human remains the sole decision-maker. SageReasoning offers perspective, not directives.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(c) Detects patterns without replacing human assessment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2E7D32"/>
                <w:sz w:val="20"/>
                <w:szCs w:val="20"/>
              </w:rPr>
              <w:t xml:space="preserve">YES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The Pattern Engine (pattern-engine.ts) observes temporal reasoning patterns and presents them for the user’s own reflection. It does not replace, override, or influence human assessment. Outputs are explicitly framed as observations for self-reflection (R6d: diagnostic, not punitive).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(d) Preparatory task for assessment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E65100"/>
                <w:sz w:val="20"/>
                <w:szCs w:val="20"/>
              </w:rPr>
              <w:t xml:space="preserve">PARTIAL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When used by AI agents via the API, sage-reason serves as a preparatory reasoning quality check before the agent’s own action. However, this exemption is less clearly applicable to direct human use.</w:t>
            </w:r>
          </w:p>
        </w:tc>
      </w:tr>
    </w:tbl>
    <w:p>
      <w:pPr>
        <w:spacing w:after="200" w:before="300"/>
      </w:pPr>
      <w:r>
        <w:rPr>
          <w:b/>
          <w:bCs/>
          <w:color w:val="1F3864"/>
          <w:sz w:val="22"/>
          <w:szCs w:val="22"/>
        </w:rPr>
        <w:t xml:space="preserve">Conclusion: SageReasoning meets exemption conditions (a), (b), and (c). Even if an Annex III category were found to apply, these exemptions would prevent high-risk classification—subject to the profiling analysis in Section 4.</w:t>
      </w:r>
    </w:p>
    <w:p>
      <w:r>
        <w:br w:type="page"/>
      </w:r>
    </w:p>
    <w:p>
      <w:pPr>
        <w:pStyle w:val="Heading1"/>
      </w:pPr>
      <w:r>
        <w:t xml:space="preserve">4. Profiling of Natural Persons Analysis</w:t>
      </w:r>
    </w:p>
    <w:p>
      <w:pPr>
        <w:spacing w:after="160"/>
      </w:pPr>
      <w:r>
        <w:rPr>
          <w:sz w:val="22"/>
          <w:szCs w:val="22"/>
        </w:rPr>
        <w:t xml:space="preserve">Article 6(3) contains a critical override: an Annex III system “shall always be considered to be high-risk where the AI system performs profiling of natural persons.” This override nullifies all exemptions. Therefore, a thorough profiling analysis is essential.</w:t>
      </w:r>
    </w:p>
    <w:p>
      <w:pPr>
        <w:pStyle w:val="Heading2"/>
      </w:pPr>
      <w:r>
        <w:t xml:space="preserve">4.1 Definition of Profiling</w:t>
      </w:r>
    </w:p>
    <w:p>
      <w:pPr>
        <w:spacing w:after="160"/>
      </w:pPr>
      <w:r>
        <w:rPr>
          <w:i/>
          <w:iCs/>
          <w:sz w:val="22"/>
          <w:szCs w:val="22"/>
        </w:rPr>
        <w:t xml:space="preserve">Profiling is defined by reference to GDPR Article 4(4): “any form of automated processing of personal data consisting of the use of personal data to evaluate certain personal aspects relating to a natural person, in particular to analyse or predict aspects concerning that natural person’s performance at work, economic situation, health, personal preferences, interests, reliability, behaviour, location or movements.”</w:t>
      </w:r>
    </w:p>
    <w:p>
      <w:pPr>
        <w:pStyle w:val="Heading2"/>
      </w:pPr>
      <w:r>
        <w:t xml:space="preserve">4.2 Feature-by-Feature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1500"/>
        <w:gridCol w:w="1200"/>
        <w:gridCol w:w="21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Personal Data?</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Evaluates Personal Aspects?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In Annex III Domain?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Profiling Risk</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Agent Trust Layer / Authority Manager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2E7D32"/>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No — evaluates AI agents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2E7D32"/>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2E7D32"/>
                <w:sz w:val="20"/>
                <w:szCs w:val="20"/>
              </w:rPr>
              <w:t xml:space="preserve">None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Uses agent_id only. Evaluates software entities, not natural persons.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sage-reason / sage-score (Human)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E65100"/>
                <w:sz w:val="20"/>
                <w:szCs w:val="20"/>
              </w:rPr>
              <w:t xml:space="preserve">Minimal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Evaluates reasoning, not the person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2E7D32"/>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E65100"/>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Text submitted for scoring is processed but not retained beyond the API call.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Mentor Profile / Pattern 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C62828"/>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Yes — analyses reasoning patterns over 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2E7D32"/>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E651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Stores user-linked passion observations, causal tendencies, virtue domain assessments. Closest to GDPR profiling definition.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Journal Ingestion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C62828"/>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Yes — extracts passion/value data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2E7D32"/>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E651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Processes personal journal entries to seed the mentor profile. Self-directed; user controls all inputs.</w:t>
            </w:r>
          </w:p>
        </w:tc>
      </w:tr>
    </w:tbl>
    <w:p>
      <w:pPr>
        <w:pStyle w:val="Heading2"/>
        <w:spacing w:before="300"/>
      </w:pPr>
      <w:r>
        <w:t xml:space="preserve">4.3 Profiling Override Assessment</w:t>
      </w:r>
    </w:p>
    <w:p>
      <w:pPr>
        <w:spacing w:after="160"/>
      </w:pPr>
      <w:r>
        <w:rPr>
          <w:sz w:val="22"/>
          <w:szCs w:val="22"/>
        </w:rPr>
        <w:t xml:space="preserve">The profiling override in Article 6(3) applies only to AI systems that are “referred to in Annex III.” As established in Section 2, SageReasoning does not fall within any Annex III category. Therefore, the profiling override is structurally inapplicable regardless of whether any feature constitutes profiling under the GDPR definition.</w:t>
      </w:r>
    </w:p>
    <w:p>
      <w:pPr>
        <w:spacing w:after="160"/>
      </w:pPr>
      <w:r>
        <w:rPr>
          <w:sz w:val="22"/>
          <w:szCs w:val="22"/>
        </w:rPr>
        <w:t xml:space="preserve">Nevertheless, the following mitigating factors reduce profiling concerns:</w:t>
      </w:r>
    </w:p>
    <w:p>
      <w:pPr>
        <w:pStyle w:val="ListParagraph"/>
        <w:numPr>
          <w:ilvl w:val="0"/>
          <w:numId w:val="3"/>
        </w:numPr>
        <w:spacing w:after="60"/>
      </w:pPr>
      <w:r>
        <w:rPr>
          <w:sz w:val="22"/>
          <w:szCs w:val="22"/>
        </w:rPr>
        <w:t xml:space="preserve">Self-directed profiling: Users voluntarily submit their own content for their own reflection. No third party receives or acts on the profile data.</w:t>
      </w:r>
    </w:p>
    <w:p>
      <w:pPr>
        <w:pStyle w:val="ListParagraph"/>
        <w:numPr>
          <w:ilvl w:val="0"/>
          <w:numId w:val="3"/>
        </w:numPr>
        <w:spacing w:after="60"/>
      </w:pPr>
      <w:r>
        <w:rPr>
          <w:sz w:val="22"/>
          <w:szCs w:val="22"/>
        </w:rPr>
        <w:t xml:space="preserve">No consequential decisions: Profile data does not determine access to services, employment, credit, insurance, or any material outcome for the user or anyone else.</w:t>
      </w:r>
    </w:p>
    <w:p>
      <w:pPr>
        <w:pStyle w:val="ListParagraph"/>
        <w:numPr>
          <w:ilvl w:val="0"/>
          <w:numId w:val="3"/>
        </w:numPr>
        <w:spacing w:after="60"/>
      </w:pPr>
      <w:r>
        <w:rPr>
          <w:sz w:val="22"/>
          <w:szCs w:val="22"/>
        </w:rPr>
        <w:t xml:space="preserve">User data sovereignty: All profile data is private to the user via Supabase Row Level Security. The user can delete their data at any time.</w:t>
      </w:r>
    </w:p>
    <w:p>
      <w:pPr>
        <w:pStyle w:val="ListParagraph"/>
        <w:numPr>
          <w:ilvl w:val="0"/>
          <w:numId w:val="3"/>
        </w:numPr>
        <w:spacing w:after="200"/>
      </w:pPr>
      <w:r>
        <w:rPr>
          <w:sz w:val="22"/>
          <w:szCs w:val="22"/>
        </w:rPr>
        <w:t xml:space="preserve">Agent evaluation is non-personal: The Agent Trust Layer evaluates AI software agents (identified by agent_id), not natural persons.</w:t>
      </w:r>
    </w:p>
    <w:p>
      <w:pPr>
        <w:spacing w:after="200"/>
      </w:pPr>
      <w:r>
        <w:rPr>
          <w:b/>
          <w:bCs/>
          <w:color w:val="1F3864"/>
          <w:sz w:val="22"/>
          <w:szCs w:val="22"/>
        </w:rPr>
        <w:t xml:space="preserve">Conclusion: The Article 6(3) profiling override does not apply because SageReasoning is not within Annex III. Even if it were, the self-directed nature and lack of consequential decisions substantially mitigate the profiling concern. However, the Mentor Profile and Journal Ingestion features should be monitored for any changes that could shift this analysis.</w:t>
      </w:r>
    </w:p>
    <w:p>
      <w:r>
        <w:br w:type="page"/>
      </w:r>
    </w:p>
    <w:p>
      <w:pPr>
        <w:pStyle w:val="Heading1"/>
      </w:pPr>
      <w:r>
        <w:t xml:space="preserve">5. Classification Determination</w:t>
      </w:r>
    </w:p>
    <w:p>
      <w:pPr>
        <w:pBdr>
          <w:top w:val="single" w:color="2E7D32" w:sz="2" w:space="8"/>
          <w:bottom w:val="single" w:color="2E7D32" w:sz="2" w:space="8"/>
        </w:pBdr>
        <w:spacing w:after="200"/>
      </w:pPr>
      <w:r>
        <w:rPr>
          <w:b/>
          <w:bCs/>
          <w:color w:val="2E7D32"/>
          <w:sz w:val="24"/>
          <w:szCs w:val="24"/>
        </w:rPr>
        <w:t xml:space="preserve">DETERMINATION: SageReasoning is NOT classified as a high-risk AI system under Article 6 of the EU AI Act (Regulation 2024/1689).</w:t>
      </w:r>
    </w:p>
    <w:p>
      <w:pPr>
        <w:spacing w:after="160"/>
      </w:pPr>
      <w:r>
        <w:rPr>
          <w:sz w:val="22"/>
          <w:szCs w:val="22"/>
        </w:rPr>
        <w:t xml:space="preserve">This determination rests on three independent grounds:</w:t>
      </w:r>
    </w:p>
    <w:p>
      <w:pPr>
        <w:pStyle w:val="ListParagraph"/>
        <w:numPr>
          <w:ilvl w:val="0"/>
          <w:numId w:val="3"/>
        </w:numPr>
        <w:spacing w:after="100"/>
      </w:pPr>
      <w:r>
        <w:rPr>
          <w:b/>
          <w:bCs/>
          <w:sz w:val="22"/>
          <w:szCs w:val="22"/>
        </w:rPr>
        <w:t xml:space="preserve">Not within Annex III: </w:t>
      </w:r>
      <w:r>
        <w:rPr>
          <w:sz w:val="22"/>
          <w:szCs w:val="22"/>
        </w:rPr>
        <w:t xml:space="preserve">SageReasoning’s philosophical reasoning evaluation does not fall within any of the eight Annex III high-risk categories (biometrics, critical infrastructure, education, employment, essential services, law enforcement, migration, justice/democracy).</w:t>
      </w:r>
    </w:p>
    <w:p>
      <w:pPr>
        <w:pStyle w:val="ListParagraph"/>
        <w:numPr>
          <w:ilvl w:val="0"/>
          <w:numId w:val="3"/>
        </w:numPr>
        <w:spacing w:after="100"/>
      </w:pPr>
      <w:r>
        <w:rPr>
          <w:b/>
          <w:bCs/>
          <w:sz w:val="22"/>
          <w:szCs w:val="22"/>
        </w:rPr>
        <w:t xml:space="preserve">Exemptions apply: </w:t>
      </w:r>
      <w:r>
        <w:rPr>
          <w:sz w:val="22"/>
          <w:szCs w:val="22"/>
        </w:rPr>
        <w:t xml:space="preserve">Even if an Annex III category were found to apply, SageReasoning meets three of the four Art. 6(3) exemption conditions: narrow procedural task (a), improves previously completed human activity (b), and detects patterns without replacing human assessment (c).</w:t>
      </w:r>
    </w:p>
    <w:p>
      <w:pPr>
        <w:pStyle w:val="ListParagraph"/>
        <w:numPr>
          <w:ilvl w:val="0"/>
          <w:numId w:val="3"/>
        </w:numPr>
        <w:spacing w:after="200"/>
      </w:pPr>
      <w:r>
        <w:rPr>
          <w:b/>
          <w:bCs/>
          <w:sz w:val="22"/>
          <w:szCs w:val="22"/>
        </w:rPr>
        <w:t xml:space="preserve">Profiling override inapplicable: </w:t>
      </w:r>
      <w:r>
        <w:rPr>
          <w:sz w:val="22"/>
          <w:szCs w:val="22"/>
        </w:rPr>
        <w:t xml:space="preserve">The mandatory high-risk classification for systems that profile natural persons applies only to systems within Annex III. Since SageReasoning is not within Annex III, this override is structurally inapplicable.</w:t>
      </w:r>
    </w:p>
    <w:p>
      <w:pPr>
        <w:pStyle w:val="Heading1"/>
      </w:pPr>
      <w:r>
        <w:t xml:space="preserve">6. Structural Safeguards Maintaining This Classification</w:t>
      </w:r>
    </w:p>
    <w:p>
      <w:pPr>
        <w:spacing w:after="160"/>
      </w:pPr>
      <w:r>
        <w:rPr>
          <w:sz w:val="22"/>
          <w:szCs w:val="22"/>
        </w:rPr>
        <w:t xml:space="preserve">The following manifest rules and technical controls are the primary safeguards that keep SageReasoning outside Annex III. If any of these safeguards were weakened or removed, this classification assessment would need to be re-evaluated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Safeguard</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What It Does</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What Happens Without 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R1</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Prohibits therapeutic, psychological, or clinical services. Frames all output as philosophical practice.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Could enter Annex III Area 5 (essential services — health) if output were framed as mental health assessment.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R2</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Prohibits use for hiring, employment screening, promotion, or HR assessment. Enforced in code, ToS, and API policy.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Would immediately enter Annex III Area 4 (employment). Combined with mentor profiling features, would trigger the profiling override and be automatically classified high-risk.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R3</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Requires visible disclaimer on all evaluative output, preventing users from treating output as authoritative assessment.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Increases risk under Annex III Areas 3–5 if output is treated as certified assessment.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R9</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Prohibits outcome predictions or guarantees. All tools are frameworks for reflection, not prescriptions.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Could enter Annex III Area 5 if output were treated as predictive of financial, health, or other outcomes.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R13</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Requires embedding platforms to comply with R1, R2, R3, R9. Reserves right to revoke API access for violations.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Third-party platforms could use sage-reason in Annex III domains without SageReasoning’s knowledge or consent.</w:t>
            </w:r>
          </w:p>
        </w:tc>
      </w:tr>
    </w:tbl>
    <w:p>
      <w:pPr>
        <w:spacing w:before="300"/>
      </w:pPr>
      <w:r>
        <w:rPr>
          <w:b/>
          <w:bCs/>
          <w:color w:val="C62828"/>
          <w:sz w:val="22"/>
          <w:szCs w:val="22"/>
        </w:rPr>
        <w:t xml:space="preserve">Critical note: R2 is the single most important safeguard. </w:t>
      </w:r>
      <w:r>
        <w:rPr>
          <w:sz w:val="22"/>
          <w:szCs w:val="22"/>
        </w:rPr>
        <w:t xml:space="preserve">If SageReasoning’s evaluation tools were used for employment assessment, the system would enter Annex III Area 4, the mentor profiling features would trigger the profiling override, and the system would be automatically classified as high-risk with full compliance obligations.</w:t>
      </w:r>
    </w:p>
    <w:p>
      <w:r>
        <w:br w:type="page"/>
      </w:r>
    </w:p>
    <w:p>
      <w:pPr>
        <w:pStyle w:val="Heading1"/>
      </w:pPr>
      <w:r>
        <w:t xml:space="preserve">7. EU Digital Omnibus Impact</w:t>
      </w:r>
    </w:p>
    <w:p>
      <w:pPr>
        <w:spacing w:after="160"/>
      </w:pPr>
      <w:r>
        <w:rPr>
          <w:sz w:val="22"/>
          <w:szCs w:val="22"/>
        </w:rPr>
        <w:t xml:space="preserve">In November 2025, the European Commission proposed the Digital Omnibus Act, which (among other changes) proposes postponing the application date for high-risk AI system obligations by up to 16 months, with backstop dates of December 2027 (Annex III systems) and August 2028 (Annex I systems).</w:t>
      </w:r>
    </w:p>
    <w:p>
      <w:pPr>
        <w:spacing w:after="160"/>
      </w:pPr>
      <w:r>
        <w:rPr>
          <w:sz w:val="22"/>
          <w:szCs w:val="22"/>
        </w:rPr>
        <w:t xml:space="preserve">Impact on this assessment: Since SageReasoning is not classified as high-risk, the postponement does not directly affect compliance obligations. However, the extended timeline provides additional buffer should any future reclassification guidance bring SageReasoning closer to an Annex III category.</w:t>
      </w:r>
    </w:p>
    <w:p>
      <w:pPr>
        <w:spacing w:after="200"/>
      </w:pPr>
      <w:r>
        <w:rPr>
          <w:sz w:val="22"/>
          <w:szCs w:val="22"/>
        </w:rPr>
        <w:t xml:space="preserve">Action: Monitor Digital Omnibus legislative progress through co-legislature negotiations. If adopted before August 2, 2026, the original deadline is superseded.</w:t>
      </w:r>
    </w:p>
    <w:p>
      <w:pPr>
        <w:pStyle w:val="Heading1"/>
      </w:pPr>
      <w:r>
        <w:t xml:space="preserve">8. Ongoing Monitoring Commitments</w:t>
      </w:r>
    </w:p>
    <w:p>
      <w:pPr>
        <w:spacing w:after="80"/>
      </w:pPr>
      <w:r>
        <w:rPr>
          <w:sz w:val="22"/>
          <w:szCs w:val="22"/>
        </w:rPr>
        <w:t xml:space="preserve">This assessment will be reviewed at each quarterly compliance pipeline run (R14). Specific triggers for out-of-cycle review:</w:t>
      </w:r>
    </w:p>
    <w:p>
      <w:pPr>
        <w:pStyle w:val="ListParagraph"/>
        <w:numPr>
          <w:ilvl w:val="0"/>
          <w:numId w:val="2"/>
        </w:numPr>
        <w:spacing w:after="60"/>
      </w:pPr>
      <w:r>
        <w:rPr>
          <w:sz w:val="22"/>
          <w:szCs w:val="22"/>
        </w:rPr>
        <w:t xml:space="preserve">Any amendment to Annex III categories that could encompass philosophical reasoning evaluation</w:t>
      </w:r>
    </w:p>
    <w:p>
      <w:pPr>
        <w:pStyle w:val="ListParagraph"/>
        <w:numPr>
          <w:ilvl w:val="0"/>
          <w:numId w:val="2"/>
        </w:numPr>
        <w:spacing w:after="60"/>
      </w:pPr>
      <w:r>
        <w:rPr>
          <w:sz w:val="22"/>
          <w:szCs w:val="22"/>
        </w:rPr>
        <w:t xml:space="preserve">New EU AI Office guidance on the definition of “profiling of natural persons”</w:t>
      </w:r>
    </w:p>
    <w:p>
      <w:pPr>
        <w:pStyle w:val="ListParagraph"/>
        <w:numPr>
          <w:ilvl w:val="0"/>
          <w:numId w:val="2"/>
        </w:numPr>
        <w:spacing w:after="60"/>
      </w:pPr>
      <w:r>
        <w:rPr>
          <w:sz w:val="22"/>
          <w:szCs w:val="22"/>
        </w:rPr>
        <w:t xml:space="preserve">Any proposed modification to R1, R2, or R13 that would weaken domain exclusions</w:t>
      </w:r>
    </w:p>
    <w:p>
      <w:pPr>
        <w:pStyle w:val="ListParagraph"/>
        <w:numPr>
          <w:ilvl w:val="0"/>
          <w:numId w:val="2"/>
        </w:numPr>
        <w:spacing w:after="60"/>
      </w:pPr>
      <w:r>
        <w:rPr>
          <w:sz w:val="22"/>
          <w:szCs w:val="22"/>
        </w:rPr>
        <w:t xml:space="preserve">Introduction of new SageReasoning features that process personal data in new ways</w:t>
      </w:r>
    </w:p>
    <w:p>
      <w:pPr>
        <w:pStyle w:val="ListParagraph"/>
        <w:numPr>
          <w:ilvl w:val="0"/>
          <w:numId w:val="2"/>
        </w:numPr>
        <w:spacing w:after="60"/>
      </w:pPr>
      <w:r>
        <w:rPr>
          <w:sz w:val="22"/>
          <w:szCs w:val="22"/>
        </w:rPr>
        <w:t xml:space="preserve">A national competent authority inquiry or request for this documentation</w:t>
      </w:r>
    </w:p>
    <w:p>
      <w:pPr>
        <w:pStyle w:val="ListParagraph"/>
        <w:numPr>
          <w:ilvl w:val="0"/>
          <w:numId w:val="2"/>
        </w:numPr>
        <w:spacing w:after="200"/>
      </w:pPr>
      <w:r>
        <w:rPr>
          <w:sz w:val="22"/>
          <w:szCs w:val="22"/>
        </w:rPr>
        <w:t xml:space="preserve">Adoption of the EU Digital Omnibus Act (amending classification rules or timelines)</w:t>
      </w:r>
    </w:p>
    <w:p>
      <w:pPr>
        <w:pStyle w:val="Heading1"/>
      </w:pPr>
      <w:r>
        <w:t xml:space="preserve">9.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Prepared by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Compliance Pipeline (AI-assisted analysis), reviewed by Founder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4 April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Legal review 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PENDING — This document should be reviewed by qualified EU AI Act legal counsel before being relied upon for regulatory compliance.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Founder signature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_______________________________          Date: _______________</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Legal counsel signature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_______________________________          Date: _______________</w:t>
            </w:r>
          </w:p>
        </w:tc>
      </w:tr>
    </w:tbl>
    <w:p>
      <w:pPr>
        <w:spacing w:after="200" w:before="400"/>
      </w:pPr>
      <w:r>
        <w:rPr>
          <w:b/>
          <w:bCs/>
          <w:i/>
          <w:iCs/>
          <w:color w:val="666666"/>
          <w:sz w:val="20"/>
          <w:szCs w:val="20"/>
        </w:rPr>
        <w:t xml:space="preserve">Document retention: </w:t>
      </w:r>
      <w:r>
        <w:rPr>
          <w:i/>
          <w:iCs/>
          <w:color w:val="666666"/>
          <w:sz w:val="20"/>
          <w:szCs w:val="20"/>
        </w:rPr>
        <w:t xml:space="preserve">This document must be retained and made available to national competent authorities upon request, per Article 6(4) of the EU AI Act. It is stored alongside the compliance register (compliance_register.json) and audit log (compliance_audit_log.json) as part of SageReasoning’s R14 compliance pipeline.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SageReasoning Pty Ltd </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405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5A8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2026-04-04T00:08:02.631Z</dcterms:created>
  <dcterms:modified xsi:type="dcterms:W3CDTF">2026-04-04T00:08:02.632Z</dcterms:modified>
</cp:coreProperties>
</file>

<file path=docProps/custom.xml><?xml version="1.0" encoding="utf-8"?>
<Properties xmlns="http://schemas.openxmlformats.org/officeDocument/2006/custom-properties" xmlns:vt="http://schemas.openxmlformats.org/officeDocument/2006/docPropsVTypes"/>
</file>