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80"/>
        <w:jc w:val="center"/>
      </w:pPr>
      <w:r>
        <w:rPr>
          <w:rFonts w:ascii="Arial" w:cs="Arial" w:eastAsia="Arial" w:hAnsi="Arial"/>
          <w:b/>
          <w:bCs/>
          <w:color w:val="1B4F72"/>
          <w:sz w:val="52"/>
          <w:szCs w:val="52"/>
        </w:rPr>
        <w:t xml:space="preserve">SageReasoning.com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34"/>
          <w:szCs w:val="34"/>
        </w:rPr>
        <w:t xml:space="preserve">Legal, Revenue &amp; Business Structure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Research &amp; Implementation Plan — Revised Edition</w:t>
      </w:r>
    </w:p>
    <w:p>
      <w:pPr>
        <w:spacing w:after="80"/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Priorities 9, 10 &amp; 12</w:t>
      </w:r>
    </w:p>
    <w:p>
      <w:pPr>
        <w:spacing w:after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Revised: March 2026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CC0000"/>
          <w:sz w:val="20"/>
          <w:szCs w:val="20"/>
        </w:rPr>
        <w:t xml:space="preserve">Scope change: Hiring Assessment and Coaching Companion removed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006600"/>
          <w:sz w:val="20"/>
          <w:szCs w:val="20"/>
        </w:rPr>
        <w:t xml:space="preserve">Status: APPROVED FOR IMPLEMENTATION</w:t>
      </w:r>
    </w:p>
    <w:p>
      <w:r>
        <w:br w:type="page"/>
      </w:r>
    </w:p>
    <w:p>
      <w:pPr>
        <w:pStyle w:val="Heading1"/>
      </w:pPr>
      <w: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/>
      </w:pPr>
      <w:r>
        <w:t xml:space="preserve">This document is the revised edition of the SageReasoning Legal, Revenue and Business Structure Plan. Since the original plan was prepared, two features have been removed from scope: the Hiring Assessment and the Coaching Companion. This decision reduces the two highest-risk features from the platform and simplifies the legal, insurance, and compliance requirements significantly.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changed: </w:t>
      </w:r>
      <w:r>
        <w:t xml:space="preserve">The Hiring Assessment (EU AI Act high-risk, anti-discrimination exposure) and Coaching Companion (/therapy, TGA oversight risk) have been fully removed from all pages, navigation, API routes, and planning documents.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is implemented: </w:t>
      </w:r>
      <w:r>
        <w:t xml:space="preserve">All Part 6 website updates from the original plan have been completed in this session: five new pages (Terms, Privacy, AI Transparency, Methodology, Pricing), NavBar and footer updated, AI disclosure metadata added to all scoring API responses, privacy consent added to sign-up, and data export/delete placeholders added to the Dashboard with full implementation instructions.</w:t>
      </w:r>
    </w:p>
    <w:p>
      <w:pPr>
        <w:spacing w:after="80"/>
      </w:pPr>
    </w:p>
    <w:p>
      <w:pPr>
        <w:spacing w:after="120"/>
      </w:pPr>
      <w:r>
        <w:rPr>
          <w:b/>
          <w:bCs/>
        </w:rPr>
        <w:t xml:space="preserve">What remains: </w:t>
      </w:r>
      <w:r>
        <w:t xml:space="preserve">The Plan section below provides a clear, prioritised sequence of next actions. The most urgent items are company registration, legal document finalisation, and insurance — none of which require development work.</w:t>
      </w:r>
    </w:p>
    <w:p>
      <w:r>
        <w:br w:type="page"/>
      </w:r>
    </w:p>
    <w:p>
      <w:pPr>
        <w:pStyle w:val="Heading1"/>
      </w:pPr>
      <w:r>
        <w:t xml:space="preserve">Part 1: Scope Change — Features Removed</w:t>
      </w:r>
    </w:p>
    <w:p>
      <w:pPr>
        <w:spacing w:after="120"/>
      </w:pPr>
      <w:r>
        <w:t xml:space="preserve">The following features have been permanently removed from SageReasoning. They will not be re-introduced without a full legal review.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000"/>
        <w:gridCol w:w="2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Removed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Files Deleted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 Eliminated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(/hiring)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 classifies AI in recruitment as high-risk (Annex III). Required conformity assessment, anti-discrimination audit, and logging beyond current capacity. Risk outweighed value.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/app/hiring/page.tsx, /api/score-hiring/route.ts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 high-risk compliance; anti-discrimination liability; employer co-respondent risk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(/therapy)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implied therapeutic services (TGA oversight risk). Feature operated near regulated mental health boundaries. Duty of care in crisis situations exceeded safe scope.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/app/therapy/page.tsx, /api/score-therapy/route.ts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TGA digital health tool regulation; AHPRA unauthorised practice; mental health crisis liability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Impact on risk profile: </w:t>
      </w:r>
      <w:r>
        <w:t xml:space="preserve">Removing these two features eliminates the two highest-severity risks from the platform. The remaining features (Action Scorer, Document Scorer, Social Filter, Ethical Scenarios, Journal, Community Map, Baseline) are all lower-risk and manageable with standard disclaimers and terms of service.</w:t>
      </w:r>
    </w:p>
    <w:p>
      <w:r>
        <w:br w:type="page"/>
      </w:r>
    </w:p>
    <w:p>
      <w:pPr>
        <w:pStyle w:val="Heading1"/>
      </w:pPr>
      <w:r>
        <w:t xml:space="preserve">Part 2: AI Ethics Framework Alignment (Updated)</w:t>
      </w:r>
    </w:p>
    <w:p>
      <w:pPr>
        <w:spacing w:after="120"/>
      </w:pPr>
      <w:r>
        <w:t xml:space="preserve">With the removal of the two high-risk features, the platform's risk classification under major AI ethics frameworks has improved substantially.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Framework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Classification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Required Actions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OECD AI Principles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 aligned — transparency (scores explained), accountability (founder identified), human oversight (dispute process), data agency (local journal option)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AI disclosure labels to all scored pages (done — API metadata added); publish Transparency Statement (done — /transparency created)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EU AI Act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remaining features are minimal or limited risk. No high-risk systems remain.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AI interaction disclosure on scored pages (done via API metadata); no conformity assessment required; monitor for future category updates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IEEE Ethically Aligned Design (EAD)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alignment — human wellbeing primary goal, Stoic Brain framework overview is publicly accessible, scoring explained. Data now under SageReasoning Proprietary Licence (evaluation use permitted, competing services prohibited)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dispute/challenge mechanism for scores (Phase 3); complete data export (Phase 3)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Australia AI6 (Voluntary Standard)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Aligned on 5 of 6 practices. Gap: formal risk register and monitoring system not yet in place.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a simple internal risk register (this document serves this purpose); set review schedule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Australian Privacy Act 1988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compliant. Privacy Policy created; consent added to sign-up; data export/delete placeholders in place.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Finalise Privacy Policy with lawyer; implement /api/user/export and /api/user/delete (Phase 3); update before December 2026 deadline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National AI Centre (NAIC)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AI-generated content labelling added to all API responses (ai_generated: true field + disclaimer string)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Implemented. Review annually as NAIC guidance evolves.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 NIST AI RMF / UK AI Safety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direct obligation; voluntary alignment recommended if targeting institutional clients.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immediate action required. Cite NIST AI RMF alignment in API documentation as good practice.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3: Priority 9 — Legal Risks &amp; Lawsuit Protection (Updated)</w:t>
      </w:r>
    </w:p>
    <w:p>
      <w:pPr>
        <w:spacing w:after="120"/>
      </w:pPr>
      <w:r>
        <w:t xml:space="preserve">With Hiring and Coaching removed, the legal risk profile is substantially reduced. The following are the remaining active risk areas.</w:t>
      </w:r>
    </w:p>
    <w:p>
      <w:pPr>
        <w:spacing w:after="80"/>
      </w:pPr>
    </w:p>
    <w:p>
      <w:pPr>
        <w:pStyle w:val="Heading2"/>
      </w:pPr>
      <w:r>
        <w:t xml:space="preserve">3.1 Active Legal Risk Areas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1: Australian Consumer Law (ACL) — MEDIUM (reduced from HIGH)</w:t>
      </w:r>
    </w:p>
    <w:p>
      <w:pPr>
        <w:spacing w:after="120"/>
      </w:pPr>
      <w:r>
        <w:t xml:space="preserve">AI-generated outputs could constitute misleading conduct if users rely on them to their detriment. The ACL applies to all features regardless of intent.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Partially mitigated. AI disclosure metadata now added to all scoring API responses. Disclaimer added to footer on every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Finalise Terms of Service with a lawyer to confirm liability limitation clause is enforceable.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2: Australian Privacy Act — MEDIUM</w:t>
      </w:r>
    </w:p>
    <w:p>
      <w:pPr>
        <w:spacing w:after="120"/>
      </w:pPr>
      <w:r>
        <w:t xml:space="preserve">SageReasoning collects personal information and uses AI to process submitted text. Cross-border transfers occur (Anthropic US, Supabase Singapore).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Privacy Policy page created (/privacy). Consent checkbox added to sign-up. Data export/delete placeholders added to dashboard with TODO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Implement /api/user/export and /api/user/delete (Phase 3). Update Privacy Policy before December 2026 for automated decision-making amendments.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3: Copyright Act 1968 — LOW</w:t>
      </w:r>
    </w:p>
    <w:p>
      <w:pPr>
        <w:spacing w:after="120"/>
      </w:pPr>
      <w:r>
        <w:t xml:space="preserve">Stoic source texts used are in the public domain. AI-generated outputs are not copyrightable (no human author).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Low risk. Sources documented in research/sources-index.md.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Audit any specific quoted passages in the journal curriculum to confirm source translations are public domain.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Risk Area 4: Ethical Scenarios and Minors — MEDIUM</w:t>
      </w:r>
    </w:p>
    <w:p>
      <w:pPr>
        <w:spacing w:after="120"/>
      </w:pPr>
      <w:r>
        <w:t xml:space="preserve">The Scenarios feature generates content for children and teens. Content safety and minor data collection obligations apply.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Status: </w:t>
      </w:r>
      <w:r>
        <w:t xml:space="preserve">Age-appropriate content controls exist in the prompt. Privacy Policy notes parental consent recommendation.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Remaining action: </w:t>
      </w:r>
      <w:r>
        <w:t xml:space="preserve">Add age verification gate for under-16 users (Phase 3). Add content safety filter for child/teen scenario generation paths.</w:t>
      </w:r>
    </w:p>
    <w:p>
      <w:pPr>
        <w:spacing w:after="80"/>
      </w:pPr>
    </w:p>
    <w:p>
      <w:pPr>
        <w:pStyle w:val="Heading2"/>
      </w:pPr>
      <w:r>
        <w:t xml:space="preserve">3.2 Legal Documents — Status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2000"/>
        <w:gridCol w:w="35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Next 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Terms of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created — includes all required clauses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/terms/page.tsx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 Australian technology lawyer for review ($800–$2,000). Do before accepting revenue.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Draft created — APP-compliant, includes AI processing consent and automated decision-making disclosure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Lawyer review ($500–$1,500). Must be updated before December 2026 (Privacy Act amendments).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Transparency Statement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— self-drafted, no lawyer needed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/transparency/page.tsx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annually as guidance evolves.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Methodology Page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/methodology/page.tsx (live on site)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if Stoic Brain weights or scoring logic changes.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Cookie/Consent Banner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 implemented — cookie policy included in Privacy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3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3: implement a simple cookie banner for EU visitors.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3.3 Insurance Recommendations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18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Covers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Estimated Cost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Professional Indemnity (PI)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Claims from AI-generated advice causing harm; scores or reasoning a user relied on to their detriment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$500–$1,200/year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— obtain before revenue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Cyber Liability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breach costs, notification, business interruption from cyber incidents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$400–$800/year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MEDIUM-HIGH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 Liability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Third-party injury/property damage (events, conferences)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$300–$600/year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initially — add when attending events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Recommended provider: </w:t>
      </w:r>
      <w:r>
        <w:t xml:space="preserve">Startupcover (startupcover.com.au) or BizCover (bizcover.com.au) — both specialise in tech startup insurance and can bundle PI + Cyber for approximately $900–$2,000/year.</w:t>
      </w:r>
    </w:p>
    <w:p>
      <w:r>
        <w:br w:type="page"/>
      </w:r>
    </w:p>
    <w:p>
      <w:pPr>
        <w:pStyle w:val="Heading1"/>
      </w:pPr>
      <w:r>
        <w:t xml:space="preserve">Part 4: Priority 10 — Revenue Strategy (Updated)</w:t>
      </w:r>
    </w:p>
    <w:p>
      <w:pPr>
        <w:spacing w:after="120"/>
      </w:pPr>
      <w:r>
        <w:t xml:space="preserve">With the Practitioner tier (which was anchored to the now-removed Coaching Companion and Hiring Assessment) removed, the revenue model is streamlined to two subscription tiers plus usage-based API pricing.</w:t>
      </w:r>
    </w:p>
    <w:p>
      <w:pPr>
        <w:spacing w:after="80"/>
      </w:pPr>
    </w:p>
    <w:p>
      <w:pPr>
        <w:pStyle w:val="Heading2"/>
      </w:pPr>
      <w:r>
        <w:t xml:space="preserve">4.1 Updated Revenue Tiers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1400"/>
        <w:gridCol w:w="3200"/>
        <w:gridCol w:w="24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Stoic Rationale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Agora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 always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actions/day (human), baseline assessment, scenarios, social filter (5/day), journal (all 56 days). AI Agent free tier: 1 API call/day (30/month), 1 deliberation iteration, 1 baseline retake/month per agent identity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Wisdom should be shared freely. The Agora was the centre of Athenian public life — wisdom without barriers.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$7/month or $60/year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action scoring, unlimited document scoring and badges, unlimited policy review, unlimited social filter, daily journal with AI sage feedback, score export (CSV)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 — the one making progress — is the aspiration for those on the path. $7 is less than a single coffee.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Usage-based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$0.01/scoring call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 free calls/month, $0.01 per scored call, Stoic Brain data always free, usage dashboard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Developers integrating Stoic reasoning pay per API call at 150% of Anthropic API cost (approximately 50% gross margin). Public JSON files provide a conceptual overview for discovery; full scoring weights and formulas are proprietary and applied server-side. The data is licensed under the SageReasoning Proprietary Licence — evaluation use is free, production use requires a paid API key, and use to build competing services is prohibited.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Optional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 the Agora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Voluntary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One-off contribution from free-tier users who want to support the platform</w:t>
            </w:r>
          </w:p>
        </w:tc>
        <w:tc>
          <w:tcPr>
            <w:tcW w:type="dxa" w:w="2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Generous giving is itself a Stoic virtue.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4.2 Cost Structure and Break-Even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Expense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 Scale (500 daily users)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Vercel Hosting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(Hobby)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Pro when traffic grows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Supabase Database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$25/month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 tier when &gt;500MB or &gt;50K requests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Anthropic Claude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Variable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$100–$400/month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Largest variable cost. ~$0.003–$0.01 per score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Insurance (PI + Cyber)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$80–$170/month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before revenue — annualised from $900–$2,000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Accounting (Xero)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Required once GST-registered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ASIC Annual Fee (Pty Ltd)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$48/month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Annualised from $576/year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estimated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~$280–$670/month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Break-even calculation: </w:t>
      </w:r>
      <w:r>
        <w:t xml:space="preserve">At $7/month per Prokoptos subscriber, break-even at modest scale ($400/month costs) requires approximately 58 paid subscribers. This is achievable with 500–1,000 registered users, assuming a 5–10% paid conversion rate.</w:t>
      </w:r>
    </w:p>
    <w:p>
      <w:pPr>
        <w:spacing w:after="80"/>
      </w:pPr>
    </w:p>
    <w:p>
      <w:pPr>
        <w:pStyle w:val="Heading2"/>
      </w:pPr>
      <w:r>
        <w:t xml:space="preserve">4.3 Conservative Revenue Projections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900"/>
        <w:gridCol w:w="1900"/>
        <w:gridCol w:w="30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6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12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 24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Registered users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150–400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400–1,000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1,000–3,000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Prokoptos subscribers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8–20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60–180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customers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1–3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3–10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10–25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$60–$200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$200–$560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$560–$1,510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costs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$80–$200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$180–$400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$300–$700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Net position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Near break-even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$0–$200 surplus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$260–$800 surplus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/>
          <w:iCs/>
        </w:rPr>
        <w:t xml:space="preserve">Note: </w:t>
      </w:r>
      <w:r>
        <w:t xml:space="preserve">These projections assume organic growth only (no paid advertising). The Stoic-aligned growth strategy (Priority 8) will inform marketing without violating virtue principles.</w:t>
      </w:r>
    </w:p>
    <w:p>
      <w:r>
        <w:br w:type="page"/>
      </w:r>
    </w:p>
    <w:p>
      <w:pPr>
        <w:pStyle w:val="Heading1"/>
      </w:pPr>
      <w:r>
        <w:t xml:space="preserve">Part 5: Priority 12 — Business Systems &amp; Registration</w:t>
      </w:r>
    </w:p>
    <w:p>
      <w:pPr>
        <w:spacing w:after="120"/>
      </w:pPr>
      <w:r>
        <w:t xml:space="preserve">This section remains unchanged from the original plan. The removal of high-risk features strengthens the case for a Pty Ltd structure by making the risk profile more manageable while still requiring personal liability protection.</w:t>
      </w:r>
    </w:p>
    <w:p>
      <w:pPr>
        <w:spacing w:after="80"/>
      </w:pPr>
    </w:p>
    <w:p>
      <w:pPr>
        <w:pStyle w:val="Heading2"/>
      </w:pPr>
      <w:r>
        <w:t xml:space="preserve">5.1 Business Structure — Pty Ltd Recommended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Factor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Sole Trader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Pty Ltd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liability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Unlimited — home and savings at risk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Limited to company assets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even without the high-risk features, AI-generated content carries liability risk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Tax rate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 to 47% marginal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25% flat (base rate entity)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advantageous once profitable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Free–$98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 + ~$1,000 (setup)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Higher upfront, justified by protection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Annual compliance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$0–$300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 ASIC + $2,000–$4,000 accounting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Manageable at this scale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Credibility (API clients)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Perceived as less professional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More credible for institutional use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important for API customer trust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 funding/investors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possible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 issue shares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Pty Ltd — keeps options open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5.2 Registration Sequence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1 — Immediate (before revenue)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Apply for Director Identification Number (Director ID) — free, 30 minutes. Apply at abrs.gov.au.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Pty Ltd company with ASIC ($576) — via register.business.gov.au. Suggested name: SageReasoning Pty Ltd or Virtue Logic Pty Ltd.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Apply for ABN — done during company registration, free.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business name 'SageReasoning' if different from company name ($42/year or $98/3 years).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 business bank account — keep completely separate from personal finances.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Register for GST voluntarily — allows input tax credits on Anthropic API costs, hosting, insurance, legal fees.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2 — Before revenue collection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Engage Australian technology lawyer to review Terms of Service and Privacy Policy.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Obtain Professional Indemnity + Cyber insurance via Startupcover or BizCover.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Set up Xero or MYOB for accounting ($25–$29/month) — required for BAS lodgement.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Integrate Stripe for payment processing (1.75% + $0.30/transaction) — enables Prokoptos subscriptions.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Build subscription management into user dashboard (upgrade, downgrade, cancel).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3 — Compliance hardening (Weeks 9–12)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Implement /api/user/export — full data export for users (detailed TODO in route file).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Implement /api/user/delete — account deletion with confirmation dialog (detailed TODO in route file).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age verification gate to Ethical Scenarios for under-16 users.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content safety filter to child/teen scenario generation paths.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cookie consent banner for EU visitors.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Add formal score dispute mechanism on individual score pages.</w:t>
      </w:r>
    </w:p>
    <w:p>
      <w:pPr>
        <w:spacing w:after="80"/>
      </w:pPr>
    </w:p>
    <w:p>
      <w:pPr>
        <w:pStyle w:val="Heading3"/>
      </w:pPr>
      <w:r>
        <w:rPr>
          <w:b/>
          <w:bCs/>
          <w:sz w:val="24"/>
          <w:szCs w:val="24"/>
        </w:rPr>
        <w:t xml:space="preserve">Phase 4 — Ongoing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Monthly: </w:t>
      </w:r>
      <w:r>
        <w:t xml:space="preserve">Review Stripe revenue; check Anthropic API cost trends; check Sentry error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Quarterly: </w:t>
      </w:r>
      <w:r>
        <w:t xml:space="preserve">Lodge BAS; review and update disclaimers if features change.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Annually: </w:t>
      </w:r>
      <w:r>
        <w:t xml:space="preserve">Pay ASIC fee ($576); lodge company tax return; renew insurance; review Privacy Policy.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Before December 2026: </w:t>
      </w:r>
      <w:r>
        <w:t xml:space="preserve">Update Privacy Policy with automated decision-making transparency disclosures (Privacy Act amendment).</w:t>
      </w:r>
    </w:p>
    <w:p>
      <w:pPr>
        <w:spacing w:after="80"/>
      </w:pPr>
    </w:p>
    <w:p>
      <w:pPr>
        <w:pStyle w:val="Heading2"/>
      </w:pPr>
      <w:r>
        <w:t xml:space="preserve">5.3 Technology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3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 processing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Stripe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1.75% + $0.30/txn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Accounting / BAS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Xero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Insurance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Startupcover / BizCover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$900–$2,000/year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Transactional 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Resend or Postmark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tier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Sentry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(5K events/month)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now — free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Uptime monitoring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UptimeRobot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now — free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6: Website Updates — Completed in This Session</w:t>
      </w:r>
    </w:p>
    <w:p>
      <w:pPr>
        <w:spacing w:after="120"/>
      </w:pPr>
      <w:r>
        <w:t xml:space="preserve">The following changes were made to the website codebase in this session. They are live and ready to deploy.</w:t>
      </w:r>
    </w:p>
    <w:p>
      <w:pPr>
        <w:spacing w:after="80"/>
      </w:pPr>
    </w:p>
    <w:p>
      <w:pPr>
        <w:pStyle w:val="Heading2"/>
      </w:pPr>
      <w:r>
        <w:t xml:space="preserve">6.1 Files Removed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/app/hiring/page.tsx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feature removed from scope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/app/therapy/page.tsx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feature removed from scope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/app/api/score-hiring/route.ts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API removed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/app/api/score-therapy/route.ts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API removed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6.2 New Pages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Terms of 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/terms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draft, lawyer review needed before revenue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/privacy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draft, lawyer review needed before December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Transparency Statement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/transparency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complete, no lawyer needed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Methodology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/methodology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complete, dynamically renders Stoic Brain data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/pricing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— placeholders for Stripe integration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6.3 Existing Files Modified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NavBar.tsx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Hiring Assessment and Coaching Companion from Tools dropdown; added Pricing link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change; navigation cleanup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layout.tsx (footer)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Removed /hiring and /therapy links; added /journal, /community, /methodology; added Legal section with Terms, Privacy, Transparency; added site-wide AI disclaimer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change; legal compliance; Privacy 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auth/page.tsx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privacyConsent state and checkbox with links to Privacy Policy and Terms; blocks sign-up if not checked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APP 3 (consent to collection); OECD data agency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dashboard/page.tsx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'Your Data' section with Export and Delete buttons (disabled placeholders with full TODO instructions)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right to access and erasure; OECD data agency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 to all scoring responses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NAIC AI content labelling; OECD transparency; EU AI Act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api/score-document/route.ts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above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api/score-social/route.ts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Added ai_generated, ai_model, disclaimer fields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as above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6.4 New API Placeholder Routes Created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2000"/>
        <w:gridCol w:w="3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/api/user/export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Placeholder — returns 503 with instructions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implementation spec in route file TODO comments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/api/user/delete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DELETE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Placeholder — returns 503 with instructions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implementation spec in route file TODO comments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7: Updated Risk Register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000"/>
        <w:gridCol w:w="1100"/>
        <w:gridCol w:w="2500"/>
        <w:gridCol w:w="2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Remaining Action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output misleads user (ACL)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disclaimers in footer, API metadata, Terms draft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Finalise Terms with lawyer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breach / data leak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Privacy Policy live, consent on sign-up, Supabase RLS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export/delete endpoints (Phase 3)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Copyright claim on Stoic text translations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 risk — source audit documented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journal curriculum translations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content inappropriate for minors (Scenarios)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age-appropriate prompt paths exist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age gate (Phase 3); add content safety filter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Personal liability (if sole trader)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YET MITIGATED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Pty Ltd (Phase 1 — urgent)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Act 2026 amendments non-compliance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Privacy Policy drafted with placeholder section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before December 2026; complete export/delete endpoints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Unsustainable API costs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Partially mitigated — AI Agent API tier now enforces strict rate limits (1 call/day free, paid keys configurable). Deliberation chains capped at 1 iteration (free) / 3 iterations (paid). Baseline retakes limited to 1/month per agent identity. Proprietary licence prohibits use of public data to build competing services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DONE — AI Agent rate limits deployed (29 March 2026). Remaining: Stripe integration for paid tier provisioning and human Prokoptos feature rate limits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HIRING ASSESSMENT — ELIMINATED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removed from codebase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 required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COACHING COMPANION — ELIMINATED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Eliminated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removed from codebase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action required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 8: Prioritised Next Actions</w:t>
      </w:r>
    </w:p>
    <w:p>
      <w:pPr>
        <w:spacing w:after="120"/>
      </w:pPr>
      <w:r>
        <w:t xml:space="preserve">This is the complete, sequenced list of actions from this point forward. Items are ordered by urgency and dependency.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"/>
        <w:gridCol w:w="3800"/>
        <w:gridCol w:w="1400"/>
        <w:gridCol w:w="1200"/>
        <w:gridCol w:w="1200"/>
        <w:gridCol w:w="1380"/>
      </w:tblGrid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for Director ID at abrs.gov.au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can do today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Pty Ltd company + ABN at register.business.gov.au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$576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Director ID (Step 1)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business bank account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Register for GST (voluntary)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 or accountant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week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Engage Australian technology lawyer — review Terms of Service and Privacy Policy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2–3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$1,300–$3,500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registration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Obtain Professional Indemnity + Cyber insurance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2–3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$900–$2,000/year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structure decided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 up Xero or MYOB for accounting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$29/month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ABN (Step 2)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Integrate Stripe for payment processing (subscription tiers)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5–8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 setup; per-txn fees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company + bank account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subscription management in dashboard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5–8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Stripe (Step 8)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Implement /api/user/export and /api/user/delete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age verification gate to Ethical Scenarios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cookie consent banner for EU visitors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SageReasoning Proprietary Licence v1.0 (evaluation free, production API paid, competing services prohibited)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None — standalone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API usage-based billing infrastructure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 9–12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Development time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Requires Stripe (Step 8)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 Privacy Policy for December 2026 Privacy Act amendments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+ lawyer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 November 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Legal review cost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7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Depends on final OAIC guidance</w:t>
            </w:r>
          </w:p>
        </w:tc>
      </w:tr>
      <w:tr>
        <w:tc>
          <w:tcPr>
            <w:tcW w:type="dxa" w:w="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AI Safety Institute guidance (expected mid-2026)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Clinton (you)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Free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Guidance not yet published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Steps 1–4 require only your time and a small registration fee. They can all be done this week and do not require any developer work.</w:t>
      </w:r>
    </w:p>
    <w:p>
      <w:pPr>
        <w:spacing w:after="80"/>
      </w:pPr>
    </w:p>
    <w:p>
      <w:pPr>
        <w:spacing w:before="400"/>
        <w:jc w:val="center"/>
      </w:pPr>
      <w:r>
        <w:rPr>
          <w:i/>
          <w:iCs/>
          <w:color w:val="999999"/>
        </w:rPr>
        <w:t xml:space="preserve">— End of Revised Plan —</w:t>
      </w:r>
    </w:p>
    <w:sectPr>
      <w:headerReference w:type="default" r:id="rId7"/>
      <w:footerReference w:type="default" r:id="rId8"/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SageReasoning — Legal, Revenue &amp; Business Plan (Revised March 2026)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2026-03-26T19:44:49.712Z</dcterms:created>
  <dcterms:modified xsi:type="dcterms:W3CDTF">2026-03-26T19:44:49.713Z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